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color w:val="auto"/>
        </w:rPr>
        <w:t>UNITED STATES</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Washington, DC 20549</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 10-Q</w:t>
      </w:r>
    </w:p>
    <w:p>
      <w:pPr>
        <w:spacing w:after="0" w:line="216" w:lineRule="exact"/>
        <w:rPr>
          <w:sz w:val="24"/>
          <w:szCs w:val="24"/>
          <w:color w:val="auto"/>
        </w:rPr>
      </w:pPr>
    </w:p>
    <w:p>
      <w:pPr>
        <w:ind w:left="440"/>
        <w:spacing w:after="0"/>
        <w:rPr>
          <w:sz w:val="20"/>
          <w:szCs w:val="20"/>
          <w:color w:val="auto"/>
        </w:rPr>
      </w:pPr>
      <w:r>
        <w:rPr>
          <w:rFonts w:ascii="Arial" w:cs="Arial" w:eastAsia="Arial" w:hAnsi="Arial"/>
          <w:sz w:val="14"/>
          <w:szCs w:val="14"/>
          <w:color w:val="auto"/>
        </w:rPr>
        <w:t>(Mark One)</w:t>
      </w:r>
    </w:p>
    <w:p>
      <w:pPr>
        <w:spacing w:after="0" w:line="36"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QUARTERLY REPORT PURSUANT TO SECTION 13 OR 15(d) OF THE SECURITIES EXCHANGE ACT OF 1934</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220" w:type="dxa"/>
            <w:vAlign w:val="bottom"/>
            <w:gridSpan w:val="2"/>
          </w:tcPr>
          <w:p>
            <w:pPr>
              <w:ind w:left="440"/>
              <w:spacing w:after="0"/>
              <w:rPr>
                <w:sz w:val="20"/>
                <w:szCs w:val="20"/>
                <w:color w:val="auto"/>
              </w:rPr>
            </w:pPr>
            <w:r>
              <w:rPr>
                <w:rFonts w:ascii="Arial" w:cs="Arial" w:eastAsia="Arial" w:hAnsi="Arial"/>
                <w:sz w:val="14"/>
                <w:szCs w:val="14"/>
                <w:color w:val="auto"/>
                <w:w w:val="93"/>
              </w:rPr>
              <w:t>For the quarterly period ended</w:t>
            </w:r>
          </w:p>
        </w:tc>
        <w:tc>
          <w:tcPr>
            <w:tcW w:w="3960" w:type="dxa"/>
            <w:vAlign w:val="bottom"/>
            <w:gridSpan w:val="12"/>
          </w:tcPr>
          <w:p>
            <w:pPr>
              <w:ind w:left="240"/>
              <w:spacing w:after="0"/>
              <w:rPr>
                <w:sz w:val="20"/>
                <w:szCs w:val="20"/>
                <w:color w:val="auto"/>
              </w:rPr>
            </w:pPr>
            <w:r>
              <w:rPr>
                <w:rFonts w:ascii="Arial" w:cs="Arial" w:eastAsia="Arial" w:hAnsi="Arial"/>
                <w:sz w:val="14"/>
                <w:szCs w:val="14"/>
                <w:color w:val="auto"/>
              </w:rPr>
              <w:t>June 30, 2011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5"/>
              </w:rPr>
              <w:t>OR</w:t>
            </w: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120" w:type="dxa"/>
            <w:vAlign w:val="bottom"/>
            <w:gridSpan w:val="19"/>
          </w:tcPr>
          <w:p>
            <w:pPr>
              <w:spacing w:after="0"/>
              <w:rPr>
                <w:sz w:val="20"/>
                <w:szCs w:val="20"/>
                <w:color w:val="auto"/>
              </w:rPr>
            </w:pPr>
            <w:r>
              <w:rPr>
                <w:rFonts w:ascii="Arial" w:cs="Arial" w:eastAsia="Arial" w:hAnsi="Arial"/>
                <w:sz w:val="14"/>
                <w:szCs w:val="14"/>
                <w:color w:val="auto"/>
              </w:rPr>
              <w:t>(  )   TRANSITION REPORT PURSUANT TO SECTION 13 OR 15 (d) OF THE SECURITIES EXCHANGE ACT OF 1934</w:t>
            </w:r>
          </w:p>
        </w:tc>
        <w:tc>
          <w:tcPr>
            <w:tcW w:w="0" w:type="dxa"/>
            <w:vAlign w:val="bottom"/>
          </w:tcPr>
          <w:p>
            <w:pPr>
              <w:spacing w:after="0"/>
              <w:rPr>
                <w:sz w:val="1"/>
                <w:szCs w:val="1"/>
                <w:color w:val="auto"/>
              </w:rPr>
            </w:pPr>
          </w:p>
        </w:tc>
      </w:tr>
      <w:tr>
        <w:trPr>
          <w:trHeight w:val="395"/>
        </w:trPr>
        <w:tc>
          <w:tcPr>
            <w:tcW w:w="2220" w:type="dxa"/>
            <w:vAlign w:val="bottom"/>
            <w:gridSpan w:val="2"/>
          </w:tcPr>
          <w:p>
            <w:pPr>
              <w:ind w:left="440"/>
              <w:spacing w:after="0"/>
              <w:rPr>
                <w:sz w:val="20"/>
                <w:szCs w:val="20"/>
                <w:color w:val="auto"/>
              </w:rPr>
            </w:pPr>
            <w:r>
              <w:rPr>
                <w:rFonts w:ascii="Arial" w:cs="Arial" w:eastAsia="Arial" w:hAnsi="Arial"/>
                <w:sz w:val="14"/>
                <w:szCs w:val="14"/>
                <w:color w:val="auto"/>
                <w:w w:val="97"/>
              </w:rPr>
              <w:t>For the transition period from</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9"/>
          </w:tcPr>
          <w:p>
            <w:pPr>
              <w:jc w:val="center"/>
              <w:ind w:right="2580"/>
              <w:spacing w:after="0"/>
              <w:rPr>
                <w:sz w:val="20"/>
                <w:szCs w:val="20"/>
                <w:color w:val="auto"/>
              </w:rPr>
            </w:pPr>
            <w:r>
              <w:rPr>
                <w:rFonts w:ascii="Arial" w:cs="Arial" w:eastAsia="Arial" w:hAnsi="Arial"/>
                <w:sz w:val="14"/>
                <w:szCs w:val="14"/>
                <w:color w:val="auto"/>
                <w:w w:val="85"/>
              </w:rPr>
              <w:t>to</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4"/>
          </w:tcPr>
          <w:p>
            <w:pPr>
              <w:ind w:left="260"/>
              <w:spacing w:after="0"/>
              <w:rPr>
                <w:sz w:val="20"/>
                <w:szCs w:val="20"/>
                <w:color w:val="auto"/>
              </w:rPr>
            </w:pPr>
            <w:r>
              <w:rPr>
                <w:rFonts w:ascii="Arial" w:cs="Arial" w:eastAsia="Arial" w:hAnsi="Arial"/>
                <w:sz w:val="14"/>
                <w:szCs w:val="14"/>
                <w:color w:val="auto"/>
                <w:w w:val="96"/>
              </w:rPr>
              <w:t>Commission File Number</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0-19034</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8"/>
              </w:rPr>
              <w:t>REGENERON PHARMACEUTICALS, INC.</w:t>
            </w:r>
          </w:p>
        </w:tc>
        <w:tc>
          <w:tcPr>
            <w:tcW w:w="2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80" w:type="dxa"/>
            <w:vAlign w:val="bottom"/>
            <w:gridSpan w:val="10"/>
          </w:tcPr>
          <w:p>
            <w:pPr>
              <w:jc w:val="center"/>
              <w:ind w:right="1800"/>
              <w:spacing w:after="0"/>
              <w:rPr>
                <w:sz w:val="20"/>
                <w:szCs w:val="20"/>
                <w:color w:val="auto"/>
              </w:rPr>
            </w:pPr>
            <w:r>
              <w:rPr>
                <w:rFonts w:ascii="Arial" w:cs="Arial" w:eastAsia="Arial" w:hAnsi="Arial"/>
                <w:sz w:val="14"/>
                <w:szCs w:val="14"/>
                <w:color w:val="auto"/>
                <w:w w:val="92"/>
              </w:rPr>
              <w:t>(Exact name of registrant as specified in its charter)</w:t>
            </w:r>
          </w:p>
        </w:tc>
        <w:tc>
          <w:tcPr>
            <w:tcW w:w="0" w:type="dxa"/>
            <w:vAlign w:val="bottom"/>
          </w:tcPr>
          <w:p>
            <w:pPr>
              <w:spacing w:after="0"/>
              <w:rPr>
                <w:sz w:val="1"/>
                <w:szCs w:val="1"/>
                <w:color w:val="auto"/>
              </w:rPr>
            </w:pPr>
          </w:p>
        </w:tc>
      </w:tr>
      <w:tr>
        <w:trPr>
          <w:trHeight w:val="353"/>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10"/>
          </w:tcPr>
          <w:p>
            <w:pPr>
              <w:jc w:val="center"/>
              <w:ind w:right="2380"/>
              <w:spacing w:after="0"/>
              <w:rPr>
                <w:sz w:val="20"/>
                <w:szCs w:val="20"/>
                <w:color w:val="auto"/>
              </w:rPr>
            </w:pPr>
            <w:r>
              <w:rPr>
                <w:rFonts w:ascii="Arial" w:cs="Arial" w:eastAsia="Arial" w:hAnsi="Arial"/>
                <w:sz w:val="14"/>
                <w:szCs w:val="14"/>
                <w:color w:val="auto"/>
                <w:w w:val="95"/>
              </w:rPr>
              <w:t>New York</w:t>
            </w:r>
          </w:p>
        </w:tc>
        <w:tc>
          <w:tcPr>
            <w:tcW w:w="2260" w:type="dxa"/>
            <w:vAlign w:val="bottom"/>
            <w:gridSpan w:val="4"/>
          </w:tcPr>
          <w:p>
            <w:pPr>
              <w:jc w:val="center"/>
              <w:ind w:left="1489"/>
              <w:spacing w:after="0"/>
              <w:rPr>
                <w:sz w:val="20"/>
                <w:szCs w:val="20"/>
                <w:color w:val="auto"/>
              </w:rPr>
            </w:pPr>
            <w:r>
              <w:rPr>
                <w:rFonts w:ascii="Arial" w:cs="Arial" w:eastAsia="Arial" w:hAnsi="Arial"/>
                <w:sz w:val="14"/>
                <w:szCs w:val="14"/>
                <w:color w:val="auto"/>
                <w:w w:val="93"/>
              </w:rPr>
              <w:t>13-3444607</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60" w:type="dxa"/>
            <w:vAlign w:val="bottom"/>
            <w:gridSpan w:val="12"/>
          </w:tcPr>
          <w:p>
            <w:pPr>
              <w:jc w:val="center"/>
              <w:ind w:right="1380"/>
              <w:spacing w:after="0"/>
              <w:rPr>
                <w:sz w:val="20"/>
                <w:szCs w:val="20"/>
                <w:color w:val="auto"/>
              </w:rPr>
            </w:pPr>
            <w:r>
              <w:rPr>
                <w:rFonts w:ascii="Arial" w:cs="Arial" w:eastAsia="Arial" w:hAnsi="Arial"/>
                <w:sz w:val="14"/>
                <w:szCs w:val="14"/>
                <w:color w:val="auto"/>
                <w:w w:val="94"/>
              </w:rPr>
              <w:t>(State or other jurisdiction of</w:t>
            </w:r>
          </w:p>
        </w:tc>
        <w:tc>
          <w:tcPr>
            <w:tcW w:w="2940" w:type="dxa"/>
            <w:vAlign w:val="bottom"/>
            <w:gridSpan w:val="5"/>
          </w:tcPr>
          <w:p>
            <w:pPr>
              <w:jc w:val="center"/>
              <w:ind w:left="809"/>
              <w:spacing w:after="0"/>
              <w:rPr>
                <w:sz w:val="20"/>
                <w:szCs w:val="20"/>
                <w:color w:val="auto"/>
              </w:rPr>
            </w:pPr>
            <w:r>
              <w:rPr>
                <w:rFonts w:ascii="Arial" w:cs="Arial" w:eastAsia="Arial" w:hAnsi="Arial"/>
                <w:sz w:val="14"/>
                <w:szCs w:val="14"/>
                <w:color w:val="auto"/>
                <w:w w:val="95"/>
              </w:rPr>
              <w:t>(I.R.S. Employer Identification No.)</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gridSpan w:val="12"/>
          </w:tcPr>
          <w:p>
            <w:pPr>
              <w:jc w:val="center"/>
              <w:ind w:right="1360"/>
              <w:spacing w:after="0"/>
              <w:rPr>
                <w:sz w:val="20"/>
                <w:szCs w:val="20"/>
                <w:color w:val="auto"/>
              </w:rPr>
            </w:pPr>
            <w:r>
              <w:rPr>
                <w:rFonts w:ascii="Arial" w:cs="Arial" w:eastAsia="Arial" w:hAnsi="Arial"/>
                <w:sz w:val="14"/>
                <w:szCs w:val="14"/>
                <w:color w:val="auto"/>
                <w:w w:val="94"/>
              </w:rPr>
              <w:t>incorporation or organization)</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60" w:type="dxa"/>
            <w:vAlign w:val="bottom"/>
            <w:gridSpan w:val="12"/>
          </w:tcPr>
          <w:p>
            <w:pPr>
              <w:jc w:val="center"/>
              <w:ind w:right="1360"/>
              <w:spacing w:after="0"/>
              <w:rPr>
                <w:sz w:val="20"/>
                <w:szCs w:val="20"/>
                <w:color w:val="auto"/>
              </w:rPr>
            </w:pPr>
            <w:r>
              <w:rPr>
                <w:rFonts w:ascii="Arial" w:cs="Arial" w:eastAsia="Arial" w:hAnsi="Arial"/>
                <w:sz w:val="14"/>
                <w:szCs w:val="14"/>
                <w:color w:val="auto"/>
                <w:w w:val="96"/>
              </w:rPr>
              <w:t>777 Old Saw Mill River Road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6"/>
              </w:rPr>
              <w:t>Tarrytown, New York</w:t>
            </w:r>
          </w:p>
        </w:tc>
        <w:tc>
          <w:tcPr>
            <w:tcW w:w="2040" w:type="dxa"/>
            <w:vAlign w:val="bottom"/>
            <w:gridSpan w:val="5"/>
          </w:tcPr>
          <w:p>
            <w:pPr>
              <w:spacing w:after="0"/>
              <w:rPr>
                <w:sz w:val="14"/>
                <w:szCs w:val="14"/>
                <w:color w:val="auto"/>
              </w:rPr>
            </w:pPr>
          </w:p>
        </w:tc>
        <w:tc>
          <w:tcPr>
            <w:tcW w:w="1560" w:type="dxa"/>
            <w:vAlign w:val="bottom"/>
            <w:gridSpan w:val="3"/>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10591-6707</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60" w:type="dxa"/>
            <w:vAlign w:val="bottom"/>
            <w:gridSpan w:val="12"/>
          </w:tcPr>
          <w:p>
            <w:pPr>
              <w:jc w:val="center"/>
              <w:ind w:right="1380"/>
              <w:spacing w:after="0"/>
              <w:rPr>
                <w:sz w:val="20"/>
                <w:szCs w:val="20"/>
                <w:color w:val="auto"/>
              </w:rPr>
            </w:pPr>
            <w:r>
              <w:rPr>
                <w:rFonts w:ascii="Arial" w:cs="Arial" w:eastAsia="Arial" w:hAnsi="Arial"/>
                <w:sz w:val="14"/>
                <w:szCs w:val="14"/>
                <w:color w:val="auto"/>
                <w:w w:val="94"/>
              </w:rPr>
              <w:t>(Address of principal executive offices)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353"/>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gridSpan w:val="10"/>
          </w:tcPr>
          <w:p>
            <w:pPr>
              <w:spacing w:after="0"/>
              <w:rPr>
                <w:sz w:val="24"/>
                <w:szCs w:val="2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(914) 347-7000</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80" w:type="dxa"/>
            <w:vAlign w:val="bottom"/>
            <w:gridSpan w:val="10"/>
          </w:tcPr>
          <w:p>
            <w:pPr>
              <w:jc w:val="center"/>
              <w:ind w:right="1800"/>
              <w:spacing w:after="0"/>
              <w:rPr>
                <w:sz w:val="20"/>
                <w:szCs w:val="20"/>
                <w:color w:val="auto"/>
              </w:rPr>
            </w:pPr>
            <w:r>
              <w:rPr>
                <w:rFonts w:ascii="Arial" w:cs="Arial" w:eastAsia="Arial" w:hAnsi="Arial"/>
                <w:sz w:val="14"/>
                <w:szCs w:val="14"/>
                <w:color w:val="auto"/>
                <w:w w:val="91"/>
              </w:rPr>
              <w:t>(Registrant’s telephone number, including area code)</w:t>
            </w:r>
          </w:p>
        </w:tc>
        <w:tc>
          <w:tcPr>
            <w:tcW w:w="0" w:type="dxa"/>
            <w:vAlign w:val="bottom"/>
          </w:tcPr>
          <w:p>
            <w:pPr>
              <w:spacing w:after="0"/>
              <w:rPr>
                <w:sz w:val="1"/>
                <w:szCs w:val="1"/>
                <w:color w:val="auto"/>
              </w:rPr>
            </w:pPr>
          </w:p>
        </w:tc>
      </w:tr>
    </w:tbl>
    <w:p>
      <w:pPr>
        <w:spacing w:after="0" w:line="192"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280"/>
        <w:spacing w:after="0"/>
        <w:tabs>
          <w:tab w:leader="none" w:pos="4860" w:val="left"/>
          <w:tab w:leader="none" w:pos="608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2881630</wp:posOffset>
            </wp:positionH>
            <wp:positionV relativeFrom="paragraph">
              <wp:posOffset>20955</wp:posOffset>
            </wp:positionV>
            <wp:extent cx="543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560" cy="698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20955</wp:posOffset>
            </wp:positionV>
            <wp:extent cx="557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6985"/>
                    </a:xfrm>
                    <a:prstGeom prst="rect">
                      <a:avLst/>
                    </a:prstGeom>
                    <a:noFill/>
                  </pic:spPr>
                </pic:pic>
              </a:graphicData>
            </a:graphic>
          </wp:anchor>
        </w:drawing>
      </w:r>
    </w:p>
    <w:p>
      <w:pPr>
        <w:spacing w:after="0" w:line="192" w:lineRule="exact"/>
        <w:rPr>
          <w:sz w:val="24"/>
          <w:szCs w:val="24"/>
          <w:color w:val="auto"/>
        </w:rPr>
      </w:pPr>
    </w:p>
    <w:p>
      <w:pPr>
        <w:ind w:right="20"/>
        <w:spacing w:after="0" w:line="290"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4280"/>
        <w:spacing w:after="0"/>
        <w:tabs>
          <w:tab w:leader="none" w:pos="4860" w:val="left"/>
          <w:tab w:leader="none" w:pos="608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2881630</wp:posOffset>
            </wp:positionH>
            <wp:positionV relativeFrom="paragraph">
              <wp:posOffset>20955</wp:posOffset>
            </wp:positionV>
            <wp:extent cx="5435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560" cy="698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20955</wp:posOffset>
            </wp:positionV>
            <wp:extent cx="557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6985"/>
                    </a:xfrm>
                    <a:prstGeom prst="rect">
                      <a:avLst/>
                    </a:prstGeom>
                    <a:noFill/>
                  </pic:spPr>
                </pic:pic>
              </a:graphicData>
            </a:graphic>
          </wp:anchor>
        </w:drawing>
      </w:r>
    </w:p>
    <w:p>
      <w:pPr>
        <w:spacing w:after="0" w:line="192"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320" w:type="dxa"/>
            <w:vAlign w:val="bottom"/>
            <w:gridSpan w:val="2"/>
          </w:tcPr>
          <w:p>
            <w:pPr>
              <w:spacing w:after="0"/>
              <w:rPr>
                <w:sz w:val="20"/>
                <w:szCs w:val="20"/>
                <w:color w:val="auto"/>
              </w:rPr>
            </w:pPr>
            <w:r>
              <w:rPr>
                <w:rFonts w:ascii="Arial" w:cs="Arial" w:eastAsia="Arial" w:hAnsi="Arial"/>
                <w:sz w:val="14"/>
                <w:szCs w:val="14"/>
                <w:color w:val="auto"/>
                <w:w w:val="93"/>
              </w:rPr>
              <w:t>Large accelerated filer</w:t>
            </w:r>
          </w:p>
        </w:tc>
        <w:tc>
          <w:tcPr>
            <w:tcW w:w="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X</w:t>
            </w:r>
          </w:p>
        </w:tc>
        <w:tc>
          <w:tcPr>
            <w:tcW w:w="4380" w:type="dxa"/>
            <w:vAlign w:val="bottom"/>
            <w:gridSpan w:val="5"/>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540"/>
              <w:spacing w:after="0"/>
              <w:rPr>
                <w:sz w:val="20"/>
                <w:szCs w:val="20"/>
                <w:color w:val="auto"/>
              </w:rPr>
            </w:pPr>
            <w:r>
              <w:rPr>
                <w:rFonts w:ascii="Arial" w:cs="Arial" w:eastAsia="Arial" w:hAnsi="Arial"/>
                <w:sz w:val="14"/>
                <w:szCs w:val="14"/>
                <w:color w:val="auto"/>
                <w:w w:val="97"/>
              </w:rPr>
              <w:t>Accelerated filer</w:t>
            </w:r>
          </w:p>
        </w:tc>
        <w:tc>
          <w:tcPr>
            <w:tcW w:w="180" w:type="dxa"/>
            <w:vAlign w:val="bottom"/>
            <w:tcBorders>
              <w:bottom w:val="single" w:sz="8" w:color="auto"/>
            </w:tcBorders>
          </w:tcPr>
          <w:p>
            <w:pPr>
              <w:spacing w:after="0"/>
              <w:rPr>
                <w:sz w:val="16"/>
                <w:szCs w:val="16"/>
                <w:color w:val="auto"/>
              </w:rPr>
            </w:pPr>
          </w:p>
        </w:tc>
        <w:tc>
          <w:tcPr>
            <w:tcW w:w="760" w:type="dxa"/>
            <w:vAlign w:val="bottom"/>
            <w:gridSpan w:val="3"/>
          </w:tcPr>
          <w:p>
            <w:pPr>
              <w:spacing w:after="0"/>
              <w:rPr>
                <w:sz w:val="16"/>
                <w:szCs w:val="16"/>
                <w:color w:val="auto"/>
              </w:rPr>
            </w:pPr>
          </w:p>
        </w:tc>
        <w:tc>
          <w:tcPr>
            <w:tcW w:w="2420" w:type="dxa"/>
            <w:vAlign w:val="bottom"/>
          </w:tcPr>
          <w:p>
            <w:pPr>
              <w:spacing w:after="0"/>
              <w:rPr>
                <w:sz w:val="16"/>
                <w:szCs w:val="16"/>
                <w:color w:val="auto"/>
              </w:rPr>
            </w:pPr>
          </w:p>
        </w:tc>
      </w:tr>
      <w:tr>
        <w:trPr>
          <w:trHeight w:val="191"/>
        </w:trPr>
        <w:tc>
          <w:tcPr>
            <w:tcW w:w="1260" w:type="dxa"/>
            <w:vAlign w:val="bottom"/>
          </w:tcPr>
          <w:p>
            <w:pPr>
              <w:spacing w:after="0"/>
              <w:rPr>
                <w:sz w:val="20"/>
                <w:szCs w:val="20"/>
                <w:color w:val="auto"/>
              </w:rPr>
            </w:pPr>
            <w:r>
              <w:rPr>
                <w:rFonts w:ascii="Arial" w:cs="Arial" w:eastAsia="Arial" w:hAnsi="Arial"/>
                <w:sz w:val="14"/>
                <w:szCs w:val="14"/>
                <w:color w:val="auto"/>
                <w:w w:val="95"/>
              </w:rPr>
              <w:t>Non-accelerated filer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520" w:type="dxa"/>
            <w:vAlign w:val="bottom"/>
            <w:gridSpan w:val="6"/>
          </w:tcPr>
          <w:p>
            <w:pPr>
              <w:ind w:left="20"/>
              <w:spacing w:after="0"/>
              <w:rPr>
                <w:sz w:val="20"/>
                <w:szCs w:val="20"/>
                <w:color w:val="auto"/>
              </w:rPr>
            </w:pPr>
            <w:r>
              <w:rPr>
                <w:rFonts w:ascii="Arial" w:cs="Arial" w:eastAsia="Arial" w:hAnsi="Arial"/>
                <w:sz w:val="14"/>
                <w:szCs w:val="14"/>
                <w:color w:val="auto"/>
              </w:rPr>
              <w:t>(Do not check if a smaller reporting company)</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color w:val="auto"/>
                <w:w w:val="94"/>
              </w:rPr>
              <w:t>Smaller reporting company</w:t>
            </w:r>
          </w:p>
        </w:tc>
        <w:tc>
          <w:tcPr>
            <w:tcW w:w="180" w:type="dxa"/>
            <w:vAlign w:val="bottom"/>
            <w:tcBorders>
              <w:bottom w:val="single" w:sz="8" w:color="auto"/>
            </w:tcBorders>
            <w:gridSpan w:val="2"/>
          </w:tcPr>
          <w:p>
            <w:pPr>
              <w:spacing w:after="0"/>
              <w:rPr>
                <w:sz w:val="16"/>
                <w:szCs w:val="16"/>
                <w:color w:val="auto"/>
              </w:rPr>
            </w:pPr>
          </w:p>
        </w:tc>
        <w:tc>
          <w:tcPr>
            <w:tcW w:w="2420" w:type="dxa"/>
            <w:vAlign w:val="bottom"/>
          </w:tcPr>
          <w:p>
            <w:pPr>
              <w:spacing w:after="0"/>
              <w:rPr>
                <w:sz w:val="16"/>
                <w:szCs w:val="16"/>
                <w:color w:val="auto"/>
              </w:rPr>
            </w:pPr>
          </w:p>
        </w:tc>
      </w:tr>
      <w:tr>
        <w:trPr>
          <w:trHeight w:val="368"/>
        </w:trPr>
        <w:tc>
          <w:tcPr>
            <w:tcW w:w="6580" w:type="dxa"/>
            <w:vAlign w:val="bottom"/>
            <w:gridSpan w:val="11"/>
          </w:tcPr>
          <w:p>
            <w:pPr>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ind w:left="1100"/>
              <w:spacing w:after="0"/>
              <w:rPr>
                <w:sz w:val="20"/>
                <w:szCs w:val="20"/>
                <w:color w:val="auto"/>
              </w:rPr>
            </w:pPr>
            <w:r>
              <w:rPr>
                <w:rFonts w:ascii="Arial" w:cs="Arial" w:eastAsia="Arial" w:hAnsi="Arial"/>
                <w:sz w:val="14"/>
                <w:szCs w:val="14"/>
                <w:color w:val="auto"/>
                <w:w w:val="99"/>
              </w:rPr>
              <w:t>Yes</w:t>
            </w:r>
          </w:p>
        </w:tc>
        <w:tc>
          <w:tcPr>
            <w:tcW w:w="880" w:type="dxa"/>
            <w:vAlign w:val="bottom"/>
            <w:tcBorders>
              <w:bottom w:val="single" w:sz="8" w:color="auto"/>
            </w:tcBorders>
            <w:gridSpan w:val="2"/>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4"/>
                <w:szCs w:val="14"/>
                <w:color w:val="auto"/>
              </w:rPr>
              <w:t>No</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X</w:t>
            </w:r>
          </w:p>
        </w:tc>
        <w:tc>
          <w:tcPr>
            <w:tcW w:w="1860" w:type="dxa"/>
            <w:vAlign w:val="bottom"/>
            <w:gridSpan w:val="6"/>
          </w:tcPr>
          <w:p>
            <w:pPr>
              <w:spacing w:after="0"/>
              <w:rPr>
                <w:sz w:val="16"/>
                <w:szCs w:val="16"/>
                <w:color w:val="auto"/>
              </w:rPr>
            </w:pPr>
          </w:p>
        </w:tc>
        <w:tc>
          <w:tcPr>
            <w:tcW w:w="2420" w:type="dxa"/>
            <w:vAlign w:val="bottom"/>
          </w:tcPr>
          <w:p>
            <w:pPr>
              <w:spacing w:after="0"/>
              <w:rPr>
                <w:sz w:val="16"/>
                <w:szCs w:val="16"/>
                <w:color w:val="auto"/>
              </w:rPr>
            </w:pPr>
          </w:p>
        </w:tc>
      </w:tr>
      <w:tr>
        <w:trPr>
          <w:trHeight w:val="347"/>
        </w:trPr>
        <w:tc>
          <w:tcPr>
            <w:tcW w:w="5960" w:type="dxa"/>
            <w:vAlign w:val="bottom"/>
            <w:gridSpan w:val="9"/>
          </w:tcPr>
          <w:p>
            <w:pPr>
              <w:spacing w:after="0"/>
              <w:rPr>
                <w:sz w:val="20"/>
                <w:szCs w:val="20"/>
                <w:color w:val="auto"/>
              </w:rPr>
            </w:pPr>
            <w:r>
              <w:rPr>
                <w:rFonts w:ascii="Arial" w:cs="Arial" w:eastAsia="Arial" w:hAnsi="Arial"/>
                <w:sz w:val="14"/>
                <w:szCs w:val="14"/>
                <w:color w:val="auto"/>
                <w:w w:val="93"/>
              </w:rPr>
              <w:t>Number of shares outstanding of each of the registrant’s classes of common stock as of July 15, 2011: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5"/>
        </w:trPr>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3"/>
              </w:rPr>
              <w:t>Class of Common Stock</w:t>
            </w:r>
          </w:p>
        </w:tc>
        <w:tc>
          <w:tcPr>
            <w:tcW w:w="138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1"/>
              </w:rPr>
              <w:t>Number of Shares</w:t>
            </w: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208"/>
        </w:trPr>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gridSpan w:val="5"/>
          </w:tcPr>
          <w:p>
            <w:pPr>
              <w:jc w:val="center"/>
              <w:ind w:left="149"/>
              <w:spacing w:after="0"/>
              <w:rPr>
                <w:sz w:val="20"/>
                <w:szCs w:val="20"/>
                <w:color w:val="auto"/>
              </w:rPr>
            </w:pPr>
            <w:r>
              <w:rPr>
                <w:rFonts w:ascii="Arial" w:cs="Arial" w:eastAsia="Arial" w:hAnsi="Arial"/>
                <w:sz w:val="14"/>
                <w:szCs w:val="14"/>
                <w:color w:val="auto"/>
                <w:w w:val="92"/>
              </w:rPr>
              <w:t>Class A Stock, $0.001 par value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left="1429"/>
              <w:spacing w:after="0"/>
              <w:rPr>
                <w:sz w:val="20"/>
                <w:szCs w:val="20"/>
                <w:color w:val="auto"/>
              </w:rPr>
            </w:pPr>
            <w:r>
              <w:rPr>
                <w:rFonts w:ascii="Arial" w:cs="Arial" w:eastAsia="Arial" w:hAnsi="Arial"/>
                <w:sz w:val="14"/>
                <w:szCs w:val="14"/>
                <w:color w:val="auto"/>
                <w:w w:val="89"/>
              </w:rPr>
              <w:t>2,126,717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97"/>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gridSpan w:val="5"/>
          </w:tcPr>
          <w:p>
            <w:pPr>
              <w:jc w:val="center"/>
              <w:ind w:left="149"/>
              <w:spacing w:after="0"/>
              <w:rPr>
                <w:sz w:val="20"/>
                <w:szCs w:val="20"/>
                <w:color w:val="auto"/>
              </w:rPr>
            </w:pPr>
            <w:r>
              <w:rPr>
                <w:rFonts w:ascii="Arial" w:cs="Arial" w:eastAsia="Arial" w:hAnsi="Arial"/>
                <w:sz w:val="14"/>
                <w:szCs w:val="14"/>
                <w:color w:val="auto"/>
                <w:w w:val="92"/>
              </w:rPr>
              <w:t>Common Stock, $0.001 par value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left="1389"/>
              <w:spacing w:after="0"/>
              <w:rPr>
                <w:sz w:val="20"/>
                <w:szCs w:val="20"/>
                <w:color w:val="auto"/>
              </w:rPr>
            </w:pPr>
            <w:r>
              <w:rPr>
                <w:rFonts w:ascii="Arial" w:cs="Arial" w:eastAsia="Arial" w:hAnsi="Arial"/>
                <w:sz w:val="14"/>
                <w:szCs w:val="14"/>
                <w:color w:val="auto"/>
                <w:w w:val="91"/>
              </w:rPr>
              <w:t>89,499,900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305"/>
        </w:trPr>
        <w:tc>
          <w:tcPr>
            <w:tcW w:w="1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417"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320" w:type="dxa"/>
            <w:vAlign w:val="bottom"/>
            <w:gridSpan w:val="2"/>
          </w:tcPr>
          <w:p>
            <w:pPr>
              <w:jc w:val="center"/>
              <w:ind w:right="3169"/>
              <w:spacing w:after="0"/>
              <w:rPr>
                <w:sz w:val="20"/>
                <w:szCs w:val="20"/>
                <w:color w:val="auto"/>
              </w:rPr>
            </w:pPr>
            <w:r>
              <w:rPr>
                <w:rFonts w:ascii="Arial" w:cs="Arial" w:eastAsia="Arial" w:hAnsi="Arial"/>
                <w:sz w:val="14"/>
                <w:szCs w:val="14"/>
                <w:b w:val="1"/>
                <w:bCs w:val="1"/>
                <w:color w:val="auto"/>
              </w:rPr>
              <w:t>REGENERON PHARMACEUTICALS, INC.</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80" w:type="dxa"/>
            <w:vAlign w:val="bottom"/>
          </w:tcPr>
          <w:p>
            <w:pPr>
              <w:jc w:val="center"/>
              <w:ind w:right="3309"/>
              <w:spacing w:after="0"/>
              <w:rPr>
                <w:sz w:val="20"/>
                <w:szCs w:val="20"/>
                <w:color w:val="auto"/>
              </w:rPr>
            </w:pPr>
            <w:r>
              <w:rPr>
                <w:rFonts w:ascii="Arial" w:cs="Arial" w:eastAsia="Arial" w:hAnsi="Arial"/>
                <w:sz w:val="14"/>
                <w:szCs w:val="14"/>
                <w:b w:val="1"/>
                <w:bCs w:val="1"/>
                <w:color w:val="auto"/>
                <w:w w:val="91"/>
              </w:rPr>
              <w:t>Table of Contents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80" w:type="dxa"/>
            <w:vAlign w:val="bottom"/>
          </w:tcPr>
          <w:p>
            <w:pPr>
              <w:jc w:val="center"/>
              <w:ind w:right="3329"/>
              <w:spacing w:after="0"/>
              <w:rPr>
                <w:sz w:val="20"/>
                <w:szCs w:val="20"/>
                <w:color w:val="auto"/>
              </w:rPr>
            </w:pPr>
            <w:r>
              <w:rPr>
                <w:rFonts w:ascii="Arial" w:cs="Arial" w:eastAsia="Arial" w:hAnsi="Arial"/>
                <w:sz w:val="14"/>
                <w:szCs w:val="14"/>
                <w:b w:val="1"/>
                <w:bCs w:val="1"/>
                <w:color w:val="auto"/>
                <w:w w:val="90"/>
              </w:rPr>
              <w:t>June 30, 2011</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0"/>
        </w:trPr>
        <w:tc>
          <w:tcPr>
            <w:tcW w:w="38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96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6180" w:type="dxa"/>
            <w:vAlign w:val="bottom"/>
            <w:tcBorders>
              <w:bottom w:val="single" w:sz="8" w:color="C0C0C0"/>
            </w:tcBorders>
          </w:tcPr>
          <w:p>
            <w:pPr>
              <w:spacing w:after="0"/>
              <w:rPr>
                <w:sz w:val="24"/>
                <w:szCs w:val="2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Page Numbers</w:t>
            </w:r>
          </w:p>
        </w:tc>
        <w:tc>
          <w:tcPr>
            <w:tcW w:w="20" w:type="dxa"/>
            <w:vAlign w:val="bottom"/>
          </w:tcPr>
          <w:p>
            <w:pPr>
              <w:spacing w:after="0"/>
              <w:rPr>
                <w:sz w:val="24"/>
                <w:szCs w:val="24"/>
                <w:color w:val="auto"/>
              </w:rPr>
            </w:pPr>
          </w:p>
        </w:tc>
      </w:tr>
      <w:tr>
        <w:trPr>
          <w:trHeight w:val="195"/>
        </w:trPr>
        <w:tc>
          <w:tcPr>
            <w:tcW w:w="760" w:type="dxa"/>
            <w:vAlign w:val="bottom"/>
            <w:gridSpan w:val="3"/>
            <w:shd w:val="clear" w:color="auto" w:fill="C0C0C0"/>
          </w:tcPr>
          <w:p>
            <w:pPr>
              <w:spacing w:after="0"/>
              <w:rPr>
                <w:sz w:val="20"/>
                <w:szCs w:val="20"/>
                <w:color w:val="auto"/>
              </w:rPr>
            </w:pPr>
            <w:r>
              <w:rPr>
                <w:rFonts w:ascii="Arial" w:cs="Arial" w:eastAsia="Arial" w:hAnsi="Arial"/>
                <w:sz w:val="14"/>
                <w:szCs w:val="14"/>
                <w:b w:val="1"/>
                <w:bCs w:val="1"/>
                <w:color w:val="auto"/>
              </w:rPr>
              <w:t>PART I</w:t>
            </w: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b w:val="1"/>
                <w:bCs w:val="1"/>
                <w:color w:val="auto"/>
              </w:rPr>
              <w:t>FINANCIAL INFORMATION</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1</w:t>
            </w:r>
          </w:p>
        </w:tc>
        <w:tc>
          <w:tcPr>
            <w:tcW w:w="9760" w:type="dxa"/>
            <w:vAlign w:val="bottom"/>
            <w:gridSpan w:val="9"/>
            <w:shd w:val="clear" w:color="auto" w:fill="C0C0C0"/>
          </w:tcPr>
          <w:p>
            <w:pPr>
              <w:spacing w:after="0" w:line="153" w:lineRule="exact"/>
              <w:rPr>
                <w:sz w:val="20"/>
                <w:szCs w:val="20"/>
                <w:color w:val="auto"/>
              </w:rPr>
            </w:pPr>
            <w:r>
              <w:rPr>
                <w:rFonts w:ascii="Arial" w:cs="Arial" w:eastAsia="Arial" w:hAnsi="Arial"/>
                <w:sz w:val="14"/>
                <w:szCs w:val="14"/>
                <w:color w:val="auto"/>
              </w:rPr>
              <w:t>Financial Statements</w:t>
            </w:r>
          </w:p>
        </w:tc>
        <w:tc>
          <w:tcPr>
            <w:tcW w:w="940" w:type="dxa"/>
            <w:vAlign w:val="bottom"/>
            <w:shd w:val="clear" w:color="auto" w:fill="C0C0C0"/>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Condensed balance sheets (unaudited) at June 30, 2011</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and December 31,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Condensed statements of operations (unaudited) for the three</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and six months ended June 30, 2011 and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Condensed statements of stockholders’ equity (unaudited) for</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the six months ended June 30, 2011 and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Condensed statements of cash flows (unaudited) for the</w:t>
            </w:r>
          </w:p>
        </w:tc>
        <w:tc>
          <w:tcPr>
            <w:tcW w:w="9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six months ended June 30, 2011 and 2010</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8"/>
                <w:szCs w:val="18"/>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color w:val="auto"/>
              </w:rPr>
              <w:t>Notes to condensed financial statements (unaudited)</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7-16</w:t>
            </w:r>
          </w:p>
        </w:tc>
        <w:tc>
          <w:tcPr>
            <w:tcW w:w="2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4"/>
        </w:trPr>
        <w:tc>
          <w:tcPr>
            <w:tcW w:w="380" w:type="dxa"/>
            <w:vAlign w:val="bottom"/>
            <w:shd w:val="clear" w:color="auto" w:fill="C0C0C0"/>
          </w:tcPr>
          <w:p>
            <w:pPr>
              <w:spacing w:after="0" w:line="153" w:lineRule="exact"/>
              <w:rPr>
                <w:sz w:val="20"/>
                <w:szCs w:val="20"/>
                <w:color w:val="auto"/>
              </w:rPr>
            </w:pPr>
            <w:r>
              <w:rPr>
                <w:rFonts w:ascii="Arial" w:cs="Arial" w:eastAsia="Arial" w:hAnsi="Arial"/>
                <w:sz w:val="14"/>
                <w:szCs w:val="14"/>
                <w:color w:val="auto"/>
                <w:w w:val="92"/>
              </w:rPr>
              <w:t>Item 2</w:t>
            </w:r>
          </w:p>
        </w:tc>
        <w:tc>
          <w:tcPr>
            <w:tcW w:w="380" w:type="dxa"/>
            <w:vAlign w:val="bottom"/>
            <w:gridSpan w:val="2"/>
            <w:shd w:val="clear" w:color="auto" w:fill="C0C0C0"/>
          </w:tcPr>
          <w:p>
            <w:pPr>
              <w:spacing w:after="0"/>
              <w:rPr>
                <w:sz w:val="13"/>
                <w:szCs w:val="13"/>
                <w:color w:val="auto"/>
              </w:rPr>
            </w:pPr>
          </w:p>
        </w:tc>
        <w:tc>
          <w:tcPr>
            <w:tcW w:w="9760" w:type="dxa"/>
            <w:vAlign w:val="bottom"/>
            <w:gridSpan w:val="9"/>
            <w:shd w:val="clear" w:color="auto" w:fill="C0C0C0"/>
          </w:tcPr>
          <w:p>
            <w:pPr>
              <w:spacing w:after="0" w:line="153" w:lineRule="exact"/>
              <w:rPr>
                <w:sz w:val="20"/>
                <w:szCs w:val="20"/>
                <w:color w:val="auto"/>
              </w:rPr>
            </w:pPr>
            <w:r>
              <w:rPr>
                <w:rFonts w:ascii="Arial" w:cs="Arial" w:eastAsia="Arial" w:hAnsi="Arial"/>
                <w:sz w:val="14"/>
                <w:szCs w:val="14"/>
                <w:color w:val="auto"/>
              </w:rPr>
              <w:t>Management's Discussion and Analysis of Financial Condition</w:t>
            </w:r>
          </w:p>
        </w:tc>
        <w:tc>
          <w:tcPr>
            <w:tcW w:w="94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r>
      <w:tr>
        <w:trPr>
          <w:trHeight w:val="201"/>
        </w:trPr>
        <w:tc>
          <w:tcPr>
            <w:tcW w:w="38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280" w:type="dxa"/>
            <w:vAlign w:val="bottom"/>
            <w:tcBorders>
              <w:top w:val="single" w:sz="8" w:color="C0C0C0"/>
            </w:tcBorders>
            <w:shd w:val="clear" w:color="auto" w:fill="C0C0C0"/>
          </w:tcPr>
          <w:p>
            <w:pPr>
              <w:spacing w:after="0"/>
              <w:rPr>
                <w:sz w:val="17"/>
                <w:szCs w:val="17"/>
                <w:color w:val="auto"/>
              </w:rPr>
            </w:pPr>
          </w:p>
        </w:tc>
        <w:tc>
          <w:tcPr>
            <w:tcW w:w="3580" w:type="dxa"/>
            <w:vAlign w:val="bottom"/>
            <w:tcBorders>
              <w:top w:val="single" w:sz="8" w:color="auto"/>
            </w:tcBorders>
            <w:gridSpan w:val="8"/>
            <w:shd w:val="clear" w:color="auto" w:fill="C0C0C0"/>
          </w:tcPr>
          <w:p>
            <w:pPr>
              <w:spacing w:after="0"/>
              <w:rPr>
                <w:sz w:val="20"/>
                <w:szCs w:val="20"/>
                <w:color w:val="auto"/>
              </w:rPr>
            </w:pPr>
            <w:r>
              <w:rPr>
                <w:rFonts w:ascii="Arial" w:cs="Arial" w:eastAsia="Arial" w:hAnsi="Arial"/>
                <w:sz w:val="14"/>
                <w:szCs w:val="14"/>
                <w:color w:val="auto"/>
              </w:rPr>
              <w:t>and Results of Operations</w:t>
            </w:r>
          </w:p>
        </w:tc>
        <w:tc>
          <w:tcPr>
            <w:tcW w:w="6180" w:type="dxa"/>
            <w:vAlign w:val="bottom"/>
            <w:tcBorders>
              <w:top w:val="single" w:sz="8" w:color="C0C0C0"/>
            </w:tcBorders>
            <w:shd w:val="clear" w:color="auto" w:fill="C0C0C0"/>
          </w:tcPr>
          <w:p>
            <w:pPr>
              <w:spacing w:after="0"/>
              <w:rPr>
                <w:sz w:val="17"/>
                <w:szCs w:val="17"/>
                <w:color w:val="auto"/>
              </w:rPr>
            </w:pPr>
          </w:p>
        </w:tc>
        <w:tc>
          <w:tcPr>
            <w:tcW w:w="940" w:type="dxa"/>
            <w:vAlign w:val="bottom"/>
            <w:tcBorders>
              <w:top w:val="single" w:sz="8" w:color="C0C0C0"/>
            </w:tcBorders>
            <w:shd w:val="clear" w:color="auto" w:fill="C0C0C0"/>
          </w:tcPr>
          <w:p>
            <w:pPr>
              <w:ind w:left="300"/>
              <w:spacing w:after="0"/>
              <w:rPr>
                <w:sz w:val="20"/>
                <w:szCs w:val="20"/>
                <w:color w:val="auto"/>
              </w:rPr>
            </w:pPr>
            <w:r>
              <w:rPr>
                <w:rFonts w:ascii="Arial" w:cs="Arial" w:eastAsia="Arial" w:hAnsi="Arial"/>
                <w:sz w:val="14"/>
                <w:szCs w:val="14"/>
                <w:color w:val="auto"/>
              </w:rPr>
              <w:t>17-43</w:t>
            </w:r>
          </w:p>
        </w:tc>
        <w:tc>
          <w:tcPr>
            <w:tcW w:w="20" w:type="dxa"/>
            <w:vAlign w:val="bottom"/>
          </w:tcPr>
          <w:p>
            <w:pPr>
              <w:spacing w:after="0"/>
              <w:rPr>
                <w:sz w:val="17"/>
                <w:szCs w:val="17"/>
                <w:color w:val="auto"/>
              </w:rPr>
            </w:pPr>
          </w:p>
        </w:tc>
      </w:tr>
      <w:tr>
        <w:trPr>
          <w:trHeight w:val="197"/>
        </w:trPr>
        <w:tc>
          <w:tcPr>
            <w:tcW w:w="380" w:type="dxa"/>
            <w:vAlign w:val="bottom"/>
            <w:tcBorders>
              <w:top w:val="single" w:sz="8" w:color="C0C0C0"/>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3</w:t>
            </w:r>
          </w:p>
        </w:tc>
        <w:tc>
          <w:tcPr>
            <w:tcW w:w="9760" w:type="dxa"/>
            <w:vAlign w:val="bottom"/>
            <w:gridSpan w:val="9"/>
            <w:shd w:val="clear" w:color="auto" w:fill="C0C0C0"/>
          </w:tcPr>
          <w:p>
            <w:pPr>
              <w:spacing w:after="0" w:line="153" w:lineRule="exact"/>
              <w:rPr>
                <w:sz w:val="20"/>
                <w:szCs w:val="20"/>
                <w:color w:val="auto"/>
              </w:rPr>
            </w:pPr>
            <w:r>
              <w:rPr>
                <w:rFonts w:ascii="Arial" w:cs="Arial" w:eastAsia="Arial" w:hAnsi="Arial"/>
                <w:sz w:val="14"/>
                <w:szCs w:val="14"/>
                <w:color w:val="auto"/>
              </w:rPr>
              <w:t>Quantitative and Qualitative Disclosures About Market Risk</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4</w:t>
            </w:r>
          </w:p>
        </w:tc>
        <w:tc>
          <w:tcPr>
            <w:tcW w:w="9760" w:type="dxa"/>
            <w:vAlign w:val="bottom"/>
            <w:gridSpan w:val="9"/>
            <w:shd w:val="clear" w:color="auto" w:fill="C0C0C0"/>
          </w:tcPr>
          <w:p>
            <w:pPr>
              <w:spacing w:after="0" w:line="153" w:lineRule="exact"/>
              <w:rPr>
                <w:sz w:val="20"/>
                <w:szCs w:val="20"/>
                <w:color w:val="auto"/>
              </w:rPr>
            </w:pPr>
            <w:r>
              <w:rPr>
                <w:rFonts w:ascii="Arial" w:cs="Arial" w:eastAsia="Arial" w:hAnsi="Arial"/>
                <w:sz w:val="14"/>
                <w:szCs w:val="14"/>
                <w:color w:val="auto"/>
              </w:rPr>
              <w:t>Controls and Procedures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760" w:type="dxa"/>
            <w:vAlign w:val="bottom"/>
            <w:gridSpan w:val="3"/>
            <w:shd w:val="clear" w:color="auto" w:fill="C0C0C0"/>
          </w:tcPr>
          <w:p>
            <w:pPr>
              <w:spacing w:after="0"/>
              <w:rPr>
                <w:sz w:val="20"/>
                <w:szCs w:val="20"/>
                <w:color w:val="auto"/>
              </w:rPr>
            </w:pPr>
            <w:r>
              <w:rPr>
                <w:rFonts w:ascii="Arial" w:cs="Arial" w:eastAsia="Arial" w:hAnsi="Arial"/>
                <w:sz w:val="14"/>
                <w:szCs w:val="14"/>
                <w:b w:val="1"/>
                <w:bCs w:val="1"/>
                <w:color w:val="auto"/>
              </w:rPr>
              <w:t>PART II</w:t>
            </w:r>
          </w:p>
        </w:tc>
        <w:tc>
          <w:tcPr>
            <w:tcW w:w="9760" w:type="dxa"/>
            <w:vAlign w:val="bottom"/>
            <w:gridSpan w:val="9"/>
            <w:shd w:val="clear" w:color="auto" w:fill="C0C0C0"/>
          </w:tcPr>
          <w:p>
            <w:pPr>
              <w:spacing w:after="0"/>
              <w:rPr>
                <w:sz w:val="20"/>
                <w:szCs w:val="20"/>
                <w:color w:val="auto"/>
              </w:rPr>
            </w:pPr>
            <w:r>
              <w:rPr>
                <w:rFonts w:ascii="Arial" w:cs="Arial" w:eastAsia="Arial" w:hAnsi="Arial"/>
                <w:sz w:val="14"/>
                <w:szCs w:val="14"/>
                <w:b w:val="1"/>
                <w:bCs w:val="1"/>
                <w:color w:val="auto"/>
              </w:rPr>
              <w:t>OTHER INFORMATION</w:t>
            </w:r>
          </w:p>
        </w:tc>
        <w:tc>
          <w:tcPr>
            <w:tcW w:w="94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1</w:t>
            </w:r>
          </w:p>
        </w:tc>
        <w:tc>
          <w:tcPr>
            <w:tcW w:w="9760" w:type="dxa"/>
            <w:vAlign w:val="bottom"/>
            <w:gridSpan w:val="9"/>
            <w:shd w:val="clear" w:color="auto" w:fill="C0C0C0"/>
          </w:tcPr>
          <w:p>
            <w:pPr>
              <w:spacing w:after="0" w:line="153" w:lineRule="exact"/>
              <w:rPr>
                <w:sz w:val="20"/>
                <w:szCs w:val="20"/>
                <w:color w:val="auto"/>
              </w:rPr>
            </w:pPr>
            <w:r>
              <w:rPr>
                <w:rFonts w:ascii="Arial" w:cs="Arial" w:eastAsia="Arial" w:hAnsi="Arial"/>
                <w:sz w:val="14"/>
                <w:szCs w:val="14"/>
                <w:color w:val="auto"/>
              </w:rPr>
              <w:t>Legal Proceedings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1A</w:t>
            </w:r>
          </w:p>
        </w:tc>
        <w:tc>
          <w:tcPr>
            <w:tcW w:w="9760" w:type="dxa"/>
            <w:vAlign w:val="bottom"/>
            <w:gridSpan w:val="9"/>
            <w:shd w:val="clear" w:color="auto" w:fill="C0C0C0"/>
          </w:tcPr>
          <w:p>
            <w:pPr>
              <w:spacing w:after="0" w:line="153" w:lineRule="exact"/>
              <w:rPr>
                <w:sz w:val="20"/>
                <w:szCs w:val="20"/>
                <w:color w:val="auto"/>
              </w:rPr>
            </w:pPr>
            <w:r>
              <w:rPr>
                <w:rFonts w:ascii="Arial" w:cs="Arial" w:eastAsia="Arial" w:hAnsi="Arial"/>
                <w:sz w:val="14"/>
                <w:szCs w:val="14"/>
                <w:color w:val="auto"/>
              </w:rPr>
              <w:t>Risk Factors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44-66</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60" w:type="dxa"/>
            <w:vAlign w:val="bottom"/>
            <w:gridSpan w:val="3"/>
            <w:shd w:val="clear" w:color="auto" w:fill="C0C0C0"/>
          </w:tcPr>
          <w:p>
            <w:pPr>
              <w:spacing w:after="0" w:line="153" w:lineRule="exact"/>
              <w:rPr>
                <w:sz w:val="20"/>
                <w:szCs w:val="20"/>
                <w:color w:val="auto"/>
              </w:rPr>
            </w:pPr>
            <w:r>
              <w:rPr>
                <w:rFonts w:ascii="Arial" w:cs="Arial" w:eastAsia="Arial" w:hAnsi="Arial"/>
                <w:sz w:val="14"/>
                <w:szCs w:val="14"/>
                <w:color w:val="auto"/>
              </w:rPr>
              <w:t>Item 6</w:t>
            </w:r>
          </w:p>
        </w:tc>
        <w:tc>
          <w:tcPr>
            <w:tcW w:w="9760" w:type="dxa"/>
            <w:vAlign w:val="bottom"/>
            <w:gridSpan w:val="9"/>
            <w:shd w:val="clear" w:color="auto" w:fill="C0C0C0"/>
          </w:tcPr>
          <w:p>
            <w:pPr>
              <w:spacing w:after="0" w:line="153" w:lineRule="exact"/>
              <w:rPr>
                <w:sz w:val="20"/>
                <w:szCs w:val="20"/>
                <w:color w:val="auto"/>
              </w:rPr>
            </w:pPr>
            <w:r>
              <w:rPr>
                <w:rFonts w:ascii="Arial" w:cs="Arial" w:eastAsia="Arial" w:hAnsi="Arial"/>
                <w:sz w:val="14"/>
                <w:szCs w:val="14"/>
                <w:color w:val="auto"/>
              </w:rPr>
              <w:t>Exhibits</w:t>
            </w:r>
          </w:p>
        </w:tc>
        <w:tc>
          <w:tcPr>
            <w:tcW w:w="940" w:type="dxa"/>
            <w:vAlign w:val="bottom"/>
            <w:shd w:val="clear" w:color="auto" w:fill="C0C0C0"/>
          </w:tcPr>
          <w:p>
            <w:pPr>
              <w:ind w:left="300"/>
              <w:spacing w:after="0" w:line="153"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5"/>
                <w:szCs w:val="15"/>
                <w:color w:val="auto"/>
              </w:rPr>
            </w:pPr>
          </w:p>
        </w:tc>
      </w:tr>
      <w:tr>
        <w:trPr>
          <w:trHeight w:val="197"/>
        </w:trPr>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80" w:type="dxa"/>
            <w:vAlign w:val="bottom"/>
            <w:tcBorders>
              <w:top w:val="single" w:sz="8" w:color="C0C0C0"/>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C0C0C0"/>
            </w:tcBorders>
          </w:tcPr>
          <w:p>
            <w:pPr>
              <w:spacing w:after="0"/>
              <w:rPr>
                <w:sz w:val="17"/>
                <w:szCs w:val="17"/>
                <w:color w:val="auto"/>
              </w:rPr>
            </w:pPr>
          </w:p>
        </w:tc>
        <w:tc>
          <w:tcPr>
            <w:tcW w:w="34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196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180" w:type="dxa"/>
            <w:vAlign w:val="bottom"/>
            <w:tcBorders>
              <w:top w:val="single" w:sz="8" w:color="C0C0C0"/>
            </w:tcBorders>
          </w:tcPr>
          <w:p>
            <w:pPr>
              <w:spacing w:after="0"/>
              <w:rPr>
                <w:sz w:val="17"/>
                <w:szCs w:val="17"/>
                <w:color w:val="auto"/>
              </w:rPr>
            </w:pPr>
          </w:p>
        </w:tc>
        <w:tc>
          <w:tcPr>
            <w:tcW w:w="940" w:type="dxa"/>
            <w:vAlign w:val="bottom"/>
            <w:tcBorders>
              <w:top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0520" w:type="dxa"/>
            <w:vAlign w:val="bottom"/>
            <w:gridSpan w:val="12"/>
            <w:shd w:val="clear" w:color="auto" w:fill="C0C0C0"/>
          </w:tcPr>
          <w:p>
            <w:pPr>
              <w:spacing w:after="0"/>
              <w:rPr>
                <w:sz w:val="20"/>
                <w:szCs w:val="20"/>
                <w:color w:val="auto"/>
              </w:rPr>
            </w:pPr>
            <w:r>
              <w:rPr>
                <w:rFonts w:ascii="Arial" w:cs="Arial" w:eastAsia="Arial" w:hAnsi="Arial"/>
                <w:sz w:val="14"/>
                <w:szCs w:val="14"/>
                <w:b w:val="1"/>
                <w:bCs w:val="1"/>
                <w:color w:val="auto"/>
              </w:rPr>
              <w:t>SIGNATURE PAGE</w:t>
            </w:r>
          </w:p>
        </w:tc>
        <w:tc>
          <w:tcPr>
            <w:tcW w:w="940" w:type="dxa"/>
            <w:vAlign w:val="bottom"/>
            <w:shd w:val="clear" w:color="auto" w:fill="C0C0C0"/>
          </w:tcPr>
          <w:p>
            <w:pPr>
              <w:ind w:left="300"/>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7"/>
                <w:szCs w:val="17"/>
                <w:color w:val="auto"/>
              </w:rPr>
            </w:pPr>
          </w:p>
        </w:tc>
      </w:tr>
      <w:tr>
        <w:trPr>
          <w:trHeight w:val="292"/>
        </w:trPr>
        <w:tc>
          <w:tcPr>
            <w:tcW w:w="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BALANCE SHEETS AT JUNE 30, 2011 AND DECEMBER 31, 2010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b w:val="1"/>
                <w:bCs w:val="1"/>
                <w:color w:val="auto"/>
                <w:w w:val="87"/>
              </w:rPr>
              <w:t>December 31,</w:t>
            </w:r>
          </w:p>
        </w:tc>
      </w:tr>
      <w:tr>
        <w:trPr>
          <w:trHeight w:val="204"/>
        </w:trPr>
        <w:tc>
          <w:tcPr>
            <w:tcW w:w="9100" w:type="dxa"/>
            <w:vAlign w:val="bottom"/>
            <w:tcBorders>
              <w:bottom w:val="single" w:sz="8" w:color="C0C0C0"/>
            </w:tcBorders>
          </w:tcPr>
          <w:p>
            <w:pPr>
              <w:ind w:left="548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0C0C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2010</w:t>
            </w:r>
          </w:p>
        </w:tc>
      </w:tr>
      <w:tr>
        <w:trPr>
          <w:trHeight w:val="195"/>
        </w:trPr>
        <w:tc>
          <w:tcPr>
            <w:tcW w:w="9100" w:type="dxa"/>
            <w:vAlign w:val="bottom"/>
            <w:shd w:val="clear" w:color="auto" w:fill="C0C0C0"/>
          </w:tcPr>
          <w:p>
            <w:pPr>
              <w:spacing w:after="0"/>
              <w:rPr>
                <w:sz w:val="20"/>
                <w:szCs w:val="20"/>
                <w:color w:val="auto"/>
              </w:rPr>
            </w:pPr>
            <w:r>
              <w:rPr>
                <w:rFonts w:ascii="Arial" w:cs="Arial" w:eastAsia="Arial" w:hAnsi="Arial"/>
                <w:sz w:val="14"/>
                <w:szCs w:val="14"/>
                <w:color w:val="auto"/>
              </w:rPr>
              <w:t>Current assets</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900" w:type="dxa"/>
            <w:vAlign w:val="bottom"/>
            <w:shd w:val="clear" w:color="auto" w:fill="C0C0C0"/>
          </w:tcPr>
          <w:p>
            <w:pPr>
              <w:spacing w:after="0"/>
              <w:rPr>
                <w:sz w:val="16"/>
                <w:szCs w:val="16"/>
                <w:color w:val="auto"/>
              </w:rPr>
            </w:pPr>
          </w:p>
        </w:tc>
      </w:tr>
      <w:tr>
        <w:trPr>
          <w:trHeight w:val="191"/>
        </w:trPr>
        <w:tc>
          <w:tcPr>
            <w:tcW w:w="910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254,312</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112,572</w:t>
            </w:r>
          </w:p>
        </w:tc>
      </w:tr>
      <w:tr>
        <w:trPr>
          <w:trHeight w:val="204"/>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Marketable securities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55,371</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136,796</w:t>
            </w:r>
          </w:p>
        </w:tc>
      </w:tr>
      <w:tr>
        <w:trPr>
          <w:trHeight w:val="191"/>
        </w:trPr>
        <w:tc>
          <w:tcPr>
            <w:tcW w:w="9100" w:type="dxa"/>
            <w:vAlign w:val="bottom"/>
          </w:tcPr>
          <w:p>
            <w:pPr>
              <w:ind w:left="260"/>
              <w:spacing w:after="0"/>
              <w:rPr>
                <w:sz w:val="20"/>
                <w:szCs w:val="20"/>
                <w:color w:val="auto"/>
              </w:rPr>
            </w:pPr>
            <w:r>
              <w:rPr>
                <w:rFonts w:ascii="Arial" w:cs="Arial" w:eastAsia="Arial" w:hAnsi="Arial"/>
                <w:sz w:val="14"/>
                <w:szCs w:val="14"/>
                <w:color w:val="auto"/>
              </w:rPr>
              <w:t>Accounts receivable from Sanofi</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81,643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79,603</w:t>
            </w:r>
          </w:p>
        </w:tc>
      </w:tr>
      <w:tr>
        <w:trPr>
          <w:trHeight w:val="204"/>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Accounts receivable - other</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2,921</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13,509</w:t>
            </w:r>
          </w:p>
        </w:tc>
      </w:tr>
      <w:tr>
        <w:trPr>
          <w:trHeight w:val="191"/>
        </w:trPr>
        <w:tc>
          <w:tcPr>
            <w:tcW w:w="910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19,026</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15,142</w:t>
            </w:r>
          </w:p>
        </w:tc>
      </w:tr>
      <w:tr>
        <w:trPr>
          <w:trHeight w:val="195"/>
        </w:trPr>
        <w:tc>
          <w:tcPr>
            <w:tcW w:w="91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413,273</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357,622</w:t>
            </w:r>
          </w:p>
        </w:tc>
      </w:tr>
      <w:tr>
        <w:trPr>
          <w:trHeight w:val="197"/>
        </w:trPr>
        <w:tc>
          <w:tcPr>
            <w:tcW w:w="9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7"/>
        </w:trPr>
        <w:tc>
          <w:tcPr>
            <w:tcW w:w="9100" w:type="dxa"/>
            <w:vAlign w:val="bottom"/>
            <w:shd w:val="clear" w:color="auto" w:fill="C0C0C0"/>
          </w:tcPr>
          <w:p>
            <w:pPr>
              <w:spacing w:after="0"/>
              <w:rPr>
                <w:sz w:val="20"/>
                <w:szCs w:val="20"/>
                <w:color w:val="auto"/>
              </w:rPr>
            </w:pPr>
            <w:r>
              <w:rPr>
                <w:rFonts w:ascii="Arial" w:cs="Arial" w:eastAsia="Arial" w:hAnsi="Arial"/>
                <w:sz w:val="14"/>
                <w:szCs w:val="14"/>
                <w:color w:val="auto"/>
              </w:rPr>
              <w:t>Restricted cash and marketable securities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8,165</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7,518</w:t>
            </w:r>
          </w:p>
        </w:tc>
      </w:tr>
      <w:tr>
        <w:trPr>
          <w:trHeight w:val="191"/>
        </w:trPr>
        <w:tc>
          <w:tcPr>
            <w:tcW w:w="9100" w:type="dxa"/>
            <w:vAlign w:val="bottom"/>
          </w:tcPr>
          <w:p>
            <w:pPr>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251,256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370,053</w:t>
            </w:r>
          </w:p>
        </w:tc>
      </w:tr>
      <w:tr>
        <w:trPr>
          <w:trHeight w:val="191"/>
        </w:trPr>
        <w:tc>
          <w:tcPr>
            <w:tcW w:w="9100" w:type="dxa"/>
            <w:vAlign w:val="bottom"/>
            <w:shd w:val="clear" w:color="auto" w:fill="C0C0C0"/>
          </w:tcPr>
          <w:p>
            <w:pPr>
              <w:spacing w:after="0"/>
              <w:rPr>
                <w:sz w:val="20"/>
                <w:szCs w:val="20"/>
                <w:color w:val="auto"/>
              </w:rPr>
            </w:pPr>
            <w:r>
              <w:rPr>
                <w:rFonts w:ascii="Arial" w:cs="Arial" w:eastAsia="Arial" w:hAnsi="Arial"/>
                <w:sz w:val="14"/>
                <w:szCs w:val="14"/>
                <w:color w:val="auto"/>
              </w:rPr>
              <w:t>Property, plant, and equipment, at cost, net of accumulated</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900" w:type="dxa"/>
            <w:vAlign w:val="bottom"/>
            <w:shd w:val="clear" w:color="auto" w:fill="C0C0C0"/>
          </w:tcPr>
          <w:p>
            <w:pPr>
              <w:spacing w:after="0"/>
              <w:rPr>
                <w:sz w:val="16"/>
                <w:szCs w:val="16"/>
                <w:color w:val="auto"/>
              </w:rPr>
            </w:pPr>
          </w:p>
        </w:tc>
      </w:tr>
      <w:tr>
        <w:trPr>
          <w:trHeight w:val="210"/>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361,883</w:t>
            </w: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347,450</w:t>
            </w:r>
          </w:p>
        </w:tc>
      </w:tr>
      <w:tr>
        <w:trPr>
          <w:trHeight w:val="191"/>
        </w:trPr>
        <w:tc>
          <w:tcPr>
            <w:tcW w:w="9100" w:type="dxa"/>
            <w:vAlign w:val="bottom"/>
            <w:tcBorders>
              <w:bottom w:val="single" w:sz="8" w:color="C0C0C0"/>
            </w:tcBorders>
          </w:tcPr>
          <w:p>
            <w:pPr>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12,287</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6,789</w:t>
            </w:r>
          </w:p>
        </w:tc>
      </w:tr>
      <w:tr>
        <w:trPr>
          <w:trHeight w:val="197"/>
        </w:trPr>
        <w:tc>
          <w:tcPr>
            <w:tcW w:w="91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assets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1,046,864</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1,089,432</w:t>
            </w:r>
          </w:p>
        </w:tc>
      </w:tr>
      <w:tr>
        <w:trPr>
          <w:trHeight w:val="197"/>
        </w:trPr>
        <w:tc>
          <w:tcPr>
            <w:tcW w:w="9100" w:type="dxa"/>
            <w:vAlign w:val="bottom"/>
            <w:tcBorders>
              <w:top w:val="single" w:sz="8" w:color="C0C0C0"/>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197"/>
        </w:trPr>
        <w:tc>
          <w:tcPr>
            <w:tcW w:w="9100" w:type="dxa"/>
            <w:vAlign w:val="bottom"/>
            <w:shd w:val="clear" w:color="auto" w:fill="C0C0C0"/>
          </w:tcPr>
          <w:p>
            <w:pPr>
              <w:ind w:left="42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r>
      <w:tr>
        <w:trPr>
          <w:trHeight w:val="191"/>
        </w:trPr>
        <w:tc>
          <w:tcPr>
            <w:tcW w:w="910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4"/>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81,665</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53,658</w:t>
            </w:r>
          </w:p>
        </w:tc>
      </w:tr>
      <w:tr>
        <w:trPr>
          <w:trHeight w:val="191"/>
        </w:trPr>
        <w:tc>
          <w:tcPr>
            <w:tcW w:w="9100" w:type="dxa"/>
            <w:vAlign w:val="bottom"/>
          </w:tcPr>
          <w:p>
            <w:pPr>
              <w:ind w:left="260"/>
              <w:spacing w:after="0"/>
              <w:rPr>
                <w:sz w:val="20"/>
                <w:szCs w:val="20"/>
                <w:color w:val="auto"/>
              </w:rPr>
            </w:pPr>
            <w:r>
              <w:rPr>
                <w:rFonts w:ascii="Arial" w:cs="Arial" w:eastAsia="Arial" w:hAnsi="Arial"/>
                <w:sz w:val="14"/>
                <w:szCs w:val="14"/>
                <w:color w:val="auto"/>
              </w:rPr>
              <w:t>Deferred revenue from Sanofi, current portion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19,720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19,506</w:t>
            </w:r>
          </w:p>
        </w:tc>
      </w:tr>
      <w:tr>
        <w:trPr>
          <w:trHeight w:val="204"/>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Deferred revenue - other, current portion</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33,606</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35,217</w:t>
            </w:r>
          </w:p>
        </w:tc>
      </w:tr>
      <w:tr>
        <w:trPr>
          <w:trHeight w:val="191"/>
        </w:trPr>
        <w:tc>
          <w:tcPr>
            <w:tcW w:w="910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Facility lease obligations, current portion</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877</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675</w:t>
            </w:r>
          </w:p>
        </w:tc>
      </w:tr>
      <w:tr>
        <w:trPr>
          <w:trHeight w:val="195"/>
        </w:trPr>
        <w:tc>
          <w:tcPr>
            <w:tcW w:w="91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135,868</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109,056</w:t>
            </w:r>
          </w:p>
        </w:tc>
      </w:tr>
      <w:tr>
        <w:trPr>
          <w:trHeight w:val="197"/>
        </w:trPr>
        <w:tc>
          <w:tcPr>
            <w:tcW w:w="9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7"/>
        </w:trPr>
        <w:tc>
          <w:tcPr>
            <w:tcW w:w="9100" w:type="dxa"/>
            <w:vAlign w:val="bottom"/>
            <w:shd w:val="clear" w:color="auto" w:fill="C0C0C0"/>
          </w:tcPr>
          <w:p>
            <w:pPr>
              <w:spacing w:after="0"/>
              <w:rPr>
                <w:sz w:val="20"/>
                <w:szCs w:val="20"/>
                <w:color w:val="auto"/>
              </w:rPr>
            </w:pPr>
            <w:r>
              <w:rPr>
                <w:rFonts w:ascii="Arial" w:cs="Arial" w:eastAsia="Arial" w:hAnsi="Arial"/>
                <w:sz w:val="14"/>
                <w:szCs w:val="14"/>
                <w:color w:val="auto"/>
              </w:rPr>
              <w:t>Deferred revenue from Sanofi</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91,712</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97,081</w:t>
            </w:r>
          </w:p>
        </w:tc>
      </w:tr>
      <w:tr>
        <w:trPr>
          <w:trHeight w:val="191"/>
        </w:trPr>
        <w:tc>
          <w:tcPr>
            <w:tcW w:w="9100" w:type="dxa"/>
            <w:vAlign w:val="bottom"/>
          </w:tcPr>
          <w:p>
            <w:pPr>
              <w:spacing w:after="0"/>
              <w:rPr>
                <w:sz w:val="20"/>
                <w:szCs w:val="20"/>
                <w:color w:val="auto"/>
              </w:rPr>
            </w:pPr>
            <w:r>
              <w:rPr>
                <w:rFonts w:ascii="Arial" w:cs="Arial" w:eastAsia="Arial" w:hAnsi="Arial"/>
                <w:sz w:val="14"/>
                <w:szCs w:val="14"/>
                <w:color w:val="auto"/>
              </w:rPr>
              <w:t>Deferred revenue - other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174,987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188,775</w:t>
            </w:r>
          </w:p>
        </w:tc>
      </w:tr>
      <w:tr>
        <w:trPr>
          <w:trHeight w:val="204"/>
        </w:trPr>
        <w:tc>
          <w:tcPr>
            <w:tcW w:w="9100" w:type="dxa"/>
            <w:vAlign w:val="bottom"/>
            <w:shd w:val="clear" w:color="auto" w:fill="C0C0C0"/>
          </w:tcPr>
          <w:p>
            <w:pPr>
              <w:spacing w:after="0"/>
              <w:rPr>
                <w:sz w:val="20"/>
                <w:szCs w:val="20"/>
                <w:color w:val="auto"/>
              </w:rPr>
            </w:pPr>
            <w:r>
              <w:rPr>
                <w:rFonts w:ascii="Arial" w:cs="Arial" w:eastAsia="Arial" w:hAnsi="Arial"/>
                <w:sz w:val="14"/>
                <w:szCs w:val="14"/>
                <w:color w:val="auto"/>
              </w:rPr>
              <w:t>Facility lease obligations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159,457</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159,355</w:t>
            </w:r>
          </w:p>
        </w:tc>
      </w:tr>
      <w:tr>
        <w:trPr>
          <w:trHeight w:val="191"/>
        </w:trPr>
        <w:tc>
          <w:tcPr>
            <w:tcW w:w="9100" w:type="dxa"/>
            <w:vAlign w:val="bottom"/>
            <w:tcBorders>
              <w:bottom w:val="single" w:sz="8" w:color="C0C0C0"/>
            </w:tcBorders>
          </w:tcPr>
          <w:p>
            <w:pPr>
              <w:spacing w:after="0"/>
              <w:rPr>
                <w:sz w:val="20"/>
                <w:szCs w:val="20"/>
                <w:color w:val="auto"/>
              </w:rPr>
            </w:pPr>
            <w:r>
              <w:rPr>
                <w:rFonts w:ascii="Arial" w:cs="Arial" w:eastAsia="Arial" w:hAnsi="Arial"/>
                <w:sz w:val="14"/>
                <w:szCs w:val="14"/>
                <w:color w:val="auto"/>
              </w:rPr>
              <w:t>Other long term liabilities</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6,806</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7,350</w:t>
            </w:r>
          </w:p>
        </w:tc>
      </w:tr>
      <w:tr>
        <w:trPr>
          <w:trHeight w:val="188"/>
        </w:trPr>
        <w:tc>
          <w:tcPr>
            <w:tcW w:w="91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Total liabilities</w:t>
            </w:r>
          </w:p>
        </w:tc>
        <w:tc>
          <w:tcPr>
            <w:tcW w:w="220" w:type="dxa"/>
            <w:vAlign w:val="bottom"/>
            <w:shd w:val="clear" w:color="auto" w:fill="C0C0C0"/>
          </w:tcPr>
          <w:p>
            <w:pPr>
              <w:spacing w:after="0"/>
              <w:rPr>
                <w:sz w:val="16"/>
                <w:szCs w:val="16"/>
                <w:color w:val="auto"/>
              </w:rPr>
            </w:pPr>
          </w:p>
        </w:tc>
        <w:tc>
          <w:tcPr>
            <w:tcW w:w="140" w:type="dxa"/>
            <w:vAlign w:val="bottom"/>
            <w:tcBorders>
              <w:bottom w:val="single" w:sz="8" w:color="auto"/>
            </w:tcBorders>
            <w:shd w:val="clear" w:color="auto" w:fill="C0C0C0"/>
          </w:tcPr>
          <w:p>
            <w:pPr>
              <w:spacing w:after="0"/>
              <w:rPr>
                <w:sz w:val="16"/>
                <w:szCs w:val="16"/>
                <w:color w:val="auto"/>
              </w:rPr>
            </w:pPr>
          </w:p>
        </w:tc>
        <w:tc>
          <w:tcPr>
            <w:tcW w:w="80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568,830</w:t>
            </w:r>
          </w:p>
        </w:tc>
        <w:tc>
          <w:tcPr>
            <w:tcW w:w="220" w:type="dxa"/>
            <w:vAlign w:val="bottom"/>
            <w:shd w:val="clear" w:color="auto" w:fill="C0C0C0"/>
          </w:tcPr>
          <w:p>
            <w:pPr>
              <w:spacing w:after="0"/>
              <w:rPr>
                <w:sz w:val="16"/>
                <w:szCs w:val="16"/>
                <w:color w:val="auto"/>
              </w:rPr>
            </w:pPr>
          </w:p>
        </w:tc>
        <w:tc>
          <w:tcPr>
            <w:tcW w:w="80" w:type="dxa"/>
            <w:vAlign w:val="bottom"/>
            <w:tcBorders>
              <w:bottom w:val="single" w:sz="8" w:color="auto"/>
            </w:tcBorders>
            <w:shd w:val="clear" w:color="auto" w:fill="C0C0C0"/>
          </w:tcPr>
          <w:p>
            <w:pPr>
              <w:spacing w:after="0"/>
              <w:rPr>
                <w:sz w:val="16"/>
                <w:szCs w:val="16"/>
                <w:color w:val="auto"/>
              </w:rPr>
            </w:pPr>
          </w:p>
        </w:tc>
        <w:tc>
          <w:tcPr>
            <w:tcW w:w="90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561,617</w:t>
            </w:r>
          </w:p>
        </w:tc>
      </w:tr>
      <w:tr>
        <w:trPr>
          <w:trHeight w:val="195"/>
        </w:trPr>
        <w:tc>
          <w:tcPr>
            <w:tcW w:w="9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7"/>
        </w:trPr>
        <w:tc>
          <w:tcPr>
            <w:tcW w:w="9100" w:type="dxa"/>
            <w:vAlign w:val="bottom"/>
            <w:shd w:val="clear" w:color="auto" w:fill="C0C0C0"/>
          </w:tcPr>
          <w:p>
            <w:pPr>
              <w:spacing w:after="0"/>
              <w:rPr>
                <w:sz w:val="20"/>
                <w:szCs w:val="20"/>
                <w:color w:val="auto"/>
              </w:rPr>
            </w:pPr>
            <w:r>
              <w:rPr>
                <w:rFonts w:ascii="Arial" w:cs="Arial" w:eastAsia="Arial" w:hAnsi="Arial"/>
                <w:sz w:val="14"/>
                <w:szCs w:val="14"/>
                <w:color w:val="auto"/>
              </w:rPr>
              <w:t>Commitments and contingencies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r>
      <w:tr>
        <w:trPr>
          <w:trHeight w:val="197"/>
        </w:trPr>
        <w:tc>
          <w:tcPr>
            <w:tcW w:w="9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7"/>
        </w:trPr>
        <w:tc>
          <w:tcPr>
            <w:tcW w:w="9100" w:type="dxa"/>
            <w:vAlign w:val="bottom"/>
            <w:shd w:val="clear" w:color="auto" w:fill="C0C0C0"/>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r>
      <w:tr>
        <w:trPr>
          <w:trHeight w:val="185"/>
        </w:trPr>
        <w:tc>
          <w:tcPr>
            <w:tcW w:w="9100" w:type="dxa"/>
            <w:vAlign w:val="bottom"/>
          </w:tcPr>
          <w:p>
            <w:pPr>
              <w:ind w:left="260"/>
              <w:spacing w:after="0"/>
              <w:rPr>
                <w:sz w:val="20"/>
                <w:szCs w:val="20"/>
                <w:color w:val="auto"/>
              </w:rPr>
            </w:pPr>
            <w:r>
              <w:rPr>
                <w:rFonts w:ascii="Arial" w:cs="Arial" w:eastAsia="Arial" w:hAnsi="Arial"/>
                <w:sz w:val="14"/>
                <w:szCs w:val="14"/>
                <w:color w:val="auto"/>
              </w:rPr>
              <w:t>Preferred stock, $.01 par value; 30,000,000 shares authorized; issued and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4"/>
        </w:trPr>
        <w:tc>
          <w:tcPr>
            <w:tcW w:w="9100" w:type="dxa"/>
            <w:vAlign w:val="bottom"/>
          </w:tcPr>
          <w:p>
            <w:pPr>
              <w:ind w:left="500"/>
              <w:spacing w:after="0"/>
              <w:rPr>
                <w:sz w:val="20"/>
                <w:szCs w:val="20"/>
                <w:color w:val="auto"/>
              </w:rPr>
            </w:pPr>
            <w:r>
              <w:rPr>
                <w:rFonts w:ascii="Arial" w:cs="Arial" w:eastAsia="Arial" w:hAnsi="Arial"/>
                <w:sz w:val="14"/>
                <w:szCs w:val="14"/>
                <w:color w:val="auto"/>
              </w:rPr>
              <w:t>outstanding - none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1"/>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Class A Stock, convertible, $.001 par value; 40,000,000 shares authorized;</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900" w:type="dxa"/>
            <w:vAlign w:val="bottom"/>
            <w:shd w:val="clear" w:color="auto" w:fill="C0C0C0"/>
          </w:tcPr>
          <w:p>
            <w:pPr>
              <w:spacing w:after="0"/>
              <w:rPr>
                <w:sz w:val="16"/>
                <w:szCs w:val="16"/>
                <w:color w:val="auto"/>
              </w:rPr>
            </w:pPr>
          </w:p>
        </w:tc>
      </w:tr>
      <w:tr>
        <w:trPr>
          <w:trHeight w:val="210"/>
        </w:trPr>
        <w:tc>
          <w:tcPr>
            <w:tcW w:w="91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shares issued and outstanding - 2,126,717 in 2011 and 2,182,036 in 2010</w:t>
            </w: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w:t>
            </w: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w:t>
            </w:r>
          </w:p>
        </w:tc>
      </w:tr>
      <w:tr>
        <w:trPr>
          <w:trHeight w:val="185"/>
        </w:trPr>
        <w:tc>
          <w:tcPr>
            <w:tcW w:w="9100" w:type="dxa"/>
            <w:vAlign w:val="bottom"/>
          </w:tcPr>
          <w:p>
            <w:pPr>
              <w:ind w:left="260"/>
              <w:spacing w:after="0"/>
              <w:rPr>
                <w:sz w:val="20"/>
                <w:szCs w:val="20"/>
                <w:color w:val="auto"/>
              </w:rPr>
            </w:pPr>
            <w:r>
              <w:rPr>
                <w:rFonts w:ascii="Arial" w:cs="Arial" w:eastAsia="Arial" w:hAnsi="Arial"/>
                <w:sz w:val="14"/>
                <w:szCs w:val="14"/>
                <w:color w:val="auto"/>
              </w:rPr>
              <w:t>Common Stock, $.001 par value; 160,000,000 shares authorized;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4"/>
        </w:trPr>
        <w:tc>
          <w:tcPr>
            <w:tcW w:w="9100" w:type="dxa"/>
            <w:vAlign w:val="bottom"/>
          </w:tcPr>
          <w:p>
            <w:pPr>
              <w:ind w:left="500"/>
              <w:spacing w:after="0"/>
              <w:rPr>
                <w:sz w:val="20"/>
                <w:szCs w:val="20"/>
                <w:color w:val="auto"/>
              </w:rPr>
            </w:pPr>
            <w:r>
              <w:rPr>
                <w:rFonts w:ascii="Arial" w:cs="Arial" w:eastAsia="Arial" w:hAnsi="Arial"/>
                <w:sz w:val="14"/>
                <w:szCs w:val="14"/>
                <w:color w:val="auto"/>
              </w:rPr>
              <w:t>shares issued and outstanding - 89,416,015 in 2011 and 87,238,301 in 2010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87</w:t>
            </w:r>
          </w:p>
        </w:tc>
      </w:tr>
      <w:tr>
        <w:trPr>
          <w:trHeight w:val="204"/>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1,630,362</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1,575,780</w:t>
            </w:r>
          </w:p>
        </w:tc>
      </w:tr>
      <w:tr>
        <w:trPr>
          <w:trHeight w:val="191"/>
        </w:trPr>
        <w:tc>
          <w:tcPr>
            <w:tcW w:w="910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(1,151,515)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(1,045,563)</w:t>
            </w:r>
          </w:p>
        </w:tc>
      </w:tr>
      <w:tr>
        <w:trPr>
          <w:trHeight w:val="204"/>
        </w:trPr>
        <w:tc>
          <w:tcPr>
            <w:tcW w:w="91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(904)</w:t>
            </w: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(2,491)</w:t>
            </w:r>
          </w:p>
        </w:tc>
      </w:tr>
      <w:tr>
        <w:trPr>
          <w:trHeight w:val="182"/>
        </w:trPr>
        <w:tc>
          <w:tcPr>
            <w:tcW w:w="9100" w:type="dxa"/>
            <w:vAlign w:val="bottom"/>
            <w:tcBorders>
              <w:bottom w:val="single" w:sz="8" w:color="C0C0C0"/>
            </w:tcBorders>
          </w:tcPr>
          <w:p>
            <w:pPr>
              <w:ind w:left="5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0C0C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478,034</w:t>
            </w:r>
          </w:p>
        </w:tc>
        <w:tc>
          <w:tcPr>
            <w:tcW w:w="220" w:type="dxa"/>
            <w:vAlign w:val="bottom"/>
            <w:tcBorders>
              <w:bottom w:val="single" w:sz="8" w:color="C0C0C0"/>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527,815</w:t>
            </w:r>
          </w:p>
        </w:tc>
      </w:tr>
      <w:tr>
        <w:trPr>
          <w:trHeight w:val="197"/>
        </w:trPr>
        <w:tc>
          <w:tcPr>
            <w:tcW w:w="9100" w:type="dxa"/>
            <w:vAlign w:val="bottom"/>
            <w:tcBorders>
              <w:bottom w:val="single" w:sz="8" w:color="C0C0C0"/>
            </w:tcBorders>
            <w:shd w:val="clear" w:color="auto" w:fill="C0C0C0"/>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1,046,864</w:t>
            </w:r>
          </w:p>
        </w:tc>
        <w:tc>
          <w:tcPr>
            <w:tcW w:w="22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1,089,432</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7202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OPERATIONS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0"/>
              </w:rPr>
              <w:t>Three months ended June 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right"/>
              <w:ind w:right="69"/>
              <w:spacing w:after="0"/>
              <w:rPr>
                <w:sz w:val="20"/>
                <w:szCs w:val="20"/>
                <w:color w:val="auto"/>
              </w:rPr>
            </w:pPr>
            <w:r>
              <w:rPr>
                <w:rFonts w:ascii="Arial" w:cs="Arial" w:eastAsia="Arial" w:hAnsi="Arial"/>
                <w:sz w:val="14"/>
                <w:szCs w:val="14"/>
                <w:b w:val="1"/>
                <w:bCs w:val="1"/>
                <w:color w:val="auto"/>
                <w:w w:val="90"/>
              </w:rPr>
              <w:t>Six months ended June 30,</w:t>
            </w:r>
          </w:p>
        </w:tc>
        <w:tc>
          <w:tcPr>
            <w:tcW w:w="20" w:type="dxa"/>
            <w:vAlign w:val="bottom"/>
          </w:tcPr>
          <w:p>
            <w:pPr>
              <w:spacing w:after="0"/>
              <w:rPr>
                <w:sz w:val="16"/>
                <w:szCs w:val="16"/>
                <w:color w:val="auto"/>
              </w:rPr>
            </w:pPr>
          </w:p>
        </w:tc>
      </w:tr>
      <w:tr>
        <w:trPr>
          <w:trHeight w:val="204"/>
        </w:trPr>
        <w:tc>
          <w:tcPr>
            <w:tcW w:w="3340" w:type="dxa"/>
            <w:vAlign w:val="bottom"/>
            <w:tcBorders>
              <w:bottom w:val="single" w:sz="8" w:color="C0C0C0"/>
            </w:tcBorders>
          </w:tcPr>
          <w:p>
            <w:pPr>
              <w:spacing w:after="0"/>
              <w:rPr>
                <w:sz w:val="17"/>
                <w:szCs w:val="17"/>
                <w:color w:val="auto"/>
              </w:rPr>
            </w:pPr>
          </w:p>
        </w:tc>
        <w:tc>
          <w:tcPr>
            <w:tcW w:w="398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7"/>
                <w:szCs w:val="17"/>
                <w:color w:val="auto"/>
              </w:rPr>
            </w:pPr>
          </w:p>
        </w:tc>
      </w:tr>
      <w:tr>
        <w:trPr>
          <w:trHeight w:val="195"/>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Revenues</w:t>
            </w:r>
          </w:p>
        </w:tc>
        <w:tc>
          <w:tcPr>
            <w:tcW w:w="39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66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340" w:type="dxa"/>
            <w:vAlign w:val="bottom"/>
          </w:tcPr>
          <w:p>
            <w:pPr>
              <w:ind w:left="260"/>
              <w:spacing w:after="0"/>
              <w:rPr>
                <w:sz w:val="20"/>
                <w:szCs w:val="20"/>
                <w:color w:val="auto"/>
              </w:rPr>
            </w:pPr>
            <w:r>
              <w:rPr>
                <w:rFonts w:ascii="Arial" w:cs="Arial" w:eastAsia="Arial" w:hAnsi="Arial"/>
                <w:sz w:val="14"/>
                <w:szCs w:val="14"/>
                <w:color w:val="auto"/>
              </w:rPr>
              <w:t>Sanofi collaboration revenue</w:t>
            </w:r>
          </w:p>
        </w:tc>
        <w:tc>
          <w:tcPr>
            <w:tcW w:w="40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84,446</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84,941</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169,775</w:t>
            </w:r>
          </w:p>
        </w:tc>
        <w:tc>
          <w:tcPr>
            <w:tcW w:w="220" w:type="dxa"/>
            <w:vAlign w:val="bottom"/>
          </w:tcPr>
          <w:p>
            <w:pPr>
              <w:spacing w:after="0"/>
              <w:rPr>
                <w:sz w:val="16"/>
                <w:szCs w:val="16"/>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153,612</w:t>
            </w:r>
          </w:p>
        </w:tc>
        <w:tc>
          <w:tcPr>
            <w:tcW w:w="20" w:type="dxa"/>
            <w:vAlign w:val="bottom"/>
          </w:tcPr>
          <w:p>
            <w:pPr>
              <w:spacing w:after="0"/>
              <w:rPr>
                <w:sz w:val="16"/>
                <w:szCs w:val="16"/>
                <w:color w:val="auto"/>
              </w:rPr>
            </w:pPr>
          </w:p>
        </w:tc>
      </w:tr>
      <w:tr>
        <w:trPr>
          <w:trHeight w:val="204"/>
        </w:trPr>
        <w:tc>
          <w:tcPr>
            <w:tcW w:w="33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Other collaboration revenue</w:t>
            </w:r>
          </w:p>
        </w:tc>
        <w:tc>
          <w:tcPr>
            <w:tcW w:w="39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11,123</w:t>
            </w: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13,635</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23,604</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26,722</w:t>
            </w:r>
          </w:p>
        </w:tc>
        <w:tc>
          <w:tcPr>
            <w:tcW w:w="20" w:type="dxa"/>
            <w:vAlign w:val="bottom"/>
          </w:tcPr>
          <w:p>
            <w:pPr>
              <w:spacing w:after="0"/>
              <w:rPr>
                <w:sz w:val="17"/>
                <w:szCs w:val="17"/>
                <w:color w:val="auto"/>
              </w:rPr>
            </w:pPr>
          </w:p>
        </w:tc>
      </w:tr>
      <w:tr>
        <w:trPr>
          <w:trHeight w:val="191"/>
        </w:trPr>
        <w:tc>
          <w:tcPr>
            <w:tcW w:w="3340" w:type="dxa"/>
            <w:vAlign w:val="bottom"/>
          </w:tcPr>
          <w:p>
            <w:pPr>
              <w:ind w:left="260"/>
              <w:spacing w:after="0"/>
              <w:rPr>
                <w:sz w:val="20"/>
                <w:szCs w:val="20"/>
                <w:color w:val="auto"/>
              </w:rPr>
            </w:pPr>
            <w:r>
              <w:rPr>
                <w:rFonts w:ascii="Arial" w:cs="Arial" w:eastAsia="Arial" w:hAnsi="Arial"/>
                <w:sz w:val="14"/>
                <w:szCs w:val="14"/>
                <w:color w:val="auto"/>
              </w:rPr>
              <w:t>Technology licensing</w:t>
            </w: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5,228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10,037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13,073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20,075</w:t>
            </w:r>
          </w:p>
        </w:tc>
        <w:tc>
          <w:tcPr>
            <w:tcW w:w="20" w:type="dxa"/>
            <w:vAlign w:val="bottom"/>
          </w:tcPr>
          <w:p>
            <w:pPr>
              <w:spacing w:after="0"/>
              <w:rPr>
                <w:sz w:val="16"/>
                <w:szCs w:val="16"/>
                <w:color w:val="auto"/>
              </w:rPr>
            </w:pPr>
          </w:p>
        </w:tc>
      </w:tr>
      <w:tr>
        <w:trPr>
          <w:trHeight w:val="204"/>
        </w:trPr>
        <w:tc>
          <w:tcPr>
            <w:tcW w:w="33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Net product sales</w:t>
            </w:r>
          </w:p>
        </w:tc>
        <w:tc>
          <w:tcPr>
            <w:tcW w:w="39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5,039</w:t>
            </w: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5,197</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9,466</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15,049</w:t>
            </w:r>
          </w:p>
        </w:tc>
        <w:tc>
          <w:tcPr>
            <w:tcW w:w="20" w:type="dxa"/>
            <w:vAlign w:val="bottom"/>
          </w:tcPr>
          <w:p>
            <w:pPr>
              <w:spacing w:after="0"/>
              <w:rPr>
                <w:sz w:val="17"/>
                <w:szCs w:val="17"/>
                <w:color w:val="auto"/>
              </w:rPr>
            </w:pPr>
          </w:p>
        </w:tc>
      </w:tr>
      <w:tr>
        <w:trPr>
          <w:trHeight w:val="191"/>
        </w:trPr>
        <w:tc>
          <w:tcPr>
            <w:tcW w:w="334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Contract research and other</w:t>
            </w:r>
          </w:p>
        </w:tc>
        <w:tc>
          <w:tcPr>
            <w:tcW w:w="398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1,974</w:t>
            </w:r>
          </w:p>
        </w:tc>
        <w:tc>
          <w:tcPr>
            <w:tcW w:w="22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2,076</w:t>
            </w:r>
          </w:p>
        </w:tc>
        <w:tc>
          <w:tcPr>
            <w:tcW w:w="22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4,096</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3,962</w:t>
            </w:r>
          </w:p>
        </w:tc>
        <w:tc>
          <w:tcPr>
            <w:tcW w:w="20" w:type="dxa"/>
            <w:vAlign w:val="bottom"/>
          </w:tcPr>
          <w:p>
            <w:pPr>
              <w:spacing w:after="0"/>
              <w:rPr>
                <w:sz w:val="16"/>
                <w:szCs w:val="16"/>
                <w:color w:val="auto"/>
              </w:rPr>
            </w:pPr>
          </w:p>
        </w:tc>
      </w:tr>
      <w:tr>
        <w:trPr>
          <w:trHeight w:val="188"/>
        </w:trPr>
        <w:tc>
          <w:tcPr>
            <w:tcW w:w="3340" w:type="dxa"/>
            <w:vAlign w:val="bottom"/>
            <w:shd w:val="clear" w:color="auto" w:fill="C0C0C0"/>
          </w:tcPr>
          <w:p>
            <w:pPr>
              <w:spacing w:after="0"/>
              <w:rPr>
                <w:sz w:val="16"/>
                <w:szCs w:val="16"/>
                <w:color w:val="auto"/>
              </w:rPr>
            </w:pPr>
          </w:p>
        </w:tc>
        <w:tc>
          <w:tcPr>
            <w:tcW w:w="39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84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107,810</w:t>
            </w:r>
          </w:p>
        </w:tc>
        <w:tc>
          <w:tcPr>
            <w:tcW w:w="220" w:type="dxa"/>
            <w:vAlign w:val="bottom"/>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8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115,886</w:t>
            </w:r>
          </w:p>
        </w:tc>
        <w:tc>
          <w:tcPr>
            <w:tcW w:w="22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76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220,014</w:t>
            </w: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66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219,420</w:t>
            </w:r>
          </w:p>
        </w:tc>
        <w:tc>
          <w:tcPr>
            <w:tcW w:w="20" w:type="dxa"/>
            <w:vAlign w:val="bottom"/>
          </w:tcPr>
          <w:p>
            <w:pPr>
              <w:spacing w:after="0"/>
              <w:rPr>
                <w:sz w:val="16"/>
                <w:szCs w:val="16"/>
                <w:color w:val="auto"/>
              </w:rPr>
            </w:pPr>
          </w:p>
        </w:tc>
      </w:tr>
      <w:tr>
        <w:trPr>
          <w:trHeight w:val="195"/>
        </w:trPr>
        <w:tc>
          <w:tcPr>
            <w:tcW w:w="3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Expenses</w:t>
            </w:r>
          </w:p>
        </w:tc>
        <w:tc>
          <w:tcPr>
            <w:tcW w:w="39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334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143,149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124,526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272,541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241,997</w:t>
            </w:r>
          </w:p>
        </w:tc>
        <w:tc>
          <w:tcPr>
            <w:tcW w:w="20" w:type="dxa"/>
            <w:vAlign w:val="bottom"/>
          </w:tcPr>
          <w:p>
            <w:pPr>
              <w:spacing w:after="0"/>
              <w:rPr>
                <w:sz w:val="16"/>
                <w:szCs w:val="16"/>
                <w:color w:val="auto"/>
              </w:rPr>
            </w:pPr>
          </w:p>
        </w:tc>
      </w:tr>
      <w:tr>
        <w:trPr>
          <w:trHeight w:val="204"/>
        </w:trPr>
        <w:tc>
          <w:tcPr>
            <w:tcW w:w="33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Selling, general, and administrative</w:t>
            </w:r>
          </w:p>
        </w:tc>
        <w:tc>
          <w:tcPr>
            <w:tcW w:w="39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24,585</w:t>
            </w: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14,679</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47,996</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28,902</w:t>
            </w:r>
          </w:p>
        </w:tc>
        <w:tc>
          <w:tcPr>
            <w:tcW w:w="20" w:type="dxa"/>
            <w:vAlign w:val="bottom"/>
          </w:tcPr>
          <w:p>
            <w:pPr>
              <w:spacing w:after="0"/>
              <w:rPr>
                <w:sz w:val="17"/>
                <w:szCs w:val="17"/>
                <w:color w:val="auto"/>
              </w:rPr>
            </w:pPr>
          </w:p>
        </w:tc>
      </w:tr>
      <w:tr>
        <w:trPr>
          <w:trHeight w:val="191"/>
        </w:trPr>
        <w:tc>
          <w:tcPr>
            <w:tcW w:w="334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Cost of goods sold</w:t>
            </w:r>
          </w:p>
        </w:tc>
        <w:tc>
          <w:tcPr>
            <w:tcW w:w="398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395</w:t>
            </w:r>
          </w:p>
        </w:tc>
        <w:tc>
          <w:tcPr>
            <w:tcW w:w="22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405</w:t>
            </w:r>
          </w:p>
        </w:tc>
        <w:tc>
          <w:tcPr>
            <w:tcW w:w="22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777</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1,122</w:t>
            </w:r>
          </w:p>
        </w:tc>
        <w:tc>
          <w:tcPr>
            <w:tcW w:w="20" w:type="dxa"/>
            <w:vAlign w:val="bottom"/>
          </w:tcPr>
          <w:p>
            <w:pPr>
              <w:spacing w:after="0"/>
              <w:rPr>
                <w:sz w:val="16"/>
                <w:szCs w:val="16"/>
                <w:color w:val="auto"/>
              </w:rPr>
            </w:pPr>
          </w:p>
        </w:tc>
      </w:tr>
      <w:tr>
        <w:trPr>
          <w:trHeight w:val="188"/>
        </w:trPr>
        <w:tc>
          <w:tcPr>
            <w:tcW w:w="3340" w:type="dxa"/>
            <w:vAlign w:val="bottom"/>
            <w:shd w:val="clear" w:color="auto" w:fill="C0C0C0"/>
          </w:tcPr>
          <w:p>
            <w:pPr>
              <w:spacing w:after="0"/>
              <w:rPr>
                <w:sz w:val="16"/>
                <w:szCs w:val="16"/>
                <w:color w:val="auto"/>
              </w:rPr>
            </w:pPr>
          </w:p>
        </w:tc>
        <w:tc>
          <w:tcPr>
            <w:tcW w:w="39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84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168,129</w:t>
            </w:r>
          </w:p>
        </w:tc>
        <w:tc>
          <w:tcPr>
            <w:tcW w:w="220" w:type="dxa"/>
            <w:vAlign w:val="bottom"/>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8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139,610</w:t>
            </w:r>
          </w:p>
        </w:tc>
        <w:tc>
          <w:tcPr>
            <w:tcW w:w="22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76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321,314</w:t>
            </w: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66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272,021</w:t>
            </w:r>
          </w:p>
        </w:tc>
        <w:tc>
          <w:tcPr>
            <w:tcW w:w="20" w:type="dxa"/>
            <w:vAlign w:val="bottom"/>
          </w:tcPr>
          <w:p>
            <w:pPr>
              <w:spacing w:after="0"/>
              <w:rPr>
                <w:sz w:val="16"/>
                <w:szCs w:val="16"/>
                <w:color w:val="auto"/>
              </w:rPr>
            </w:pPr>
          </w:p>
        </w:tc>
      </w:tr>
      <w:tr>
        <w:trPr>
          <w:trHeight w:val="195"/>
        </w:trPr>
        <w:tc>
          <w:tcPr>
            <w:tcW w:w="3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Loss from operations</w:t>
            </w:r>
          </w:p>
        </w:tc>
        <w:tc>
          <w:tcPr>
            <w:tcW w:w="39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(60,319)</w:t>
            </w:r>
          </w:p>
        </w:tc>
        <w:tc>
          <w:tcPr>
            <w:tcW w:w="220" w:type="dxa"/>
            <w:vAlign w:val="bottom"/>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(23,724)</w:t>
            </w:r>
          </w:p>
        </w:tc>
        <w:tc>
          <w:tcPr>
            <w:tcW w:w="22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(101,300)</w:t>
            </w: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(52,601)</w:t>
            </w:r>
          </w:p>
        </w:tc>
        <w:tc>
          <w:tcPr>
            <w:tcW w:w="20" w:type="dxa"/>
            <w:vAlign w:val="bottom"/>
          </w:tcPr>
          <w:p>
            <w:pPr>
              <w:spacing w:after="0"/>
              <w:rPr>
                <w:sz w:val="16"/>
                <w:szCs w:val="16"/>
                <w:color w:val="auto"/>
              </w:rPr>
            </w:pPr>
          </w:p>
        </w:tc>
      </w:tr>
      <w:tr>
        <w:trPr>
          <w:trHeight w:val="195"/>
        </w:trPr>
        <w:tc>
          <w:tcPr>
            <w:tcW w:w="3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Other income (expense)</w:t>
            </w:r>
          </w:p>
        </w:tc>
        <w:tc>
          <w:tcPr>
            <w:tcW w:w="39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3340" w:type="dxa"/>
            <w:vAlign w:val="bottom"/>
          </w:tcPr>
          <w:p>
            <w:pPr>
              <w:ind w:left="260"/>
              <w:spacing w:after="0"/>
              <w:rPr>
                <w:sz w:val="20"/>
                <w:szCs w:val="20"/>
                <w:color w:val="auto"/>
              </w:rPr>
            </w:pPr>
            <w:r>
              <w:rPr>
                <w:rFonts w:ascii="Arial" w:cs="Arial" w:eastAsia="Arial" w:hAnsi="Arial"/>
                <w:sz w:val="14"/>
                <w:szCs w:val="14"/>
                <w:color w:val="auto"/>
              </w:rPr>
              <w:t>Investment income</w:t>
            </w: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998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592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2,035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1,031</w:t>
            </w:r>
          </w:p>
        </w:tc>
        <w:tc>
          <w:tcPr>
            <w:tcW w:w="20" w:type="dxa"/>
            <w:vAlign w:val="bottom"/>
          </w:tcPr>
          <w:p>
            <w:pPr>
              <w:spacing w:after="0"/>
              <w:rPr>
                <w:sz w:val="16"/>
                <w:szCs w:val="16"/>
                <w:color w:val="auto"/>
              </w:rPr>
            </w:pPr>
          </w:p>
        </w:tc>
      </w:tr>
      <w:tr>
        <w:trPr>
          <w:trHeight w:val="197"/>
        </w:trPr>
        <w:tc>
          <w:tcPr>
            <w:tcW w:w="3340" w:type="dxa"/>
            <w:vAlign w:val="bottom"/>
            <w:shd w:val="clear" w:color="auto" w:fill="C0C0C0"/>
          </w:tcPr>
          <w:p>
            <w:pPr>
              <w:ind w:left="260"/>
              <w:spacing w:after="0"/>
              <w:rPr>
                <w:sz w:val="20"/>
                <w:szCs w:val="20"/>
                <w:color w:val="auto"/>
              </w:rPr>
            </w:pPr>
            <w:r>
              <w:rPr>
                <w:rFonts w:ascii="Arial" w:cs="Arial" w:eastAsia="Arial" w:hAnsi="Arial"/>
                <w:sz w:val="14"/>
                <w:szCs w:val="14"/>
                <w:color w:val="auto"/>
              </w:rPr>
              <w:t>Interest expense</w:t>
            </w:r>
          </w:p>
        </w:tc>
        <w:tc>
          <w:tcPr>
            <w:tcW w:w="398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(4,047)</w:t>
            </w:r>
          </w:p>
        </w:tc>
        <w:tc>
          <w:tcPr>
            <w:tcW w:w="220" w:type="dxa"/>
            <w:vAlign w:val="bottom"/>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17"/>
                <w:szCs w:val="17"/>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(2,342)</w:t>
            </w:r>
          </w:p>
        </w:tc>
        <w:tc>
          <w:tcPr>
            <w:tcW w:w="22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(7,766)</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(4,426)</w:t>
            </w:r>
          </w:p>
        </w:tc>
        <w:tc>
          <w:tcPr>
            <w:tcW w:w="20" w:type="dxa"/>
            <w:vAlign w:val="bottom"/>
          </w:tcPr>
          <w:p>
            <w:pPr>
              <w:spacing w:after="0"/>
              <w:rPr>
                <w:sz w:val="17"/>
                <w:szCs w:val="17"/>
                <w:color w:val="auto"/>
              </w:rPr>
            </w:pPr>
          </w:p>
        </w:tc>
      </w:tr>
      <w:tr>
        <w:trPr>
          <w:trHeight w:val="188"/>
        </w:trPr>
        <w:tc>
          <w:tcPr>
            <w:tcW w:w="3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(3,049)</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c>
          <w:tcPr>
            <w:tcW w:w="20" w:type="dxa"/>
            <w:vAlign w:val="bottom"/>
          </w:tcPr>
          <w:p>
            <w:pPr>
              <w:spacing w:after="0"/>
              <w:rPr>
                <w:sz w:val="16"/>
                <w:szCs w:val="16"/>
                <w:color w:val="auto"/>
              </w:rPr>
            </w:pPr>
          </w:p>
        </w:tc>
      </w:tr>
      <w:tr>
        <w:trPr>
          <w:trHeight w:val="195"/>
        </w:trPr>
        <w:tc>
          <w:tcPr>
            <w:tcW w:w="3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Net loss before income tax benefit</w:t>
            </w:r>
          </w:p>
        </w:tc>
        <w:tc>
          <w:tcPr>
            <w:tcW w:w="39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(63,368)</w:t>
            </w: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(25,474)</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(107,031)</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(55,996)</w:t>
            </w:r>
          </w:p>
        </w:tc>
        <w:tc>
          <w:tcPr>
            <w:tcW w:w="20" w:type="dxa"/>
            <w:vAlign w:val="bottom"/>
          </w:tcPr>
          <w:p>
            <w:pPr>
              <w:spacing w:after="0"/>
              <w:rPr>
                <w:sz w:val="17"/>
                <w:szCs w:val="17"/>
                <w:color w:val="auto"/>
              </w:rPr>
            </w:pPr>
          </w:p>
        </w:tc>
      </w:tr>
      <w:tr>
        <w:trPr>
          <w:trHeight w:val="197"/>
        </w:trPr>
        <w:tc>
          <w:tcPr>
            <w:tcW w:w="33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Income tax benefit</w:t>
            </w:r>
          </w:p>
        </w:tc>
        <w:tc>
          <w:tcPr>
            <w:tcW w:w="398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(863)</w:t>
            </w:r>
          </w:p>
        </w:tc>
        <w:tc>
          <w:tcPr>
            <w:tcW w:w="220" w:type="dxa"/>
            <w:vAlign w:val="bottom"/>
            <w:shd w:val="clear" w:color="auto" w:fill="C0C0C0"/>
          </w:tcPr>
          <w:p>
            <w:pPr>
              <w:spacing w:after="0"/>
              <w:rPr>
                <w:sz w:val="16"/>
                <w:szCs w:val="16"/>
                <w:color w:val="auto"/>
              </w:rPr>
            </w:pPr>
          </w:p>
        </w:tc>
        <w:tc>
          <w:tcPr>
            <w:tcW w:w="180" w:type="dxa"/>
            <w:vAlign w:val="bottom"/>
            <w:tcBorders>
              <w:bottom w:val="single" w:sz="8" w:color="auto"/>
            </w:tcBorders>
            <w:shd w:val="clear" w:color="auto" w:fill="C0C0C0"/>
          </w:tcPr>
          <w:p>
            <w:pPr>
              <w:spacing w:after="0"/>
              <w:rPr>
                <w:sz w:val="16"/>
                <w:szCs w:val="16"/>
                <w:color w:val="auto"/>
              </w:rPr>
            </w:pPr>
          </w:p>
        </w:tc>
        <w:tc>
          <w:tcPr>
            <w:tcW w:w="680" w:type="dxa"/>
            <w:vAlign w:val="bottom"/>
            <w:tcBorders>
              <w:bottom w:val="single" w:sz="8" w:color="auto"/>
            </w:tcBorders>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(1,079)</w:t>
            </w: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660" w:type="dxa"/>
            <w:vAlign w:val="bottom"/>
            <w:tcBorders>
              <w:bottom w:val="single" w:sz="8" w:color="auto"/>
            </w:tcBorders>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Net loss</w:t>
            </w:r>
          </w:p>
        </w:tc>
        <w:tc>
          <w:tcPr>
            <w:tcW w:w="4080" w:type="dxa"/>
            <w:vAlign w:val="bottom"/>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(62,505)</w:t>
            </w:r>
          </w:p>
        </w:tc>
        <w:tc>
          <w:tcPr>
            <w:tcW w:w="400" w:type="dxa"/>
            <w:vAlign w:val="bottom"/>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(25,474)</w:t>
            </w:r>
          </w:p>
        </w:tc>
        <w:tc>
          <w:tcPr>
            <w:tcW w:w="3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(105,952)</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(55,996)</w:t>
            </w:r>
          </w:p>
        </w:tc>
        <w:tc>
          <w:tcPr>
            <w:tcW w:w="20" w:type="dxa"/>
            <w:vAlign w:val="bottom"/>
          </w:tcPr>
          <w:p>
            <w:pPr>
              <w:spacing w:after="0"/>
              <w:rPr>
                <w:sz w:val="17"/>
                <w:szCs w:val="17"/>
                <w:color w:val="auto"/>
              </w:rPr>
            </w:pPr>
          </w:p>
        </w:tc>
      </w:tr>
      <w:tr>
        <w:trPr>
          <w:trHeight w:val="197"/>
        </w:trPr>
        <w:tc>
          <w:tcPr>
            <w:tcW w:w="3340" w:type="dxa"/>
            <w:vAlign w:val="bottom"/>
            <w:tcBorders>
              <w:top w:val="single" w:sz="8" w:color="C0C0C0"/>
            </w:tcBorders>
          </w:tcPr>
          <w:p>
            <w:pPr>
              <w:spacing w:after="0"/>
              <w:rPr>
                <w:sz w:val="17"/>
                <w:szCs w:val="17"/>
                <w:color w:val="auto"/>
              </w:rPr>
            </w:pPr>
          </w:p>
        </w:tc>
        <w:tc>
          <w:tcPr>
            <w:tcW w:w="398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0C0C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rPr>
              <w:t>Net loss per share, basic and diluted</w:t>
            </w:r>
          </w:p>
        </w:tc>
        <w:tc>
          <w:tcPr>
            <w:tcW w:w="4080" w:type="dxa"/>
            <w:vAlign w:val="bottom"/>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(0.69)</w:t>
            </w:r>
          </w:p>
        </w:tc>
        <w:tc>
          <w:tcPr>
            <w:tcW w:w="400" w:type="dxa"/>
            <w:vAlign w:val="bottom"/>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(0.31)</w:t>
            </w:r>
          </w:p>
        </w:tc>
        <w:tc>
          <w:tcPr>
            <w:tcW w:w="3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(0.69)</w:t>
            </w:r>
          </w:p>
        </w:tc>
        <w:tc>
          <w:tcPr>
            <w:tcW w:w="20" w:type="dxa"/>
            <w:vAlign w:val="bottom"/>
          </w:tcPr>
          <w:p>
            <w:pPr>
              <w:spacing w:after="0"/>
              <w:rPr>
                <w:sz w:val="17"/>
                <w:szCs w:val="17"/>
                <w:color w:val="auto"/>
              </w:rPr>
            </w:pPr>
          </w:p>
        </w:tc>
      </w:tr>
      <w:tr>
        <w:trPr>
          <w:trHeight w:val="197"/>
        </w:trPr>
        <w:tc>
          <w:tcPr>
            <w:tcW w:w="33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340" w:type="dxa"/>
            <w:vAlign w:val="bottom"/>
            <w:shd w:val="clear" w:color="auto" w:fill="C0C0C0"/>
          </w:tcPr>
          <w:p>
            <w:pPr>
              <w:spacing w:after="0"/>
              <w:rPr>
                <w:sz w:val="20"/>
                <w:szCs w:val="20"/>
                <w:color w:val="auto"/>
              </w:rPr>
            </w:pPr>
            <w:r>
              <w:rPr>
                <w:rFonts w:ascii="Arial" w:cs="Arial" w:eastAsia="Arial" w:hAnsi="Arial"/>
                <w:sz w:val="14"/>
                <w:szCs w:val="14"/>
                <w:color w:val="auto"/>
                <w:w w:val="95"/>
              </w:rPr>
              <w:t>Weighted average shares outstanding, basic and diluted</w:t>
            </w:r>
          </w:p>
        </w:tc>
        <w:tc>
          <w:tcPr>
            <w:tcW w:w="39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90,436</w:t>
            </w: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81,492</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89,799</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81,330</w:t>
            </w:r>
          </w:p>
        </w:tc>
        <w:tc>
          <w:tcPr>
            <w:tcW w:w="20" w:type="dxa"/>
            <w:vAlign w:val="bottom"/>
          </w:tcPr>
          <w:p>
            <w:pPr>
              <w:spacing w:after="0"/>
              <w:rPr>
                <w:sz w:val="17"/>
                <w:szCs w:val="17"/>
                <w:color w:val="auto"/>
              </w:rPr>
            </w:pPr>
          </w:p>
        </w:tc>
      </w:tr>
      <w:tr>
        <w:trPr>
          <w:trHeight w:val="371"/>
        </w:trPr>
        <w:tc>
          <w:tcPr>
            <w:tcW w:w="3340" w:type="dxa"/>
            <w:vAlign w:val="bottom"/>
          </w:tcPr>
          <w:p>
            <w:pPr>
              <w:spacing w:after="0"/>
              <w:rPr>
                <w:sz w:val="24"/>
                <w:szCs w:val="24"/>
                <w:color w:val="auto"/>
              </w:rPr>
            </w:pPr>
          </w:p>
        </w:tc>
        <w:tc>
          <w:tcPr>
            <w:tcW w:w="4920" w:type="dxa"/>
            <w:vAlign w:val="bottom"/>
            <w:gridSpan w:val="3"/>
          </w:tcPr>
          <w:p>
            <w:pPr>
              <w:jc w:val="right"/>
              <w:ind w:right="249"/>
              <w:spacing w:after="0"/>
              <w:rPr>
                <w:sz w:val="20"/>
                <w:szCs w:val="20"/>
                <w:color w:val="auto"/>
              </w:rPr>
            </w:pPr>
            <w:r>
              <w:rPr>
                <w:rFonts w:ascii="Arial" w:cs="Arial" w:eastAsia="Arial" w:hAnsi="Arial"/>
                <w:sz w:val="14"/>
                <w:szCs w:val="14"/>
                <w:b w:val="1"/>
                <w:bCs w:val="1"/>
                <w:color w:val="auto"/>
                <w:w w:val="94"/>
              </w:rPr>
              <w:t>The accompanying notes are an integral part of the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33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15"/>
        </w:trPr>
        <w:tc>
          <w:tcPr>
            <w:tcW w:w="3340" w:type="dxa"/>
            <w:vAlign w:val="bottom"/>
          </w:tcPr>
          <w:p>
            <w:pPr>
              <w:spacing w:after="0"/>
              <w:rPr>
                <w:sz w:val="24"/>
                <w:szCs w:val="24"/>
                <w:color w:val="auto"/>
              </w:rPr>
            </w:pPr>
          </w:p>
        </w:tc>
        <w:tc>
          <w:tcPr>
            <w:tcW w:w="3980" w:type="dxa"/>
            <w:vAlign w:val="bottom"/>
          </w:tcPr>
          <w:p>
            <w:pPr>
              <w:jc w:val="right"/>
              <w:ind w:right="148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33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STOCKHOLDERS' EQUITY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six months ended June 30, 2011 and 2010</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7"/>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7"/>
                <w:szCs w:val="17"/>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ind w:left="120"/>
              <w:spacing w:after="0"/>
              <w:rPr>
                <w:sz w:val="20"/>
                <w:szCs w:val="20"/>
                <w:color w:val="auto"/>
              </w:rPr>
            </w:pPr>
            <w:r>
              <w:rPr>
                <w:rFonts w:ascii="Arial" w:cs="Arial" w:eastAsia="Arial" w:hAnsi="Arial"/>
                <w:sz w:val="11"/>
                <w:szCs w:val="11"/>
                <w:b w:val="1"/>
                <w:bCs w:val="1"/>
                <w:color w:val="auto"/>
                <w:w w:val="92"/>
              </w:rPr>
              <w:t>Class A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5"/>
          </w:tcPr>
          <w:p>
            <w:pPr>
              <w:ind w:left="6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7"/>
                <w:szCs w:val="17"/>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Paid-in</w:t>
            </w:r>
          </w:p>
        </w:tc>
        <w:tc>
          <w:tcPr>
            <w:tcW w:w="8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Comprehensive</w:t>
            </w:r>
          </w:p>
        </w:tc>
        <w:tc>
          <w:tcPr>
            <w:tcW w:w="8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Stockholders'</w:t>
            </w:r>
          </w:p>
        </w:tc>
        <w:tc>
          <w:tcPr>
            <w:tcW w:w="840" w:type="dxa"/>
            <w:vAlign w:val="bottom"/>
            <w:gridSpan w:val="2"/>
          </w:tcPr>
          <w:p>
            <w:pPr>
              <w:jc w:val="right"/>
              <w:ind w:right="5"/>
              <w:spacing w:after="0"/>
              <w:rPr>
                <w:sz w:val="20"/>
                <w:szCs w:val="20"/>
                <w:color w:val="auto"/>
              </w:rPr>
            </w:pPr>
            <w:r>
              <w:rPr>
                <w:rFonts w:ascii="Arial" w:cs="Arial" w:eastAsia="Arial" w:hAnsi="Arial"/>
                <w:sz w:val="11"/>
                <w:szCs w:val="11"/>
                <w:b w:val="1"/>
                <w:bCs w:val="1"/>
                <w:color w:val="auto"/>
                <w:w w:val="92"/>
              </w:rPr>
              <w:t>Comprehensive</w:t>
            </w: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5"/>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1"/>
              </w:rPr>
              <w:t>Shares</w:t>
            </w: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Deficit</w:t>
            </w:r>
          </w:p>
        </w:tc>
        <w:tc>
          <w:tcPr>
            <w:tcW w:w="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Equity</w:t>
            </w:r>
          </w:p>
        </w:tc>
        <w:tc>
          <w:tcPr>
            <w:tcW w:w="180" w:type="dxa"/>
            <w:vAlign w:val="bottom"/>
          </w:tcPr>
          <w:p>
            <w:pPr>
              <w:spacing w:after="0"/>
              <w:rPr>
                <w:sz w:val="13"/>
                <w:szCs w:val="13"/>
                <w:color w:val="auto"/>
              </w:rPr>
            </w:pPr>
          </w:p>
        </w:tc>
        <w:tc>
          <w:tcPr>
            <w:tcW w:w="660" w:type="dxa"/>
            <w:vAlign w:val="bottom"/>
          </w:tcPr>
          <w:p>
            <w:pPr>
              <w:jc w:val="right"/>
              <w:ind w:right="245"/>
              <w:spacing w:after="0"/>
              <w:rPr>
                <w:sz w:val="20"/>
                <w:szCs w:val="20"/>
                <w:color w:val="auto"/>
              </w:rPr>
            </w:pPr>
            <w:r>
              <w:rPr>
                <w:rFonts w:ascii="Arial" w:cs="Arial" w:eastAsia="Arial" w:hAnsi="Arial"/>
                <w:sz w:val="11"/>
                <w:szCs w:val="11"/>
                <w:b w:val="1"/>
                <w:bCs w:val="1"/>
                <w:color w:val="auto"/>
              </w:rPr>
              <w:t>Loss</w:t>
            </w:r>
          </w:p>
        </w:tc>
      </w:tr>
      <w:tr>
        <w:trPr>
          <w:trHeight w:val="34"/>
        </w:trPr>
        <w:tc>
          <w:tcPr>
            <w:tcW w:w="5260" w:type="dxa"/>
            <w:vAlign w:val="bottom"/>
            <w:tcBorders>
              <w:bottom w:val="single" w:sz="8" w:color="C0C0C0"/>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0C0C0"/>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0C0C0"/>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68"/>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December 31, 2010</w:t>
            </w:r>
          </w:p>
        </w:tc>
        <w:tc>
          <w:tcPr>
            <w:tcW w:w="4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1"/>
                <w:szCs w:val="11"/>
                <w:color w:val="auto"/>
              </w:rPr>
              <w:t>2,182</w:t>
            </w:r>
          </w:p>
        </w:tc>
        <w:tc>
          <w:tcPr>
            <w:tcW w:w="80" w:type="dxa"/>
            <w:vAlign w:val="bottom"/>
            <w:tcBorders>
              <w:bottom w:val="single" w:sz="8" w:color="C0C0C0"/>
            </w:tcBorders>
            <w:shd w:val="clear" w:color="auto" w:fill="C0C0C0"/>
          </w:tcPr>
          <w:p>
            <w:pPr>
              <w:spacing w:after="0"/>
              <w:rPr>
                <w:sz w:val="14"/>
                <w:szCs w:val="14"/>
                <w:color w:val="auto"/>
              </w:rPr>
            </w:pPr>
          </w:p>
        </w:tc>
        <w:tc>
          <w:tcPr>
            <w:tcW w:w="120" w:type="dxa"/>
            <w:vAlign w:val="bottom"/>
            <w:tcBorders>
              <w:bottom w:val="single" w:sz="8" w:color="C0C0C0"/>
            </w:tcBorders>
            <w:shd w:val="clear" w:color="auto" w:fill="C0C0C0"/>
          </w:tcPr>
          <w:p>
            <w:pPr>
              <w:spacing w:after="0"/>
              <w:rPr>
                <w:sz w:val="14"/>
                <w:szCs w:val="14"/>
                <w:color w:val="auto"/>
              </w:rPr>
            </w:pPr>
          </w:p>
        </w:tc>
        <w:tc>
          <w:tcPr>
            <w:tcW w:w="3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4"/>
                <w:szCs w:val="14"/>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89"/>
              </w:rPr>
              <w:t>87,238</w:t>
            </w:r>
          </w:p>
        </w:tc>
        <w:tc>
          <w:tcPr>
            <w:tcW w:w="120" w:type="dxa"/>
            <w:vAlign w:val="bottom"/>
            <w:tcBorders>
              <w:bottom w:val="single" w:sz="8" w:color="C0C0C0"/>
            </w:tcBorders>
            <w:shd w:val="clear" w:color="auto" w:fill="C0C0C0"/>
          </w:tcPr>
          <w:p>
            <w:pPr>
              <w:spacing w:after="0"/>
              <w:rPr>
                <w:sz w:val="14"/>
                <w:szCs w:val="14"/>
                <w:color w:val="auto"/>
              </w:rPr>
            </w:pP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87</w:t>
            </w:r>
          </w:p>
        </w:tc>
        <w:tc>
          <w:tcPr>
            <w:tcW w:w="100" w:type="dxa"/>
            <w:vAlign w:val="bottom"/>
            <w:tcBorders>
              <w:bottom w:val="single" w:sz="8" w:color="C0C0C0"/>
            </w:tcBorders>
            <w:shd w:val="clear" w:color="auto" w:fill="C0C0C0"/>
          </w:tcPr>
          <w:p>
            <w:pPr>
              <w:spacing w:after="0"/>
              <w:rPr>
                <w:sz w:val="14"/>
                <w:szCs w:val="14"/>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93"/>
              </w:rPr>
              <w:t>1,575,780</w:t>
            </w:r>
          </w:p>
        </w:tc>
        <w:tc>
          <w:tcPr>
            <w:tcW w:w="100" w:type="dxa"/>
            <w:vAlign w:val="bottom"/>
            <w:tcBorders>
              <w:bottom w:val="single" w:sz="8" w:color="C0C0C0"/>
            </w:tcBorders>
            <w:shd w:val="clear" w:color="auto" w:fill="C0C0C0"/>
          </w:tcPr>
          <w:p>
            <w:pPr>
              <w:spacing w:after="0"/>
              <w:rPr>
                <w:sz w:val="14"/>
                <w:szCs w:val="14"/>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92"/>
              </w:rPr>
              <w:t>(1,045,563)</w:t>
            </w:r>
          </w:p>
        </w:tc>
        <w:tc>
          <w:tcPr>
            <w:tcW w:w="120" w:type="dxa"/>
            <w:vAlign w:val="bottom"/>
            <w:tcBorders>
              <w:bottom w:val="single" w:sz="8" w:color="C0C0C0"/>
            </w:tcBorders>
            <w:shd w:val="clear" w:color="auto" w:fill="C0C0C0"/>
          </w:tcPr>
          <w:p>
            <w:pPr>
              <w:spacing w:after="0"/>
              <w:rPr>
                <w:sz w:val="14"/>
                <w:szCs w:val="14"/>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C0C0C0"/>
            </w:tcBorders>
            <w:shd w:val="clear" w:color="auto" w:fill="C0C0C0"/>
          </w:tcPr>
          <w:p>
            <w:pPr>
              <w:jc w:val="right"/>
              <w:ind w:right="85"/>
              <w:spacing w:after="0"/>
              <w:rPr>
                <w:sz w:val="20"/>
                <w:szCs w:val="20"/>
                <w:color w:val="auto"/>
              </w:rPr>
            </w:pPr>
            <w:r>
              <w:rPr>
                <w:rFonts w:ascii="Arial" w:cs="Arial" w:eastAsia="Arial" w:hAnsi="Arial"/>
                <w:sz w:val="11"/>
                <w:szCs w:val="11"/>
                <w:color w:val="auto"/>
              </w:rPr>
              <w:t>(2,491)</w:t>
            </w:r>
          </w:p>
        </w:tc>
        <w:tc>
          <w:tcPr>
            <w:tcW w:w="100" w:type="dxa"/>
            <w:vAlign w:val="bottom"/>
            <w:tcBorders>
              <w:bottom w:val="single" w:sz="8" w:color="C0C0C0"/>
            </w:tcBorders>
            <w:shd w:val="clear" w:color="auto" w:fill="C0C0C0"/>
          </w:tcPr>
          <w:p>
            <w:pPr>
              <w:spacing w:after="0"/>
              <w:rPr>
                <w:sz w:val="14"/>
                <w:szCs w:val="14"/>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527,815</w:t>
            </w:r>
          </w:p>
        </w:tc>
        <w:tc>
          <w:tcPr>
            <w:tcW w:w="100" w:type="dxa"/>
            <w:vAlign w:val="bottom"/>
            <w:tcBorders>
              <w:bottom w:val="single" w:sz="8" w:color="C0C0C0"/>
            </w:tcBorders>
            <w:shd w:val="clear" w:color="auto" w:fill="C0C0C0"/>
          </w:tcPr>
          <w:p>
            <w:pPr>
              <w:spacing w:after="0"/>
              <w:rPr>
                <w:sz w:val="14"/>
                <w:szCs w:val="14"/>
                <w:color w:val="auto"/>
              </w:rPr>
            </w:pPr>
          </w:p>
        </w:tc>
        <w:tc>
          <w:tcPr>
            <w:tcW w:w="180" w:type="dxa"/>
            <w:vAlign w:val="bottom"/>
            <w:tcBorders>
              <w:bottom w:val="single" w:sz="8" w:color="C0C0C0"/>
            </w:tcBorders>
            <w:shd w:val="clear" w:color="auto" w:fill="C0C0C0"/>
          </w:tcPr>
          <w:p>
            <w:pPr>
              <w:spacing w:after="0"/>
              <w:rPr>
                <w:sz w:val="14"/>
                <w:szCs w:val="14"/>
                <w:color w:val="auto"/>
              </w:rPr>
            </w:pPr>
          </w:p>
        </w:tc>
        <w:tc>
          <w:tcPr>
            <w:tcW w:w="660" w:type="dxa"/>
            <w:vAlign w:val="bottom"/>
            <w:tcBorders>
              <w:bottom w:val="single" w:sz="8" w:color="C0C0C0"/>
            </w:tcBorders>
            <w:shd w:val="clear" w:color="auto" w:fill="C0C0C0"/>
          </w:tcPr>
          <w:p>
            <w:pPr>
              <w:spacing w:after="0"/>
              <w:rPr>
                <w:sz w:val="14"/>
                <w:szCs w:val="14"/>
                <w:color w:val="auto"/>
              </w:rPr>
            </w:pP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Issuance of Common Stock in connection with</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1"/>
                <w:szCs w:val="11"/>
                <w:color w:val="auto"/>
              </w:rPr>
              <w:t>exercise of stock options, net of shares tendered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23,792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23,794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64"/>
        </w:trPr>
        <w:tc>
          <w:tcPr>
            <w:tcW w:w="5260" w:type="dxa"/>
            <w:vAlign w:val="bottom"/>
            <w:shd w:val="clear" w:color="auto" w:fill="C0C0C0"/>
          </w:tcPr>
          <w:p>
            <w:pPr>
              <w:spacing w:after="0"/>
              <w:rPr>
                <w:sz w:val="20"/>
                <w:szCs w:val="20"/>
                <w:color w:val="auto"/>
              </w:rPr>
            </w:pPr>
            <w:r>
              <w:rPr>
                <w:rFonts w:ascii="Arial" w:cs="Arial" w:eastAsia="Arial" w:hAnsi="Arial"/>
                <w:sz w:val="11"/>
                <w:szCs w:val="11"/>
                <w:color w:val="auto"/>
              </w:rPr>
              <w:t>Issuance of Common Stock in connection with</w:t>
            </w:r>
          </w:p>
        </w:tc>
        <w:tc>
          <w:tcPr>
            <w:tcW w:w="12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r>
      <w:tr>
        <w:trPr>
          <w:trHeight w:val="211"/>
        </w:trPr>
        <w:tc>
          <w:tcPr>
            <w:tcW w:w="526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1"/>
                <w:szCs w:val="11"/>
                <w:color w:val="auto"/>
              </w:rPr>
              <w:t>Company 401(k) Savings Plan contribution</w:t>
            </w:r>
          </w:p>
        </w:tc>
        <w:tc>
          <w:tcPr>
            <w:tcW w:w="120" w:type="dxa"/>
            <w:vAlign w:val="bottom"/>
            <w:tcBorders>
              <w:bottom w:val="single" w:sz="8" w:color="C0C0C0"/>
            </w:tcBorders>
            <w:shd w:val="clear" w:color="auto" w:fill="C0C0C0"/>
          </w:tcPr>
          <w:p>
            <w:pPr>
              <w:spacing w:after="0"/>
              <w:rPr>
                <w:sz w:val="18"/>
                <w:szCs w:val="18"/>
                <w:color w:val="auto"/>
              </w:rPr>
            </w:pPr>
          </w:p>
        </w:tc>
        <w:tc>
          <w:tcPr>
            <w:tcW w:w="3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3,405</w:t>
            </w: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3,405</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Issuance of restricted Common Stock under</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1"/>
                <w:szCs w:val="11"/>
                <w:color w:val="auto"/>
              </w:rPr>
              <w:t>Long-Term Incentive Plan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Conversion of Class A Stock to Common Stock</w:t>
            </w:r>
          </w:p>
        </w:tc>
        <w:tc>
          <w:tcPr>
            <w:tcW w:w="520" w:type="dxa"/>
            <w:vAlign w:val="bottom"/>
            <w:tcBorders>
              <w:bottom w:val="single" w:sz="8" w:color="C0C0C0"/>
            </w:tcBorders>
            <w:gridSpan w:val="3"/>
            <w:shd w:val="clear" w:color="auto" w:fill="C0C0C0"/>
          </w:tcPr>
          <w:p>
            <w:pPr>
              <w:jc w:val="right"/>
              <w:ind w:right="40"/>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2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4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6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spacing w:after="0"/>
              <w:rPr>
                <w:sz w:val="15"/>
                <w:szCs w:val="15"/>
                <w:color w:val="auto"/>
              </w:rPr>
            </w:pPr>
          </w:p>
        </w:tc>
        <w:tc>
          <w:tcPr>
            <w:tcW w:w="660" w:type="dxa"/>
            <w:vAlign w:val="bottom"/>
            <w:tcBorders>
              <w:bottom w:val="single" w:sz="8" w:color="C0C0C0"/>
            </w:tcBorders>
            <w:shd w:val="clear" w:color="auto" w:fill="C0C0C0"/>
          </w:tcPr>
          <w:p>
            <w:pPr>
              <w:spacing w:after="0"/>
              <w:rPr>
                <w:sz w:val="15"/>
                <w:szCs w:val="15"/>
                <w:color w:val="auto"/>
              </w:rPr>
            </w:pP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Stock-based compensation charges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27,385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27,385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Net loss</w:t>
            </w:r>
          </w:p>
        </w:tc>
        <w:tc>
          <w:tcPr>
            <w:tcW w:w="12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2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4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(105,952)</w:t>
            </w:r>
          </w:p>
        </w:tc>
        <w:tc>
          <w:tcPr>
            <w:tcW w:w="120" w:type="dxa"/>
            <w:vAlign w:val="bottom"/>
            <w:tcBorders>
              <w:bottom w:val="single" w:sz="8" w:color="C0C0C0"/>
            </w:tcBorders>
            <w:shd w:val="clear" w:color="auto" w:fill="C0C0C0"/>
          </w:tcPr>
          <w:p>
            <w:pPr>
              <w:spacing w:after="0"/>
              <w:rPr>
                <w:sz w:val="15"/>
                <w:szCs w:val="15"/>
                <w:color w:val="auto"/>
              </w:rPr>
            </w:pPr>
          </w:p>
        </w:tc>
        <w:tc>
          <w:tcPr>
            <w:tcW w:w="6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rPr>
              <w:t>(105,952)</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(105,952)</w:t>
            </w: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Change in net unrealized gain (loss) on marketable securities,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1"/>
                <w:szCs w:val="11"/>
                <w:color w:val="auto"/>
              </w:rPr>
              <w:t>net of tax effect of $1.1 million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1,587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1,587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1,587</w:t>
            </w: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June 30, 2011</w:t>
            </w:r>
          </w:p>
        </w:tc>
        <w:tc>
          <w:tcPr>
            <w:tcW w:w="4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1"/>
                <w:szCs w:val="11"/>
                <w:color w:val="auto"/>
              </w:rPr>
              <w:t>2,127</w:t>
            </w:r>
          </w:p>
        </w:tc>
        <w:tc>
          <w:tcPr>
            <w:tcW w:w="8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7"/>
                <w:szCs w:val="17"/>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89"/>
              </w:rPr>
              <w:t>89,416</w:t>
            </w:r>
          </w:p>
        </w:tc>
        <w:tc>
          <w:tcPr>
            <w:tcW w:w="12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93"/>
              </w:rPr>
              <w:t>1,630,362</w:t>
            </w:r>
          </w:p>
        </w:tc>
        <w:tc>
          <w:tcPr>
            <w:tcW w:w="10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92"/>
              </w:rPr>
              <w:t>(1,151,515)</w:t>
            </w:r>
          </w:p>
        </w:tc>
        <w:tc>
          <w:tcPr>
            <w:tcW w:w="120" w:type="dxa"/>
            <w:vAlign w:val="bottom"/>
            <w:tcBorders>
              <w:bottom w:val="single" w:sz="8" w:color="C0C0C0"/>
            </w:tcBorders>
            <w:shd w:val="clear" w:color="auto" w:fill="C0C0C0"/>
          </w:tcPr>
          <w:p>
            <w:pPr>
              <w:spacing w:after="0"/>
              <w:rPr>
                <w:sz w:val="17"/>
                <w:szCs w:val="17"/>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C0C0C0"/>
            </w:tcBorders>
            <w:shd w:val="clear" w:color="auto" w:fill="C0C0C0"/>
          </w:tcPr>
          <w:p>
            <w:pPr>
              <w:jc w:val="right"/>
              <w:ind w:right="85"/>
              <w:spacing w:after="0"/>
              <w:rPr>
                <w:sz w:val="20"/>
                <w:szCs w:val="20"/>
                <w:color w:val="auto"/>
              </w:rPr>
            </w:pPr>
            <w:r>
              <w:rPr>
                <w:rFonts w:ascii="Arial" w:cs="Arial" w:eastAsia="Arial" w:hAnsi="Arial"/>
                <w:sz w:val="11"/>
                <w:szCs w:val="11"/>
                <w:color w:val="auto"/>
              </w:rPr>
              <w:t>(904)</w:t>
            </w:r>
          </w:p>
        </w:tc>
        <w:tc>
          <w:tcPr>
            <w:tcW w:w="10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478,034</w:t>
            </w:r>
          </w:p>
        </w:tc>
        <w:tc>
          <w:tcPr>
            <w:tcW w:w="10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(104,365)</w:t>
            </w:r>
          </w:p>
        </w:tc>
      </w:tr>
      <w:tr>
        <w:trPr>
          <w:trHeight w:val="197"/>
        </w:trPr>
        <w:tc>
          <w:tcPr>
            <w:tcW w:w="526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177"/>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December 31, 2009</w:t>
            </w:r>
          </w:p>
        </w:tc>
        <w:tc>
          <w:tcPr>
            <w:tcW w:w="4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1"/>
                <w:szCs w:val="11"/>
                <w:color w:val="auto"/>
              </w:rPr>
              <w:t>2,245</w:t>
            </w:r>
          </w:p>
        </w:tc>
        <w:tc>
          <w:tcPr>
            <w:tcW w:w="8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89"/>
              </w:rPr>
              <w:t>78,861</w:t>
            </w:r>
          </w:p>
        </w:tc>
        <w:tc>
          <w:tcPr>
            <w:tcW w:w="12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79</w:t>
            </w: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93"/>
              </w:rPr>
              <w:t>1,336,732</w:t>
            </w: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(941,095)</w:t>
            </w:r>
          </w:p>
        </w:tc>
        <w:tc>
          <w:tcPr>
            <w:tcW w:w="120" w:type="dxa"/>
            <w:vAlign w:val="bottom"/>
            <w:tcBorders>
              <w:bottom w:val="single" w:sz="8" w:color="C0C0C0"/>
            </w:tcBorders>
            <w:shd w:val="clear" w:color="auto" w:fill="C0C0C0"/>
          </w:tcPr>
          <w:p>
            <w:pPr>
              <w:spacing w:after="0"/>
              <w:rPr>
                <w:sz w:val="15"/>
                <w:szCs w:val="15"/>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C0C0C0"/>
            </w:tcBorders>
            <w:shd w:val="clear" w:color="auto" w:fill="C0C0C0"/>
          </w:tcPr>
          <w:p>
            <w:pPr>
              <w:jc w:val="right"/>
              <w:ind w:right="125"/>
              <w:spacing w:after="0"/>
              <w:rPr>
                <w:sz w:val="20"/>
                <w:szCs w:val="20"/>
                <w:color w:val="auto"/>
              </w:rPr>
            </w:pPr>
            <w:r>
              <w:rPr>
                <w:rFonts w:ascii="Arial" w:cs="Arial" w:eastAsia="Arial" w:hAnsi="Arial"/>
                <w:sz w:val="11"/>
                <w:szCs w:val="11"/>
                <w:color w:val="auto"/>
              </w:rPr>
              <w:t>1,044</w:t>
            </w: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396,762</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spacing w:after="0"/>
              <w:rPr>
                <w:sz w:val="15"/>
                <w:szCs w:val="15"/>
                <w:color w:val="auto"/>
              </w:rPr>
            </w:pPr>
          </w:p>
        </w:tc>
        <w:tc>
          <w:tcPr>
            <w:tcW w:w="660" w:type="dxa"/>
            <w:vAlign w:val="bottom"/>
            <w:tcBorders>
              <w:bottom w:val="single" w:sz="8" w:color="C0C0C0"/>
            </w:tcBorders>
            <w:shd w:val="clear" w:color="auto" w:fill="C0C0C0"/>
          </w:tcPr>
          <w:p>
            <w:pPr>
              <w:spacing w:after="0"/>
              <w:rPr>
                <w:sz w:val="15"/>
                <w:szCs w:val="15"/>
                <w:color w:val="auto"/>
              </w:rPr>
            </w:pP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Issuance of Common Stock in connection with</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1"/>
                <w:szCs w:val="11"/>
                <w:color w:val="auto"/>
              </w:rPr>
              <w:t>exercise of stock options, net of shares tendered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878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11,391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11,392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64"/>
        </w:trPr>
        <w:tc>
          <w:tcPr>
            <w:tcW w:w="5260" w:type="dxa"/>
            <w:vAlign w:val="bottom"/>
            <w:shd w:val="clear" w:color="auto" w:fill="C0C0C0"/>
          </w:tcPr>
          <w:p>
            <w:pPr>
              <w:spacing w:after="0"/>
              <w:rPr>
                <w:sz w:val="20"/>
                <w:szCs w:val="20"/>
                <w:color w:val="auto"/>
              </w:rPr>
            </w:pPr>
            <w:r>
              <w:rPr>
                <w:rFonts w:ascii="Arial" w:cs="Arial" w:eastAsia="Arial" w:hAnsi="Arial"/>
                <w:sz w:val="11"/>
                <w:szCs w:val="11"/>
                <w:color w:val="auto"/>
              </w:rPr>
              <w:t>Issuance of Common Stock in connection with</w:t>
            </w:r>
          </w:p>
        </w:tc>
        <w:tc>
          <w:tcPr>
            <w:tcW w:w="12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r>
      <w:tr>
        <w:trPr>
          <w:trHeight w:val="211"/>
        </w:trPr>
        <w:tc>
          <w:tcPr>
            <w:tcW w:w="526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1"/>
                <w:szCs w:val="11"/>
                <w:color w:val="auto"/>
              </w:rPr>
              <w:t>Company 401(k) Savings Plan contribution</w:t>
            </w:r>
          </w:p>
        </w:tc>
        <w:tc>
          <w:tcPr>
            <w:tcW w:w="120" w:type="dxa"/>
            <w:vAlign w:val="bottom"/>
            <w:tcBorders>
              <w:bottom w:val="single" w:sz="8" w:color="C0C0C0"/>
            </w:tcBorders>
            <w:shd w:val="clear" w:color="auto" w:fill="C0C0C0"/>
          </w:tcPr>
          <w:p>
            <w:pPr>
              <w:spacing w:after="0"/>
              <w:rPr>
                <w:sz w:val="18"/>
                <w:szCs w:val="18"/>
                <w:color w:val="auto"/>
              </w:rPr>
            </w:pPr>
          </w:p>
        </w:tc>
        <w:tc>
          <w:tcPr>
            <w:tcW w:w="3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44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1"/>
                <w:szCs w:val="11"/>
                <w:color w:val="auto"/>
              </w:rPr>
              <w:t>111</w:t>
            </w:r>
          </w:p>
        </w:tc>
        <w:tc>
          <w:tcPr>
            <w:tcW w:w="16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2,867</w:t>
            </w: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2,867</w:t>
            </w:r>
          </w:p>
        </w:tc>
        <w:tc>
          <w:tcPr>
            <w:tcW w:w="10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Issuance of restricted Common Stock under</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1"/>
                <w:szCs w:val="11"/>
                <w:color w:val="auto"/>
              </w:rPr>
              <w:t>Long-Term Incentive Plan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Conversion of Class A Stock to Common Stock</w:t>
            </w:r>
          </w:p>
        </w:tc>
        <w:tc>
          <w:tcPr>
            <w:tcW w:w="520" w:type="dxa"/>
            <w:vAlign w:val="bottom"/>
            <w:tcBorders>
              <w:bottom w:val="single" w:sz="8" w:color="C0C0C0"/>
            </w:tcBorders>
            <w:gridSpan w:val="3"/>
            <w:shd w:val="clear" w:color="auto" w:fill="C0C0C0"/>
          </w:tcPr>
          <w:p>
            <w:pPr>
              <w:jc w:val="right"/>
              <w:ind w:right="40"/>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2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4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6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spacing w:after="0"/>
              <w:rPr>
                <w:sz w:val="15"/>
                <w:szCs w:val="15"/>
                <w:color w:val="auto"/>
              </w:rPr>
            </w:pPr>
          </w:p>
        </w:tc>
        <w:tc>
          <w:tcPr>
            <w:tcW w:w="660" w:type="dxa"/>
            <w:vAlign w:val="bottom"/>
            <w:tcBorders>
              <w:bottom w:val="single" w:sz="8" w:color="C0C0C0"/>
            </w:tcBorders>
            <w:shd w:val="clear" w:color="auto" w:fill="C0C0C0"/>
          </w:tcPr>
          <w:p>
            <w:pPr>
              <w:spacing w:after="0"/>
              <w:rPr>
                <w:sz w:val="15"/>
                <w:szCs w:val="15"/>
                <w:color w:val="auto"/>
              </w:rPr>
            </w:pP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Stock-based compensation charges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17,541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17,541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7"/>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Net loss</w:t>
            </w:r>
          </w:p>
        </w:tc>
        <w:tc>
          <w:tcPr>
            <w:tcW w:w="12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2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spacing w:after="0"/>
              <w:rPr>
                <w:sz w:val="15"/>
                <w:szCs w:val="15"/>
                <w:color w:val="auto"/>
              </w:rPr>
            </w:pPr>
          </w:p>
        </w:tc>
        <w:tc>
          <w:tcPr>
            <w:tcW w:w="48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(55,996)</w:t>
            </w:r>
          </w:p>
        </w:tc>
        <w:tc>
          <w:tcPr>
            <w:tcW w:w="120" w:type="dxa"/>
            <w:vAlign w:val="bottom"/>
            <w:tcBorders>
              <w:bottom w:val="single" w:sz="8" w:color="C0C0C0"/>
            </w:tcBorders>
            <w:shd w:val="clear" w:color="auto" w:fill="C0C0C0"/>
          </w:tcPr>
          <w:p>
            <w:pPr>
              <w:spacing w:after="0"/>
              <w:rPr>
                <w:sz w:val="15"/>
                <w:szCs w:val="15"/>
                <w:color w:val="auto"/>
              </w:rPr>
            </w:pPr>
          </w:p>
        </w:tc>
        <w:tc>
          <w:tcPr>
            <w:tcW w:w="60" w:type="dxa"/>
            <w:vAlign w:val="bottom"/>
            <w:tcBorders>
              <w:bottom w:val="single" w:sz="8" w:color="C0C0C0"/>
            </w:tcBorders>
            <w:shd w:val="clear" w:color="auto" w:fill="C0C0C0"/>
          </w:tcPr>
          <w:p>
            <w:pPr>
              <w:spacing w:after="0"/>
              <w:rPr>
                <w:sz w:val="15"/>
                <w:szCs w:val="15"/>
                <w:color w:val="auto"/>
              </w:rPr>
            </w:pPr>
          </w:p>
        </w:tc>
        <w:tc>
          <w:tcPr>
            <w:tcW w:w="84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80" w:type="dxa"/>
            <w:vAlign w:val="bottom"/>
            <w:tcBorders>
              <w:bottom w:val="single" w:sz="8" w:color="C0C0C0"/>
            </w:tcBorders>
            <w:shd w:val="clear" w:color="auto" w:fill="C0C0C0"/>
          </w:tcPr>
          <w:p>
            <w:pPr>
              <w:jc w:val="right"/>
              <w:ind w:right="25"/>
              <w:spacing w:after="0"/>
              <w:rPr>
                <w:sz w:val="20"/>
                <w:szCs w:val="20"/>
                <w:color w:val="auto"/>
              </w:rPr>
            </w:pPr>
            <w:r>
              <w:rPr>
                <w:rFonts w:ascii="Arial" w:cs="Arial" w:eastAsia="Arial" w:hAnsi="Arial"/>
                <w:sz w:val="11"/>
                <w:szCs w:val="11"/>
                <w:color w:val="auto"/>
              </w:rPr>
              <w:t>(55,996)</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(55,996)</w:t>
            </w:r>
          </w:p>
        </w:tc>
      </w:tr>
      <w:tr>
        <w:trPr>
          <w:trHeight w:val="164"/>
        </w:trPr>
        <w:tc>
          <w:tcPr>
            <w:tcW w:w="5260" w:type="dxa"/>
            <w:vAlign w:val="bottom"/>
          </w:tcPr>
          <w:p>
            <w:pPr>
              <w:spacing w:after="0"/>
              <w:rPr>
                <w:sz w:val="20"/>
                <w:szCs w:val="20"/>
                <w:color w:val="auto"/>
              </w:rPr>
            </w:pPr>
            <w:r>
              <w:rPr>
                <w:rFonts w:ascii="Arial" w:cs="Arial" w:eastAsia="Arial" w:hAnsi="Arial"/>
                <w:sz w:val="11"/>
                <w:szCs w:val="11"/>
                <w:color w:val="auto"/>
              </w:rPr>
              <w:t>Change in net unrealized gain (loss) 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7"/>
        </w:trPr>
        <w:tc>
          <w:tcPr>
            <w:tcW w:w="526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ind w:right="85"/>
              <w:spacing w:after="0"/>
              <w:rPr>
                <w:sz w:val="20"/>
                <w:szCs w:val="20"/>
                <w:color w:val="auto"/>
              </w:rPr>
            </w:pPr>
            <w:r>
              <w:rPr>
                <w:rFonts w:ascii="Arial" w:cs="Arial" w:eastAsia="Arial" w:hAnsi="Arial"/>
                <w:sz w:val="11"/>
                <w:szCs w:val="11"/>
                <w:color w:val="auto"/>
              </w:rPr>
              <w:t>(1,350)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25"/>
              <w:spacing w:after="0"/>
              <w:rPr>
                <w:sz w:val="20"/>
                <w:szCs w:val="20"/>
                <w:color w:val="auto"/>
              </w:rPr>
            </w:pPr>
            <w:r>
              <w:rPr>
                <w:rFonts w:ascii="Arial" w:cs="Arial" w:eastAsia="Arial" w:hAnsi="Arial"/>
                <w:sz w:val="11"/>
                <w:szCs w:val="11"/>
                <w:color w:val="auto"/>
              </w:rPr>
              <w:t>(1,350)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(1,350)</w:t>
            </w:r>
          </w:p>
        </w:tc>
      </w:tr>
      <w:tr>
        <w:trPr>
          <w:trHeight w:val="34"/>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7"/>
        </w:trPr>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b w:val="1"/>
                <w:bCs w:val="1"/>
                <w:color w:val="auto"/>
              </w:rPr>
              <w:t>Balance, June 30, 2010</w:t>
            </w:r>
          </w:p>
        </w:tc>
        <w:tc>
          <w:tcPr>
            <w:tcW w:w="12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2,182</w:t>
            </w:r>
          </w:p>
        </w:tc>
        <w:tc>
          <w:tcPr>
            <w:tcW w:w="8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3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0C0C0"/>
            </w:tcBorders>
            <w:shd w:val="clear" w:color="auto" w:fill="C0C0C0"/>
          </w:tcPr>
          <w:p>
            <w:pPr>
              <w:spacing w:after="0"/>
              <w:rPr>
                <w:sz w:val="15"/>
                <w:szCs w:val="15"/>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89"/>
              </w:rPr>
              <w:t>79,923</w:t>
            </w:r>
          </w:p>
        </w:tc>
        <w:tc>
          <w:tcPr>
            <w:tcW w:w="12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0C0C0"/>
            </w:tcBorders>
            <w:shd w:val="clear" w:color="auto" w:fill="C0C0C0"/>
          </w:tcPr>
          <w:p>
            <w:pPr>
              <w:spacing w:after="0"/>
              <w:rPr>
                <w:sz w:val="15"/>
                <w:szCs w:val="15"/>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w w:val="93"/>
              </w:rPr>
              <w:t>1,368,531</w:t>
            </w:r>
          </w:p>
        </w:tc>
        <w:tc>
          <w:tcPr>
            <w:tcW w:w="10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1"/>
                <w:szCs w:val="11"/>
                <w:color w:val="auto"/>
              </w:rPr>
              <w:t>(997,091)</w:t>
            </w:r>
          </w:p>
        </w:tc>
        <w:tc>
          <w:tcPr>
            <w:tcW w:w="120" w:type="dxa"/>
            <w:vAlign w:val="bottom"/>
            <w:tcBorders>
              <w:bottom w:val="single" w:sz="8" w:color="C0C0C0"/>
            </w:tcBorders>
            <w:shd w:val="clear" w:color="auto" w:fill="C0C0C0"/>
          </w:tcPr>
          <w:p>
            <w:pPr>
              <w:spacing w:after="0"/>
              <w:rPr>
                <w:sz w:val="15"/>
                <w:szCs w:val="15"/>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C0C0C0"/>
            </w:tcBorders>
            <w:shd w:val="clear" w:color="auto" w:fill="C0C0C0"/>
          </w:tcPr>
          <w:p>
            <w:pPr>
              <w:jc w:val="right"/>
              <w:ind w:right="85"/>
              <w:spacing w:after="0"/>
              <w:rPr>
                <w:sz w:val="20"/>
                <w:szCs w:val="20"/>
                <w:color w:val="auto"/>
              </w:rPr>
            </w:pPr>
            <w:r>
              <w:rPr>
                <w:rFonts w:ascii="Arial" w:cs="Arial" w:eastAsia="Arial" w:hAnsi="Arial"/>
                <w:sz w:val="11"/>
                <w:szCs w:val="11"/>
                <w:color w:val="auto"/>
              </w:rPr>
              <w:t>(306)</w:t>
            </w:r>
          </w:p>
        </w:tc>
        <w:tc>
          <w:tcPr>
            <w:tcW w:w="10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0C0C0"/>
            </w:tcBorders>
            <w:shd w:val="clear" w:color="auto" w:fill="C0C0C0"/>
          </w:tcPr>
          <w:p>
            <w:pPr>
              <w:jc w:val="right"/>
              <w:ind w:right="65"/>
              <w:spacing w:after="0"/>
              <w:rPr>
                <w:sz w:val="20"/>
                <w:szCs w:val="20"/>
                <w:color w:val="auto"/>
              </w:rPr>
            </w:pPr>
            <w:r>
              <w:rPr>
                <w:rFonts w:ascii="Arial" w:cs="Arial" w:eastAsia="Arial" w:hAnsi="Arial"/>
                <w:sz w:val="11"/>
                <w:szCs w:val="11"/>
                <w:color w:val="auto"/>
              </w:rPr>
              <w:t>371,216</w:t>
            </w:r>
          </w:p>
        </w:tc>
        <w:tc>
          <w:tcPr>
            <w:tcW w:w="1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45"/>
              <w:spacing w:after="0"/>
              <w:rPr>
                <w:sz w:val="20"/>
                <w:szCs w:val="20"/>
                <w:color w:val="auto"/>
              </w:rPr>
            </w:pPr>
            <w:r>
              <w:rPr>
                <w:rFonts w:ascii="Arial" w:cs="Arial" w:eastAsia="Arial" w:hAnsi="Arial"/>
                <w:sz w:val="11"/>
                <w:szCs w:val="11"/>
                <w:color w:val="auto"/>
              </w:rPr>
              <w:t>(57,346)</w:t>
            </w:r>
          </w:p>
        </w:tc>
      </w:tr>
      <w:tr>
        <w:trPr>
          <w:trHeight w:val="22"/>
        </w:trPr>
        <w:tc>
          <w:tcPr>
            <w:tcW w:w="526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7202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CASH FLOWS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w w:val="90"/>
              </w:rPr>
              <w:t>Six months ended June 30,</w:t>
            </w:r>
          </w:p>
        </w:tc>
        <w:tc>
          <w:tcPr>
            <w:tcW w:w="20" w:type="dxa"/>
            <w:vAlign w:val="bottom"/>
          </w:tcPr>
          <w:p>
            <w:pPr>
              <w:spacing w:after="0"/>
              <w:rPr>
                <w:sz w:val="16"/>
                <w:szCs w:val="16"/>
                <w:color w:val="auto"/>
              </w:rPr>
            </w:pPr>
          </w:p>
        </w:tc>
      </w:tr>
      <w:tr>
        <w:trPr>
          <w:trHeight w:val="204"/>
        </w:trPr>
        <w:tc>
          <w:tcPr>
            <w:tcW w:w="9300" w:type="dxa"/>
            <w:vAlign w:val="bottom"/>
            <w:tcBorders>
              <w:bottom w:val="single" w:sz="8" w:color="C0C0C0"/>
            </w:tcBorders>
          </w:tcPr>
          <w:p>
            <w:pPr>
              <w:spacing w:after="0"/>
              <w:rPr>
                <w:sz w:val="17"/>
                <w:szCs w:val="17"/>
                <w:color w:val="auto"/>
              </w:rPr>
            </w:pPr>
          </w:p>
        </w:tc>
        <w:tc>
          <w:tcPr>
            <w:tcW w:w="220" w:type="dxa"/>
            <w:vAlign w:val="bottom"/>
            <w:tcBorders>
              <w:bottom w:val="single" w:sz="8" w:color="C0C0C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7"/>
                <w:szCs w:val="17"/>
                <w:color w:val="auto"/>
              </w:rPr>
            </w:pPr>
          </w:p>
        </w:tc>
      </w:tr>
      <w:tr>
        <w:trPr>
          <w:trHeight w:val="195"/>
        </w:trPr>
        <w:tc>
          <w:tcPr>
            <w:tcW w:w="9300" w:type="dxa"/>
            <w:vAlign w:val="bottom"/>
            <w:shd w:val="clear" w:color="auto" w:fill="C0C0C0"/>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93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(105,952)</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(55,996)</w:t>
            </w:r>
          </w:p>
        </w:tc>
        <w:tc>
          <w:tcPr>
            <w:tcW w:w="20" w:type="dxa"/>
            <w:vAlign w:val="bottom"/>
          </w:tcPr>
          <w:p>
            <w:pPr>
              <w:spacing w:after="0"/>
              <w:rPr>
                <w:sz w:val="16"/>
                <w:szCs w:val="16"/>
                <w:color w:val="auto"/>
              </w:rPr>
            </w:pPr>
          </w:p>
        </w:tc>
      </w:tr>
      <w:tr>
        <w:trPr>
          <w:trHeight w:val="182"/>
        </w:trPr>
        <w:tc>
          <w:tcPr>
            <w:tcW w:w="9300" w:type="dxa"/>
            <w:vAlign w:val="bottom"/>
            <w:tcBorders>
              <w:top w:val="single" w:sz="8" w:color="C0C0C0"/>
            </w:tcBorders>
            <w:shd w:val="clear" w:color="auto" w:fill="C0C0C0"/>
          </w:tcPr>
          <w:p>
            <w:pPr>
              <w:ind w:left="260"/>
              <w:spacing w:after="0"/>
              <w:rPr>
                <w:sz w:val="20"/>
                <w:szCs w:val="20"/>
                <w:color w:val="auto"/>
              </w:rPr>
            </w:pPr>
            <w:r>
              <w:rPr>
                <w:rFonts w:ascii="Arial" w:cs="Arial" w:eastAsia="Arial" w:hAnsi="Arial"/>
                <w:sz w:val="14"/>
                <w:szCs w:val="14"/>
                <w:color w:val="auto"/>
              </w:rPr>
              <w:t>Adjustments to reconcile net loss to net cash</w:t>
            </w:r>
          </w:p>
        </w:tc>
        <w:tc>
          <w:tcPr>
            <w:tcW w:w="220" w:type="dxa"/>
            <w:vAlign w:val="bottom"/>
            <w:tcBorders>
              <w:top w:val="single" w:sz="8" w:color="C0C0C0"/>
            </w:tcBorders>
            <w:shd w:val="clear" w:color="auto" w:fill="C0C0C0"/>
          </w:tcPr>
          <w:p>
            <w:pPr>
              <w:spacing w:after="0"/>
              <w:rPr>
                <w:sz w:val="15"/>
                <w:szCs w:val="15"/>
                <w:color w:val="auto"/>
              </w:rPr>
            </w:pPr>
          </w:p>
        </w:tc>
        <w:tc>
          <w:tcPr>
            <w:tcW w:w="120" w:type="dxa"/>
            <w:vAlign w:val="bottom"/>
            <w:tcBorders>
              <w:top w:val="single" w:sz="8" w:color="auto"/>
            </w:tcBorders>
            <w:shd w:val="clear" w:color="auto" w:fill="C0C0C0"/>
          </w:tcPr>
          <w:p>
            <w:pPr>
              <w:spacing w:after="0"/>
              <w:rPr>
                <w:sz w:val="15"/>
                <w:szCs w:val="15"/>
                <w:color w:val="auto"/>
              </w:rPr>
            </w:pPr>
          </w:p>
        </w:tc>
        <w:tc>
          <w:tcPr>
            <w:tcW w:w="720" w:type="dxa"/>
            <w:vAlign w:val="bottom"/>
            <w:tcBorders>
              <w:top w:val="single" w:sz="8" w:color="auto"/>
            </w:tcBorders>
            <w:shd w:val="clear" w:color="auto" w:fill="C0C0C0"/>
          </w:tcPr>
          <w:p>
            <w:pPr>
              <w:spacing w:after="0"/>
              <w:rPr>
                <w:sz w:val="15"/>
                <w:szCs w:val="15"/>
                <w:color w:val="auto"/>
              </w:rPr>
            </w:pPr>
          </w:p>
        </w:tc>
        <w:tc>
          <w:tcPr>
            <w:tcW w:w="220" w:type="dxa"/>
            <w:vAlign w:val="bottom"/>
            <w:tcBorders>
              <w:top w:val="single" w:sz="8" w:color="C0C0C0"/>
            </w:tcBorders>
            <w:shd w:val="clear" w:color="auto" w:fill="C0C0C0"/>
          </w:tcPr>
          <w:p>
            <w:pPr>
              <w:spacing w:after="0"/>
              <w:rPr>
                <w:sz w:val="15"/>
                <w:szCs w:val="15"/>
                <w:color w:val="auto"/>
              </w:rPr>
            </w:pPr>
          </w:p>
        </w:tc>
        <w:tc>
          <w:tcPr>
            <w:tcW w:w="160" w:type="dxa"/>
            <w:vAlign w:val="bottom"/>
            <w:tcBorders>
              <w:top w:val="single" w:sz="8" w:color="auto"/>
            </w:tcBorders>
            <w:shd w:val="clear" w:color="auto" w:fill="C0C0C0"/>
          </w:tcPr>
          <w:p>
            <w:pPr>
              <w:spacing w:after="0"/>
              <w:rPr>
                <w:sz w:val="15"/>
                <w:szCs w:val="15"/>
                <w:color w:val="auto"/>
              </w:rPr>
            </w:pPr>
          </w:p>
        </w:tc>
        <w:tc>
          <w:tcPr>
            <w:tcW w:w="720" w:type="dxa"/>
            <w:vAlign w:val="bottom"/>
            <w:tcBorders>
              <w:top w:val="single" w:sz="8" w:color="auto"/>
            </w:tcBorders>
            <w:shd w:val="clear" w:color="auto" w:fill="C0C0C0"/>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9300" w:type="dxa"/>
            <w:vAlign w:val="bottom"/>
            <w:shd w:val="clear" w:color="auto" w:fill="C0C0C0"/>
          </w:tcPr>
          <w:p>
            <w:pPr>
              <w:ind w:left="520"/>
              <w:spacing w:after="0"/>
              <w:rPr>
                <w:sz w:val="20"/>
                <w:szCs w:val="20"/>
                <w:color w:val="auto"/>
              </w:rPr>
            </w:pPr>
            <w:r>
              <w:rPr>
                <w:rFonts w:ascii="Arial" w:cs="Arial" w:eastAsia="Arial" w:hAnsi="Arial"/>
                <w:sz w:val="14"/>
                <w:szCs w:val="14"/>
                <w:color w:val="auto"/>
              </w:rPr>
              <w:t>used in operating activities</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72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9300" w:type="dxa"/>
            <w:vAlign w:val="bottom"/>
          </w:tcPr>
          <w:p>
            <w:pPr>
              <w:ind w:left="5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14,880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8,707</w:t>
            </w:r>
          </w:p>
        </w:tc>
        <w:tc>
          <w:tcPr>
            <w:tcW w:w="20" w:type="dxa"/>
            <w:vAlign w:val="bottom"/>
          </w:tcPr>
          <w:p>
            <w:pPr>
              <w:spacing w:after="0"/>
              <w:rPr>
                <w:sz w:val="16"/>
                <w:szCs w:val="16"/>
                <w:color w:val="auto"/>
              </w:rPr>
            </w:pPr>
          </w:p>
        </w:tc>
      </w:tr>
      <w:tr>
        <w:trPr>
          <w:trHeight w:val="204"/>
        </w:trPr>
        <w:tc>
          <w:tcPr>
            <w:tcW w:w="9300" w:type="dxa"/>
            <w:vAlign w:val="bottom"/>
            <w:shd w:val="clear" w:color="auto" w:fill="C0C0C0"/>
          </w:tcPr>
          <w:p>
            <w:pPr>
              <w:ind w:left="520"/>
              <w:spacing w:after="0"/>
              <w:rPr>
                <w:sz w:val="20"/>
                <w:szCs w:val="20"/>
                <w:color w:val="auto"/>
              </w:rPr>
            </w:pPr>
            <w:r>
              <w:rPr>
                <w:rFonts w:ascii="Arial" w:cs="Arial" w:eastAsia="Arial" w:hAnsi="Arial"/>
                <w:sz w:val="14"/>
                <w:szCs w:val="14"/>
                <w:color w:val="auto"/>
              </w:rPr>
              <w:t>Non-cash compensation expense</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27,197</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17,541</w:t>
            </w:r>
          </w:p>
        </w:tc>
        <w:tc>
          <w:tcPr>
            <w:tcW w:w="20" w:type="dxa"/>
            <w:vAlign w:val="bottom"/>
          </w:tcPr>
          <w:p>
            <w:pPr>
              <w:spacing w:after="0"/>
              <w:rPr>
                <w:sz w:val="17"/>
                <w:szCs w:val="17"/>
                <w:color w:val="auto"/>
              </w:rPr>
            </w:pPr>
          </w:p>
        </w:tc>
      </w:tr>
      <w:tr>
        <w:trPr>
          <w:trHeight w:val="191"/>
        </w:trPr>
        <w:tc>
          <w:tcPr>
            <w:tcW w:w="9300" w:type="dxa"/>
            <w:vAlign w:val="bottom"/>
          </w:tcPr>
          <w:p>
            <w:pPr>
              <w:ind w:left="520"/>
              <w:spacing w:after="0"/>
              <w:rPr>
                <w:sz w:val="20"/>
                <w:szCs w:val="20"/>
                <w:color w:val="auto"/>
              </w:rPr>
            </w:pPr>
            <w:r>
              <w:rPr>
                <w:rFonts w:ascii="Arial" w:cs="Arial" w:eastAsia="Arial" w:hAnsi="Arial"/>
                <w:sz w:val="14"/>
                <w:szCs w:val="14"/>
                <w:color w:val="auto"/>
              </w:rPr>
              <w:t>Other non-cash charges and expenses, net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832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1,623</w:t>
            </w:r>
          </w:p>
        </w:tc>
        <w:tc>
          <w:tcPr>
            <w:tcW w:w="20" w:type="dxa"/>
            <w:vAlign w:val="bottom"/>
          </w:tcPr>
          <w:p>
            <w:pPr>
              <w:spacing w:after="0"/>
              <w:rPr>
                <w:sz w:val="16"/>
                <w:szCs w:val="16"/>
                <w:color w:val="auto"/>
              </w:rPr>
            </w:pPr>
          </w:p>
        </w:tc>
      </w:tr>
      <w:tr>
        <w:trPr>
          <w:trHeight w:val="204"/>
        </w:trPr>
        <w:tc>
          <w:tcPr>
            <w:tcW w:w="9300" w:type="dxa"/>
            <w:vAlign w:val="bottom"/>
            <w:shd w:val="clear" w:color="auto" w:fill="C0C0C0"/>
          </w:tcPr>
          <w:p>
            <w:pPr>
              <w:ind w:left="52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9300" w:type="dxa"/>
            <w:vAlign w:val="bottom"/>
          </w:tcPr>
          <w:p>
            <w:pPr>
              <w:ind w:left="780"/>
              <w:spacing w:after="0"/>
              <w:rPr>
                <w:sz w:val="20"/>
                <w:szCs w:val="20"/>
                <w:color w:val="auto"/>
              </w:rPr>
            </w:pPr>
            <w:r>
              <w:rPr>
                <w:rFonts w:ascii="Arial" w:cs="Arial" w:eastAsia="Arial" w:hAnsi="Arial"/>
                <w:sz w:val="14"/>
                <w:szCs w:val="14"/>
                <w:color w:val="auto"/>
              </w:rPr>
              <w:t>Decrease (increase) in accounts receivable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8,548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(29,628)</w:t>
            </w:r>
          </w:p>
        </w:tc>
        <w:tc>
          <w:tcPr>
            <w:tcW w:w="20" w:type="dxa"/>
            <w:vAlign w:val="bottom"/>
          </w:tcPr>
          <w:p>
            <w:pPr>
              <w:spacing w:after="0"/>
              <w:rPr>
                <w:sz w:val="16"/>
                <w:szCs w:val="16"/>
                <w:color w:val="auto"/>
              </w:rPr>
            </w:pPr>
          </w:p>
        </w:tc>
      </w:tr>
      <w:tr>
        <w:trPr>
          <w:trHeight w:val="204"/>
        </w:trPr>
        <w:tc>
          <w:tcPr>
            <w:tcW w:w="9300" w:type="dxa"/>
            <w:vAlign w:val="bottom"/>
            <w:shd w:val="clear" w:color="auto" w:fill="C0C0C0"/>
          </w:tcPr>
          <w:p>
            <w:pPr>
              <w:ind w:left="780"/>
              <w:spacing w:after="0"/>
              <w:rPr>
                <w:sz w:val="20"/>
                <w:szCs w:val="20"/>
                <w:color w:val="auto"/>
              </w:rPr>
            </w:pPr>
            <w:r>
              <w:rPr>
                <w:rFonts w:ascii="Arial" w:cs="Arial" w:eastAsia="Arial" w:hAnsi="Arial"/>
                <w:sz w:val="14"/>
                <w:szCs w:val="14"/>
                <w:color w:val="auto"/>
              </w:rPr>
              <w:t>(Increase) decrease in prepaid expenses and other assets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(8,158)</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1,604</w:t>
            </w:r>
          </w:p>
        </w:tc>
        <w:tc>
          <w:tcPr>
            <w:tcW w:w="20" w:type="dxa"/>
            <w:vAlign w:val="bottom"/>
          </w:tcPr>
          <w:p>
            <w:pPr>
              <w:spacing w:after="0"/>
              <w:rPr>
                <w:sz w:val="17"/>
                <w:szCs w:val="17"/>
                <w:color w:val="auto"/>
              </w:rPr>
            </w:pPr>
          </w:p>
        </w:tc>
      </w:tr>
      <w:tr>
        <w:trPr>
          <w:trHeight w:val="191"/>
        </w:trPr>
        <w:tc>
          <w:tcPr>
            <w:tcW w:w="9300" w:type="dxa"/>
            <w:vAlign w:val="bottom"/>
          </w:tcPr>
          <w:p>
            <w:pPr>
              <w:ind w:left="780"/>
              <w:spacing w:after="0"/>
              <w:rPr>
                <w:sz w:val="20"/>
                <w:szCs w:val="20"/>
                <w:color w:val="auto"/>
              </w:rPr>
            </w:pPr>
            <w:r>
              <w:rPr>
                <w:rFonts w:ascii="Arial" w:cs="Arial" w:eastAsia="Arial" w:hAnsi="Arial"/>
                <w:sz w:val="14"/>
                <w:szCs w:val="14"/>
                <w:color w:val="auto"/>
              </w:rPr>
              <w:t>(Decrease) increase in deferred revenue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(20,554)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16,616</w:t>
            </w:r>
          </w:p>
        </w:tc>
        <w:tc>
          <w:tcPr>
            <w:tcW w:w="20" w:type="dxa"/>
            <w:vAlign w:val="bottom"/>
          </w:tcPr>
          <w:p>
            <w:pPr>
              <w:spacing w:after="0"/>
              <w:rPr>
                <w:sz w:val="16"/>
                <w:szCs w:val="16"/>
                <w:color w:val="auto"/>
              </w:rPr>
            </w:pPr>
          </w:p>
        </w:tc>
      </w:tr>
      <w:tr>
        <w:trPr>
          <w:trHeight w:val="191"/>
        </w:trPr>
        <w:tc>
          <w:tcPr>
            <w:tcW w:w="9300" w:type="dxa"/>
            <w:vAlign w:val="bottom"/>
            <w:shd w:val="clear" w:color="auto" w:fill="C0C0C0"/>
          </w:tcPr>
          <w:p>
            <w:pPr>
              <w:ind w:left="780"/>
              <w:spacing w:after="0"/>
              <w:rPr>
                <w:sz w:val="20"/>
                <w:szCs w:val="20"/>
                <w:color w:val="auto"/>
              </w:rPr>
            </w:pPr>
            <w:r>
              <w:rPr>
                <w:rFonts w:ascii="Arial" w:cs="Arial" w:eastAsia="Arial" w:hAnsi="Arial"/>
                <w:sz w:val="14"/>
                <w:szCs w:val="14"/>
                <w:color w:val="auto"/>
              </w:rPr>
              <w:t>Increase in accounts payable, accrued expenses,</w:t>
            </w: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9300" w:type="dxa"/>
            <w:vAlign w:val="bottom"/>
            <w:shd w:val="clear" w:color="auto" w:fill="C0C0C0"/>
          </w:tcPr>
          <w:p>
            <w:pPr>
              <w:ind w:left="1020"/>
              <w:spacing w:after="0"/>
              <w:rPr>
                <w:sz w:val="20"/>
                <w:szCs w:val="20"/>
                <w:color w:val="auto"/>
              </w:rPr>
            </w:pPr>
            <w:r>
              <w:rPr>
                <w:rFonts w:ascii="Arial" w:cs="Arial" w:eastAsia="Arial" w:hAnsi="Arial"/>
                <w:sz w:val="14"/>
                <w:szCs w:val="14"/>
                <w:color w:val="auto"/>
              </w:rPr>
              <w:t>and other liabilities</w:t>
            </w:r>
          </w:p>
        </w:tc>
        <w:tc>
          <w:tcPr>
            <w:tcW w:w="22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7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38,577</w:t>
            </w:r>
          </w:p>
        </w:tc>
        <w:tc>
          <w:tcPr>
            <w:tcW w:w="220" w:type="dxa"/>
            <w:vAlign w:val="bottom"/>
            <w:shd w:val="clear" w:color="auto" w:fill="C0C0C0"/>
          </w:tcPr>
          <w:p>
            <w:pPr>
              <w:spacing w:after="0"/>
              <w:rPr>
                <w:sz w:val="18"/>
                <w:szCs w:val="18"/>
                <w:color w:val="auto"/>
              </w:rPr>
            </w:pPr>
          </w:p>
        </w:tc>
        <w:tc>
          <w:tcPr>
            <w:tcW w:w="160" w:type="dxa"/>
            <w:vAlign w:val="bottom"/>
            <w:tcBorders>
              <w:bottom w:val="single" w:sz="8" w:color="auto"/>
            </w:tcBorders>
            <w:shd w:val="clear" w:color="auto" w:fill="C0C0C0"/>
          </w:tcPr>
          <w:p>
            <w:pPr>
              <w:spacing w:after="0"/>
              <w:rPr>
                <w:sz w:val="18"/>
                <w:szCs w:val="18"/>
                <w:color w:val="auto"/>
              </w:rPr>
            </w:pPr>
          </w:p>
        </w:tc>
        <w:tc>
          <w:tcPr>
            <w:tcW w:w="7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18,105</w:t>
            </w:r>
          </w:p>
        </w:tc>
        <w:tc>
          <w:tcPr>
            <w:tcW w:w="20" w:type="dxa"/>
            <w:vAlign w:val="bottom"/>
          </w:tcPr>
          <w:p>
            <w:pPr>
              <w:spacing w:after="0"/>
              <w:rPr>
                <w:sz w:val="18"/>
                <w:szCs w:val="18"/>
                <w:color w:val="auto"/>
              </w:rPr>
            </w:pPr>
          </w:p>
        </w:tc>
      </w:tr>
      <w:tr>
        <w:trPr>
          <w:trHeight w:val="182"/>
        </w:trPr>
        <w:tc>
          <w:tcPr>
            <w:tcW w:w="9300" w:type="dxa"/>
            <w:vAlign w:val="bottom"/>
            <w:tcBorders>
              <w:bottom w:val="single" w:sz="8" w:color="C0C0C0"/>
            </w:tcBorders>
          </w:tcPr>
          <w:p>
            <w:pPr>
              <w:ind w:left="1280"/>
              <w:spacing w:after="0"/>
              <w:rPr>
                <w:sz w:val="20"/>
                <w:szCs w:val="20"/>
                <w:color w:val="auto"/>
              </w:rPr>
            </w:pPr>
            <w:r>
              <w:rPr>
                <w:rFonts w:ascii="Arial" w:cs="Arial" w:eastAsia="Arial" w:hAnsi="Arial"/>
                <w:sz w:val="14"/>
                <w:szCs w:val="14"/>
                <w:color w:val="auto"/>
              </w:rPr>
              <w:t>Total adjustments</w:t>
            </w:r>
          </w:p>
        </w:tc>
        <w:tc>
          <w:tcPr>
            <w:tcW w:w="22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61,322</w:t>
            </w:r>
          </w:p>
        </w:tc>
        <w:tc>
          <w:tcPr>
            <w:tcW w:w="220" w:type="dxa"/>
            <w:vAlign w:val="bottom"/>
            <w:tcBorders>
              <w:bottom w:val="single" w:sz="8" w:color="C0C0C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34,568</w:t>
            </w:r>
          </w:p>
        </w:tc>
        <w:tc>
          <w:tcPr>
            <w:tcW w:w="20" w:type="dxa"/>
            <w:vAlign w:val="bottom"/>
          </w:tcPr>
          <w:p>
            <w:pPr>
              <w:spacing w:after="0"/>
              <w:rPr>
                <w:sz w:val="15"/>
                <w:szCs w:val="15"/>
                <w:color w:val="auto"/>
              </w:rPr>
            </w:pPr>
          </w:p>
        </w:tc>
      </w:tr>
      <w:tr>
        <w:trPr>
          <w:trHeight w:val="188"/>
        </w:trPr>
        <w:tc>
          <w:tcPr>
            <w:tcW w:w="9300" w:type="dxa"/>
            <w:vAlign w:val="bottom"/>
            <w:shd w:val="clear" w:color="auto" w:fill="C0C0C0"/>
          </w:tcPr>
          <w:p>
            <w:pPr>
              <w:ind w:left="128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shd w:val="clear" w:color="auto" w:fill="C0C0C0"/>
          </w:tcPr>
          <w:p>
            <w:pPr>
              <w:spacing w:after="0"/>
              <w:rPr>
                <w:sz w:val="16"/>
                <w:szCs w:val="16"/>
                <w:color w:val="auto"/>
              </w:rPr>
            </w:pPr>
          </w:p>
        </w:tc>
        <w:tc>
          <w:tcPr>
            <w:tcW w:w="120" w:type="dxa"/>
            <w:vAlign w:val="bottom"/>
            <w:tcBorders>
              <w:bottom w:val="single" w:sz="8" w:color="auto"/>
            </w:tcBorders>
            <w:shd w:val="clear" w:color="auto" w:fill="C0C0C0"/>
          </w:tcPr>
          <w:p>
            <w:pPr>
              <w:spacing w:after="0"/>
              <w:rPr>
                <w:sz w:val="16"/>
                <w:szCs w:val="16"/>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(44,630)</w:t>
            </w: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(21,428)</w:t>
            </w:r>
          </w:p>
        </w:tc>
        <w:tc>
          <w:tcPr>
            <w:tcW w:w="20" w:type="dxa"/>
            <w:vAlign w:val="bottom"/>
          </w:tcPr>
          <w:p>
            <w:pPr>
              <w:spacing w:after="0"/>
              <w:rPr>
                <w:sz w:val="16"/>
                <w:szCs w:val="16"/>
                <w:color w:val="auto"/>
              </w:rPr>
            </w:pPr>
          </w:p>
        </w:tc>
      </w:tr>
      <w:tr>
        <w:trPr>
          <w:trHeight w:val="195"/>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9300" w:type="dxa"/>
            <w:vAlign w:val="bottom"/>
            <w:shd w:val="clear" w:color="auto" w:fill="C0C0C0"/>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9300" w:type="dxa"/>
            <w:vAlign w:val="bottom"/>
          </w:tcPr>
          <w:p>
            <w:pPr>
              <w:ind w:left="260"/>
              <w:spacing w:after="0"/>
              <w:rPr>
                <w:sz w:val="20"/>
                <w:szCs w:val="20"/>
                <w:color w:val="auto"/>
              </w:rPr>
            </w:pPr>
            <w:r>
              <w:rPr>
                <w:rFonts w:ascii="Arial" w:cs="Arial" w:eastAsia="Arial" w:hAnsi="Arial"/>
                <w:sz w:val="14"/>
                <w:szCs w:val="14"/>
                <w:color w:val="auto"/>
              </w:rPr>
              <w:t>Purchases of marketable securities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(222,168)</w:t>
            </w:r>
          </w:p>
        </w:tc>
        <w:tc>
          <w:tcPr>
            <w:tcW w:w="20" w:type="dxa"/>
            <w:vAlign w:val="bottom"/>
          </w:tcPr>
          <w:p>
            <w:pPr>
              <w:spacing w:after="0"/>
              <w:rPr>
                <w:sz w:val="16"/>
                <w:szCs w:val="16"/>
                <w:color w:val="auto"/>
              </w:rPr>
            </w:pPr>
          </w:p>
        </w:tc>
      </w:tr>
      <w:tr>
        <w:trPr>
          <w:trHeight w:val="204"/>
        </w:trPr>
        <w:tc>
          <w:tcPr>
            <w:tcW w:w="93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Sales or maturities of marketable securities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216,631</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136,711</w:t>
            </w:r>
          </w:p>
        </w:tc>
        <w:tc>
          <w:tcPr>
            <w:tcW w:w="20" w:type="dxa"/>
            <w:vAlign w:val="bottom"/>
          </w:tcPr>
          <w:p>
            <w:pPr>
              <w:spacing w:after="0"/>
              <w:rPr>
                <w:sz w:val="17"/>
                <w:szCs w:val="17"/>
                <w:color w:val="auto"/>
              </w:rPr>
            </w:pPr>
          </w:p>
        </w:tc>
      </w:tr>
      <w:tr>
        <w:trPr>
          <w:trHeight w:val="191"/>
        </w:trPr>
        <w:tc>
          <w:tcPr>
            <w:tcW w:w="930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(37,030)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(45,324)</w:t>
            </w:r>
          </w:p>
        </w:tc>
        <w:tc>
          <w:tcPr>
            <w:tcW w:w="20" w:type="dxa"/>
            <w:vAlign w:val="bottom"/>
          </w:tcPr>
          <w:p>
            <w:pPr>
              <w:spacing w:after="0"/>
              <w:rPr>
                <w:sz w:val="16"/>
                <w:szCs w:val="16"/>
                <w:color w:val="auto"/>
              </w:rPr>
            </w:pPr>
          </w:p>
        </w:tc>
      </w:tr>
      <w:tr>
        <w:trPr>
          <w:trHeight w:val="204"/>
        </w:trPr>
        <w:tc>
          <w:tcPr>
            <w:tcW w:w="93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Increase in restricted cash</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(681)</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(1,800)</w:t>
            </w:r>
          </w:p>
        </w:tc>
        <w:tc>
          <w:tcPr>
            <w:tcW w:w="20" w:type="dxa"/>
            <w:vAlign w:val="bottom"/>
          </w:tcPr>
          <w:p>
            <w:pPr>
              <w:spacing w:after="0"/>
              <w:rPr>
                <w:sz w:val="17"/>
                <w:szCs w:val="17"/>
                <w:color w:val="auto"/>
              </w:rPr>
            </w:pPr>
          </w:p>
        </w:tc>
      </w:tr>
      <w:tr>
        <w:trPr>
          <w:trHeight w:val="182"/>
        </w:trPr>
        <w:tc>
          <w:tcPr>
            <w:tcW w:w="9300" w:type="dxa"/>
            <w:vAlign w:val="bottom"/>
          </w:tcPr>
          <w:p>
            <w:pPr>
              <w:ind w:left="126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163,282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(132,581)</w:t>
            </w:r>
          </w:p>
        </w:tc>
        <w:tc>
          <w:tcPr>
            <w:tcW w:w="20" w:type="dxa"/>
            <w:vAlign w:val="bottom"/>
          </w:tcPr>
          <w:p>
            <w:pPr>
              <w:spacing w:after="0"/>
              <w:rPr>
                <w:sz w:val="15"/>
                <w:szCs w:val="15"/>
                <w:color w:val="auto"/>
              </w:rPr>
            </w:pPr>
          </w:p>
        </w:tc>
      </w:tr>
      <w:tr>
        <w:trPr>
          <w:trHeight w:val="195"/>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9300" w:type="dxa"/>
            <w:vAlign w:val="bottom"/>
            <w:shd w:val="clear" w:color="auto" w:fill="C0C0C0"/>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9300" w:type="dxa"/>
            <w:vAlign w:val="bottom"/>
          </w:tcPr>
          <w:p>
            <w:pPr>
              <w:ind w:left="260"/>
              <w:spacing w:after="0"/>
              <w:rPr>
                <w:sz w:val="20"/>
                <w:szCs w:val="20"/>
                <w:color w:val="auto"/>
              </w:rPr>
            </w:pPr>
            <w:r>
              <w:rPr>
                <w:rFonts w:ascii="Arial" w:cs="Arial" w:eastAsia="Arial" w:hAnsi="Arial"/>
                <w:sz w:val="14"/>
                <w:szCs w:val="14"/>
                <w:color w:val="auto"/>
              </w:rPr>
              <w:t>Proceeds in connection with facility lease obligations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47,544</w:t>
            </w:r>
          </w:p>
        </w:tc>
        <w:tc>
          <w:tcPr>
            <w:tcW w:w="20" w:type="dxa"/>
            <w:vAlign w:val="bottom"/>
          </w:tcPr>
          <w:p>
            <w:pPr>
              <w:spacing w:after="0"/>
              <w:rPr>
                <w:sz w:val="16"/>
                <w:szCs w:val="16"/>
                <w:color w:val="auto"/>
              </w:rPr>
            </w:pPr>
          </w:p>
        </w:tc>
      </w:tr>
      <w:tr>
        <w:trPr>
          <w:trHeight w:val="204"/>
        </w:trPr>
        <w:tc>
          <w:tcPr>
            <w:tcW w:w="93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Payments in connection with facility lease obligations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(227)</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(674)</w:t>
            </w:r>
          </w:p>
        </w:tc>
        <w:tc>
          <w:tcPr>
            <w:tcW w:w="20" w:type="dxa"/>
            <w:vAlign w:val="bottom"/>
          </w:tcPr>
          <w:p>
            <w:pPr>
              <w:spacing w:after="0"/>
              <w:rPr>
                <w:sz w:val="17"/>
                <w:szCs w:val="17"/>
                <w:color w:val="auto"/>
              </w:rPr>
            </w:pPr>
          </w:p>
        </w:tc>
      </w:tr>
      <w:tr>
        <w:trPr>
          <w:trHeight w:val="191"/>
        </w:trPr>
        <w:tc>
          <w:tcPr>
            <w:tcW w:w="9300" w:type="dxa"/>
            <w:vAlign w:val="bottom"/>
          </w:tcPr>
          <w:p>
            <w:pPr>
              <w:ind w:left="260"/>
              <w:spacing w:after="0"/>
              <w:rPr>
                <w:sz w:val="20"/>
                <w:szCs w:val="20"/>
                <w:color w:val="auto"/>
              </w:rPr>
            </w:pPr>
            <w:r>
              <w:rPr>
                <w:rFonts w:ascii="Arial" w:cs="Arial" w:eastAsia="Arial" w:hAnsi="Arial"/>
                <w:sz w:val="14"/>
                <w:szCs w:val="14"/>
                <w:color w:val="auto"/>
              </w:rPr>
              <w:t>Net proceeds from the issuance of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23,752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12,064</w:t>
            </w:r>
          </w:p>
        </w:tc>
        <w:tc>
          <w:tcPr>
            <w:tcW w:w="20" w:type="dxa"/>
            <w:vAlign w:val="bottom"/>
          </w:tcPr>
          <w:p>
            <w:pPr>
              <w:spacing w:after="0"/>
              <w:rPr>
                <w:sz w:val="16"/>
                <w:szCs w:val="16"/>
                <w:color w:val="auto"/>
              </w:rPr>
            </w:pPr>
          </w:p>
        </w:tc>
      </w:tr>
      <w:tr>
        <w:trPr>
          <w:trHeight w:val="204"/>
        </w:trPr>
        <w:tc>
          <w:tcPr>
            <w:tcW w:w="93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Payments in connection with capital lease obligation</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(437)</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720" w:type="dxa"/>
            <w:vAlign w:val="bottom"/>
            <w:tcBorders>
              <w:bottom w:val="single" w:sz="8" w:color="auto"/>
            </w:tcBorders>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9300" w:type="dxa"/>
            <w:vAlign w:val="bottom"/>
          </w:tcPr>
          <w:p>
            <w:pPr>
              <w:ind w:left="126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23,088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58,934</w:t>
            </w:r>
          </w:p>
        </w:tc>
        <w:tc>
          <w:tcPr>
            <w:tcW w:w="20" w:type="dxa"/>
            <w:vAlign w:val="bottom"/>
          </w:tcPr>
          <w:p>
            <w:pPr>
              <w:spacing w:after="0"/>
              <w:rPr>
                <w:sz w:val="15"/>
                <w:szCs w:val="15"/>
                <w:color w:val="auto"/>
              </w:rPr>
            </w:pPr>
          </w:p>
        </w:tc>
      </w:tr>
      <w:tr>
        <w:trPr>
          <w:trHeight w:val="195"/>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9300" w:type="dxa"/>
            <w:vAlign w:val="bottom"/>
            <w:shd w:val="clear" w:color="auto" w:fill="C0C0C0"/>
          </w:tcPr>
          <w:p>
            <w:pPr>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141,740</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(95,075)</w:t>
            </w:r>
          </w:p>
        </w:tc>
        <w:tc>
          <w:tcPr>
            <w:tcW w:w="20" w:type="dxa"/>
            <w:vAlign w:val="bottom"/>
          </w:tcPr>
          <w:p>
            <w:pPr>
              <w:spacing w:after="0"/>
              <w:rPr>
                <w:sz w:val="17"/>
                <w:szCs w:val="17"/>
                <w:color w:val="auto"/>
              </w:rPr>
            </w:pPr>
          </w:p>
        </w:tc>
      </w:tr>
      <w:tr>
        <w:trPr>
          <w:trHeight w:val="197"/>
        </w:trPr>
        <w:tc>
          <w:tcPr>
            <w:tcW w:w="9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9300" w:type="dxa"/>
            <w:vAlign w:val="bottom"/>
            <w:shd w:val="clear" w:color="auto" w:fill="C0C0C0"/>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shd w:val="clear" w:color="auto" w:fill="C0C0C0"/>
          </w:tcPr>
          <w:p>
            <w:pPr>
              <w:spacing w:after="0"/>
              <w:rPr>
                <w:sz w:val="16"/>
                <w:szCs w:val="16"/>
                <w:color w:val="auto"/>
              </w:rPr>
            </w:pPr>
          </w:p>
        </w:tc>
        <w:tc>
          <w:tcPr>
            <w:tcW w:w="120" w:type="dxa"/>
            <w:vAlign w:val="bottom"/>
            <w:tcBorders>
              <w:bottom w:val="single" w:sz="8" w:color="auto"/>
            </w:tcBorders>
            <w:shd w:val="clear" w:color="auto" w:fill="C0C0C0"/>
          </w:tcPr>
          <w:p>
            <w:pPr>
              <w:spacing w:after="0"/>
              <w:rPr>
                <w:sz w:val="16"/>
                <w:szCs w:val="16"/>
                <w:color w:val="auto"/>
              </w:rPr>
            </w:pPr>
          </w:p>
        </w:tc>
        <w:tc>
          <w:tcPr>
            <w:tcW w:w="7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112,572</w:t>
            </w: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72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207,075</w:t>
            </w:r>
          </w:p>
        </w:tc>
        <w:tc>
          <w:tcPr>
            <w:tcW w:w="20" w:type="dxa"/>
            <w:vAlign w:val="bottom"/>
          </w:tcPr>
          <w:p>
            <w:pPr>
              <w:spacing w:after="0"/>
              <w:rPr>
                <w:sz w:val="16"/>
                <w:szCs w:val="16"/>
                <w:color w:val="auto"/>
              </w:rPr>
            </w:pPr>
          </w:p>
        </w:tc>
      </w:tr>
      <w:tr>
        <w:trPr>
          <w:trHeight w:val="195"/>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9300" w:type="dxa"/>
            <w:vAlign w:val="bottom"/>
            <w:shd w:val="clear" w:color="auto" w:fill="C0C0C0"/>
          </w:tcPr>
          <w:p>
            <w:pPr>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254,312</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112,000</w:t>
            </w:r>
          </w:p>
        </w:tc>
        <w:tc>
          <w:tcPr>
            <w:tcW w:w="20" w:type="dxa"/>
            <w:vAlign w:val="bottom"/>
          </w:tcPr>
          <w:p>
            <w:pPr>
              <w:spacing w:after="0"/>
              <w:rPr>
                <w:sz w:val="18"/>
                <w:szCs w:val="18"/>
                <w:color w:val="auto"/>
              </w:rPr>
            </w:pPr>
          </w:p>
        </w:tc>
      </w:tr>
      <w:tr>
        <w:trPr>
          <w:trHeight w:val="354"/>
        </w:trPr>
        <w:tc>
          <w:tcPr>
            <w:tcW w:w="9300" w:type="dxa"/>
            <w:vAlign w:val="bottom"/>
            <w:tcBorders>
              <w:top w:val="single" w:sz="8" w:color="C0C0C0"/>
            </w:tcBorders>
          </w:tcPr>
          <w:p>
            <w:pPr>
              <w:ind w:left="3540"/>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tc>
        <w:tc>
          <w:tcPr>
            <w:tcW w:w="22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9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15"/>
        </w:trPr>
        <w:tc>
          <w:tcPr>
            <w:tcW w:w="9300" w:type="dxa"/>
            <w:vAlign w:val="bottom"/>
          </w:tcPr>
          <w:p>
            <w:pPr>
              <w:ind w:left="5700"/>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9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Interim Financial Statements</w:t>
      </w:r>
    </w:p>
    <w:p>
      <w:pPr>
        <w:spacing w:after="0" w:line="238" w:lineRule="exact"/>
        <w:rPr>
          <w:sz w:val="20"/>
          <w:szCs w:val="20"/>
          <w:color w:val="auto"/>
        </w:rPr>
      </w:pPr>
    </w:p>
    <w:p>
      <w:pPr>
        <w:jc w:val="both"/>
        <w:ind w:firstLine="285"/>
        <w:spacing w:after="0" w:line="266" w:lineRule="auto"/>
        <w:rPr>
          <w:sz w:val="20"/>
          <w:szCs w:val="20"/>
          <w:color w:val="auto"/>
        </w:rPr>
      </w:pPr>
      <w:r>
        <w:rPr>
          <w:rFonts w:ascii="Arial" w:cs="Arial" w:eastAsia="Arial" w:hAnsi="Arial"/>
          <w:sz w:val="14"/>
          <w:szCs w:val="14"/>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2010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2010.</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Certain reclassifications have been made to the financial statements for the six months ended June 30, 2010 to conform with the current period’s presentation.</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ARCALYST</w:t>
      </w:r>
      <w:r>
        <w:rPr>
          <w:rFonts w:ascii="Arial" w:cs="Arial" w:eastAsia="Arial" w:hAnsi="Arial"/>
          <w:sz w:val="19"/>
          <w:szCs w:val="19"/>
          <w:b w:val="1"/>
          <w:bCs w:val="1"/>
          <w:color w:val="auto"/>
          <w:vertAlign w:val="superscript"/>
        </w:rPr>
        <w:t>®</w:t>
      </w:r>
      <w:r>
        <w:rPr>
          <w:rFonts w:ascii="Arial" w:cs="Arial" w:eastAsia="Arial" w:hAnsi="Arial"/>
          <w:sz w:val="14"/>
          <w:szCs w:val="14"/>
          <w:b w:val="1"/>
          <w:bCs w:val="1"/>
          <w:color w:val="auto"/>
        </w:rPr>
        <w:t xml:space="preserve"> (rilonacept) Product Revenue</w:t>
      </w:r>
    </w:p>
    <w:p>
      <w:pPr>
        <w:spacing w:after="0" w:line="179" w:lineRule="exact"/>
        <w:rPr>
          <w:sz w:val="20"/>
          <w:szCs w:val="20"/>
          <w:color w:val="auto"/>
        </w:rPr>
      </w:pPr>
    </w:p>
    <w:p>
      <w:pPr>
        <w:jc w:val="both"/>
        <w:ind w:firstLine="307"/>
        <w:spacing w:after="0" w:line="203" w:lineRule="auto"/>
        <w:rPr>
          <w:sz w:val="20"/>
          <w:szCs w:val="20"/>
          <w:color w:val="auto"/>
        </w:rPr>
      </w:pPr>
      <w:r>
        <w:rPr>
          <w:rFonts w:ascii="Arial" w:cs="Arial" w:eastAsia="Arial" w:hAnsi="Arial"/>
          <w:sz w:val="14"/>
          <w:szCs w:val="14"/>
          <w:color w:val="auto"/>
        </w:rPr>
        <w:t>In February 2008, the Company received marketing approval from the U.S. Food and Drug Administration (“FDA”)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Injection for Subcutaneous Use for the treatment of Cryopyrin-Associated Periodic Syndromes (“CAPS”). The Company had limited historical return experience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beginning with initial sales in 2008 through the end of 2009; therefore,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19"/>
          <w:szCs w:val="19"/>
          <w:color w:val="auto"/>
          <w:vertAlign w:val="superscript"/>
        </w:rPr>
        <w:t>®</w:t>
      </w:r>
      <w:r>
        <w:rPr>
          <w:rFonts w:ascii="Arial" w:cs="Arial" w:eastAsia="Arial" w:hAnsi="Arial"/>
          <w:sz w:val="14"/>
          <w:szCs w:val="14"/>
          <w:color w:val="auto"/>
        </w:rPr>
        <w:t>. As a result, $4.8 million of previously deferred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were recognized as revenue in the first quarter of 2010. The effect of this change in estimate related to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revenue was to lower the Company’s net loss per share by $0.06 for the six months ended June 30, 2010.</w:t>
      </w:r>
    </w:p>
    <w:p>
      <w:pPr>
        <w:spacing w:after="0" w:line="212" w:lineRule="exact"/>
        <w:rPr>
          <w:sz w:val="20"/>
          <w:szCs w:val="20"/>
          <w:color w:val="auto"/>
        </w:rPr>
      </w:pPr>
    </w:p>
    <w:p>
      <w:pPr>
        <w:jc w:val="both"/>
        <w:ind w:firstLine="230"/>
        <w:spacing w:after="0" w:line="223" w:lineRule="auto"/>
        <w:rPr>
          <w:sz w:val="20"/>
          <w:szCs w:val="20"/>
          <w:color w:val="auto"/>
        </w:rPr>
      </w:pPr>
      <w:r>
        <w:rPr>
          <w:rFonts w:ascii="Arial" w:cs="Arial" w:eastAsia="Arial" w:hAnsi="Arial"/>
          <w:sz w:val="14"/>
          <w:szCs w:val="14"/>
          <w:color w:val="auto"/>
        </w:rPr>
        <w:t>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totaled $5.0 million and $5.2 million for the three months ended June 30, 2011 and 2010, respectively, and $9.5 million and $15.0 million for the six months ended June 30, 2011 and 2010, respectively.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during the first six months of 2010 included $10.2 million of net product sales made during this period and $4.8 million of previously deferred net product sales, as described above. There was no deferred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revenue at June 30, 2011 or 2010.</w:t>
      </w:r>
    </w:p>
    <w:p>
      <w:pPr>
        <w:spacing w:after="0" w:line="137" w:lineRule="exact"/>
        <w:rPr>
          <w:sz w:val="20"/>
          <w:szCs w:val="20"/>
          <w:color w:val="auto"/>
        </w:rPr>
      </w:pPr>
    </w:p>
    <w:p>
      <w:pPr>
        <w:jc w:val="both"/>
        <w:ind w:firstLine="241"/>
        <w:spacing w:after="0" w:line="214" w:lineRule="auto"/>
        <w:rPr>
          <w:sz w:val="20"/>
          <w:szCs w:val="20"/>
          <w:color w:val="auto"/>
        </w:rPr>
      </w:pPr>
      <w:r>
        <w:rPr>
          <w:rFonts w:ascii="Arial" w:cs="Arial" w:eastAsia="Arial" w:hAnsi="Arial"/>
          <w:sz w:val="14"/>
          <w:szCs w:val="14"/>
          <w:color w:val="auto"/>
        </w:rPr>
        <w:t>Cost of goods sold related to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sales, which consisted primarily of royalties, totaled $0.4 million for both the three months ended June 30, 2011 and 2010, and $0.8 million and $1.1 million for the six months ended June 30, 2011 and 2010, respectively.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shipments to the Company’s customers primarily consisted of supplies of inventory manufactured and expensed as research and development costs prior to 2008; therefore, the costs of these supplies were not included in costs of goods sold.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Per Share Data</w:t>
      </w:r>
    </w:p>
    <w:p>
      <w:pPr>
        <w:spacing w:after="0" w:line="238"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six months ended June 30, 2011 and 2010,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w w:val="93"/>
              </w:rPr>
              <w:t>Three Months Ended June 30,</w:t>
            </w:r>
          </w:p>
        </w:tc>
      </w:tr>
      <w:tr>
        <w:trPr>
          <w:trHeight w:val="189"/>
        </w:trPr>
        <w:tc>
          <w:tcPr>
            <w:tcW w:w="6220" w:type="dxa"/>
            <w:vAlign w:val="bottom"/>
            <w:tcBorders>
              <w:bottom w:val="single" w:sz="8" w:color="C0C0C0"/>
            </w:tcBorders>
          </w:tcPr>
          <w:p>
            <w:pPr>
              <w:spacing w:after="0"/>
              <w:rPr>
                <w:sz w:val="16"/>
                <w:szCs w:val="16"/>
                <w:color w:val="auto"/>
              </w:rPr>
            </w:pPr>
          </w:p>
        </w:tc>
        <w:tc>
          <w:tcPr>
            <w:tcW w:w="312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2010</w:t>
            </w:r>
          </w:p>
        </w:tc>
      </w:tr>
      <w:tr>
        <w:trPr>
          <w:trHeight w:val="195"/>
        </w:trPr>
        <w:tc>
          <w:tcPr>
            <w:tcW w:w="6220" w:type="dxa"/>
            <w:vAlign w:val="bottom"/>
            <w:shd w:val="clear" w:color="auto" w:fill="C0C0C0"/>
          </w:tcPr>
          <w:p>
            <w:pPr>
              <w:spacing w:after="0"/>
              <w:rPr>
                <w:sz w:val="20"/>
                <w:szCs w:val="20"/>
                <w:color w:val="auto"/>
              </w:rPr>
            </w:pPr>
            <w:r>
              <w:rPr>
                <w:rFonts w:ascii="Arial" w:cs="Arial" w:eastAsia="Arial" w:hAnsi="Arial"/>
                <w:sz w:val="14"/>
                <w:szCs w:val="14"/>
                <w:color w:val="auto"/>
              </w:rPr>
              <w:t>Net loss (Numerator)</w:t>
            </w:r>
          </w:p>
        </w:tc>
        <w:tc>
          <w:tcPr>
            <w:tcW w:w="32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(62,505)</w:t>
            </w:r>
          </w:p>
        </w:tc>
        <w:tc>
          <w:tcPr>
            <w:tcW w:w="220" w:type="dxa"/>
            <w:vAlign w:val="bottom"/>
            <w:shd w:val="clear" w:color="auto" w:fill="C0C0C0"/>
          </w:tcPr>
          <w:p>
            <w:pPr>
              <w:spacing w:after="0"/>
              <w:rPr>
                <w:sz w:val="16"/>
                <w:szCs w:val="16"/>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(25,474)</w:t>
            </w:r>
          </w:p>
        </w:tc>
      </w:tr>
      <w:tr>
        <w:trPr>
          <w:trHeight w:val="197"/>
        </w:trPr>
        <w:tc>
          <w:tcPr>
            <w:tcW w:w="6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6220" w:type="dxa"/>
            <w:vAlign w:val="bottom"/>
            <w:shd w:val="clear" w:color="auto" w:fill="C0C0C0"/>
          </w:tcPr>
          <w:p>
            <w:pPr>
              <w:spacing w:after="0"/>
              <w:rPr>
                <w:sz w:val="20"/>
                <w:szCs w:val="20"/>
                <w:color w:val="auto"/>
              </w:rPr>
            </w:pPr>
            <w:r>
              <w:rPr>
                <w:rFonts w:ascii="Arial" w:cs="Arial" w:eastAsia="Arial" w:hAnsi="Arial"/>
                <w:sz w:val="14"/>
                <w:szCs w:val="14"/>
                <w:color w:val="auto"/>
              </w:rPr>
              <w:t>Weighted-average shares, in thousands (Denominator)</w:t>
            </w:r>
          </w:p>
        </w:tc>
        <w:tc>
          <w:tcPr>
            <w:tcW w:w="3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8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90,436</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81,492</w:t>
            </w:r>
          </w:p>
        </w:tc>
      </w:tr>
      <w:tr>
        <w:trPr>
          <w:trHeight w:val="197"/>
        </w:trPr>
        <w:tc>
          <w:tcPr>
            <w:tcW w:w="6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6220" w:type="dxa"/>
            <w:vAlign w:val="bottom"/>
            <w:shd w:val="clear" w:color="auto" w:fill="C0C0C0"/>
          </w:tcPr>
          <w:p>
            <w:pPr>
              <w:spacing w:after="0"/>
              <w:rPr>
                <w:sz w:val="20"/>
                <w:szCs w:val="20"/>
                <w:color w:val="auto"/>
              </w:rPr>
            </w:pPr>
            <w:r>
              <w:rPr>
                <w:rFonts w:ascii="Arial" w:cs="Arial" w:eastAsia="Arial" w:hAnsi="Arial"/>
                <w:sz w:val="14"/>
                <w:szCs w:val="14"/>
                <w:color w:val="auto"/>
              </w:rPr>
              <w:t>Basic and diluted net loss per share</w:t>
            </w:r>
          </w:p>
        </w:tc>
        <w:tc>
          <w:tcPr>
            <w:tcW w:w="32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(0.69)</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(0.31)</w:t>
            </w:r>
          </w:p>
        </w:tc>
      </w:tr>
      <w:tr>
        <w:trPr>
          <w:trHeight w:val="388"/>
        </w:trPr>
        <w:tc>
          <w:tcPr>
            <w:tcW w:w="6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89"/>
        </w:trPr>
        <w:tc>
          <w:tcPr>
            <w:tcW w:w="6220" w:type="dxa"/>
            <w:vAlign w:val="bottom"/>
            <w:tcBorders>
              <w:bottom w:val="single" w:sz="8" w:color="C0C0C0"/>
            </w:tcBorders>
          </w:tcPr>
          <w:p>
            <w:pPr>
              <w:spacing w:after="0"/>
              <w:rPr>
                <w:sz w:val="16"/>
                <w:szCs w:val="16"/>
                <w:color w:val="auto"/>
              </w:rPr>
            </w:pPr>
          </w:p>
        </w:tc>
        <w:tc>
          <w:tcPr>
            <w:tcW w:w="312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2010</w:t>
            </w:r>
          </w:p>
        </w:tc>
      </w:tr>
      <w:tr>
        <w:trPr>
          <w:trHeight w:val="195"/>
        </w:trPr>
        <w:tc>
          <w:tcPr>
            <w:tcW w:w="6220" w:type="dxa"/>
            <w:vAlign w:val="bottom"/>
            <w:shd w:val="clear" w:color="auto" w:fill="C0C0C0"/>
          </w:tcPr>
          <w:p>
            <w:pPr>
              <w:spacing w:after="0"/>
              <w:rPr>
                <w:sz w:val="20"/>
                <w:szCs w:val="20"/>
                <w:color w:val="auto"/>
              </w:rPr>
            </w:pPr>
            <w:r>
              <w:rPr>
                <w:rFonts w:ascii="Arial" w:cs="Arial" w:eastAsia="Arial" w:hAnsi="Arial"/>
                <w:sz w:val="14"/>
                <w:szCs w:val="14"/>
                <w:color w:val="auto"/>
              </w:rPr>
              <w:t>Net loss (Numerator)</w:t>
            </w:r>
          </w:p>
        </w:tc>
        <w:tc>
          <w:tcPr>
            <w:tcW w:w="32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(105,952)</w:t>
            </w:r>
          </w:p>
        </w:tc>
        <w:tc>
          <w:tcPr>
            <w:tcW w:w="220" w:type="dxa"/>
            <w:vAlign w:val="bottom"/>
            <w:shd w:val="clear" w:color="auto" w:fill="C0C0C0"/>
          </w:tcPr>
          <w:p>
            <w:pPr>
              <w:spacing w:after="0"/>
              <w:rPr>
                <w:sz w:val="16"/>
                <w:szCs w:val="16"/>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(55,996)</w:t>
            </w:r>
          </w:p>
        </w:tc>
      </w:tr>
      <w:tr>
        <w:trPr>
          <w:trHeight w:val="197"/>
        </w:trPr>
        <w:tc>
          <w:tcPr>
            <w:tcW w:w="6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6220" w:type="dxa"/>
            <w:vAlign w:val="bottom"/>
            <w:shd w:val="clear" w:color="auto" w:fill="C0C0C0"/>
          </w:tcPr>
          <w:p>
            <w:pPr>
              <w:spacing w:after="0"/>
              <w:rPr>
                <w:sz w:val="20"/>
                <w:szCs w:val="20"/>
                <w:color w:val="auto"/>
              </w:rPr>
            </w:pPr>
            <w:r>
              <w:rPr>
                <w:rFonts w:ascii="Arial" w:cs="Arial" w:eastAsia="Arial" w:hAnsi="Arial"/>
                <w:sz w:val="14"/>
                <w:szCs w:val="14"/>
                <w:color w:val="auto"/>
              </w:rPr>
              <w:t>Weighted-average shares, in thousands (Denominator)</w:t>
            </w:r>
          </w:p>
        </w:tc>
        <w:tc>
          <w:tcPr>
            <w:tcW w:w="3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8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89,799</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2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81,330</w:t>
            </w:r>
          </w:p>
        </w:tc>
      </w:tr>
      <w:tr>
        <w:trPr>
          <w:trHeight w:val="197"/>
        </w:trPr>
        <w:tc>
          <w:tcPr>
            <w:tcW w:w="6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6220" w:type="dxa"/>
            <w:vAlign w:val="bottom"/>
            <w:shd w:val="clear" w:color="auto" w:fill="C0C0C0"/>
          </w:tcPr>
          <w:p>
            <w:pPr>
              <w:spacing w:after="0"/>
              <w:rPr>
                <w:sz w:val="20"/>
                <w:szCs w:val="20"/>
                <w:color w:val="auto"/>
              </w:rPr>
            </w:pPr>
            <w:r>
              <w:rPr>
                <w:rFonts w:ascii="Arial" w:cs="Arial" w:eastAsia="Arial" w:hAnsi="Arial"/>
                <w:sz w:val="14"/>
                <w:szCs w:val="14"/>
                <w:color w:val="auto"/>
              </w:rPr>
              <w:t>Basic and diluted net loss per share</w:t>
            </w:r>
          </w:p>
        </w:tc>
        <w:tc>
          <w:tcPr>
            <w:tcW w:w="32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(0.69)</w:t>
            </w:r>
          </w:p>
        </w:tc>
      </w:tr>
    </w:tbl>
    <w:p>
      <w:pPr>
        <w:spacing w:after="0" w:line="212" w:lineRule="exact"/>
        <w:rPr>
          <w:sz w:val="20"/>
          <w:szCs w:val="20"/>
          <w:color w:val="auto"/>
        </w:rPr>
      </w:pPr>
    </w:p>
    <w:p>
      <w:pPr>
        <w:jc w:val="both"/>
        <w:ind w:right="20" w:firstLine="219"/>
        <w:spacing w:after="0" w:line="291" w:lineRule="auto"/>
        <w:rPr>
          <w:sz w:val="20"/>
          <w:szCs w:val="20"/>
          <w:color w:val="auto"/>
        </w:rPr>
      </w:pPr>
      <w:r>
        <w:rPr>
          <w:rFonts w:ascii="Arial" w:cs="Arial" w:eastAsia="Arial" w:hAnsi="Arial"/>
          <w:sz w:val="14"/>
          <w:szCs w:val="14"/>
          <w:color w:val="auto"/>
        </w:rPr>
        <w:t>Shares issuable upon the exercise of stock options and vesting of restricted stock awards, which have been excluded from the June 30, 2011 and 2010 diluted per share amounts because their effect would have been antidilutive, include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00" w:type="dxa"/>
            <w:vAlign w:val="bottom"/>
          </w:tcPr>
          <w:p>
            <w:pPr>
              <w:spacing w:after="0"/>
              <w:rPr>
                <w:sz w:val="16"/>
                <w:szCs w:val="16"/>
                <w:color w:val="auto"/>
              </w:rPr>
            </w:pPr>
          </w:p>
        </w:tc>
        <w:tc>
          <w:tcPr>
            <w:tcW w:w="1780" w:type="dxa"/>
            <w:vAlign w:val="bottom"/>
            <w:gridSpan w:val="6"/>
          </w:tcPr>
          <w:p>
            <w:pPr>
              <w:spacing w:after="0"/>
              <w:rPr>
                <w:sz w:val="20"/>
                <w:szCs w:val="20"/>
                <w:color w:val="auto"/>
              </w:rPr>
            </w:pPr>
            <w:r>
              <w:rPr>
                <w:rFonts w:ascii="Arial" w:cs="Arial" w:eastAsia="Arial" w:hAnsi="Arial"/>
                <w:sz w:val="14"/>
                <w:szCs w:val="14"/>
                <w:b w:val="1"/>
                <w:bCs w:val="1"/>
                <w:color w:val="auto"/>
                <w:w w:val="89"/>
              </w:rPr>
              <w:t>Three months ended June 30,</w:t>
            </w:r>
          </w:p>
        </w:tc>
      </w:tr>
      <w:tr>
        <w:trPr>
          <w:trHeight w:val="189"/>
        </w:trPr>
        <w:tc>
          <w:tcPr>
            <w:tcW w:w="9700" w:type="dxa"/>
            <w:vAlign w:val="bottom"/>
            <w:tcBorders>
              <w:bottom w:val="single" w:sz="8" w:color="C0C0C0"/>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0C0C0"/>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r>
      <w:tr>
        <w:trPr>
          <w:trHeight w:val="195"/>
        </w:trPr>
        <w:tc>
          <w:tcPr>
            <w:tcW w:w="9700" w:type="dxa"/>
            <w:vAlign w:val="bottom"/>
            <w:shd w:val="clear" w:color="auto" w:fill="C0C0C0"/>
          </w:tcPr>
          <w:p>
            <w:pPr>
              <w:spacing w:after="0"/>
              <w:rPr>
                <w:sz w:val="20"/>
                <w:szCs w:val="20"/>
                <w:color w:val="auto"/>
              </w:rPr>
            </w:pPr>
            <w:r>
              <w:rPr>
                <w:rFonts w:ascii="Arial" w:cs="Arial" w:eastAsia="Arial" w:hAnsi="Arial"/>
                <w:sz w:val="14"/>
                <w:szCs w:val="14"/>
                <w:color w:val="auto"/>
              </w:rPr>
              <w:t>Stock Options:</w:t>
            </w:r>
          </w:p>
        </w:tc>
        <w:tc>
          <w:tcPr>
            <w:tcW w:w="6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970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20,967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21,288</w:t>
            </w:r>
          </w:p>
        </w:tc>
        <w:tc>
          <w:tcPr>
            <w:tcW w:w="20" w:type="dxa"/>
            <w:vAlign w:val="bottom"/>
          </w:tcPr>
          <w:p>
            <w:pPr>
              <w:spacing w:after="0"/>
              <w:rPr>
                <w:sz w:val="16"/>
                <w:szCs w:val="16"/>
                <w:color w:val="auto"/>
              </w:rPr>
            </w:pPr>
          </w:p>
        </w:tc>
      </w:tr>
      <w:tr>
        <w:trPr>
          <w:trHeight w:val="204"/>
        </w:trPr>
        <w:tc>
          <w:tcPr>
            <w:tcW w:w="97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Weighted average exercise price</w:t>
            </w:r>
          </w:p>
        </w:tc>
        <w:tc>
          <w:tcPr>
            <w:tcW w:w="60" w:type="dxa"/>
            <w:vAlign w:val="bottom"/>
            <w:shd w:val="clear" w:color="auto" w:fill="C0C0C0"/>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20.71</w:t>
            </w: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18.67</w:t>
            </w:r>
          </w:p>
        </w:tc>
        <w:tc>
          <w:tcPr>
            <w:tcW w:w="20" w:type="dxa"/>
            <w:vAlign w:val="bottom"/>
          </w:tcPr>
          <w:p>
            <w:pPr>
              <w:spacing w:after="0"/>
              <w:rPr>
                <w:sz w:val="17"/>
                <w:szCs w:val="17"/>
                <w:color w:val="auto"/>
              </w:rPr>
            </w:pPr>
          </w:p>
        </w:tc>
      </w:tr>
      <w:tr>
        <w:trPr>
          <w:trHeight w:val="197"/>
        </w:trPr>
        <w:tc>
          <w:tcPr>
            <w:tcW w:w="9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700" w:type="dxa"/>
            <w:vAlign w:val="bottom"/>
            <w:shd w:val="clear" w:color="auto" w:fill="C0C0C0"/>
          </w:tcPr>
          <w:p>
            <w:pPr>
              <w:spacing w:after="0"/>
              <w:rPr>
                <w:sz w:val="20"/>
                <w:szCs w:val="20"/>
                <w:color w:val="auto"/>
              </w:rPr>
            </w:pPr>
            <w:r>
              <w:rPr>
                <w:rFonts w:ascii="Arial" w:cs="Arial" w:eastAsia="Arial" w:hAnsi="Arial"/>
                <w:sz w:val="14"/>
                <w:szCs w:val="14"/>
                <w:color w:val="auto"/>
              </w:rPr>
              <w:t>Restricted Stock:</w:t>
            </w:r>
          </w:p>
        </w:tc>
        <w:tc>
          <w:tcPr>
            <w:tcW w:w="6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970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510</w:t>
            </w:r>
          </w:p>
        </w:tc>
        <w:tc>
          <w:tcPr>
            <w:tcW w:w="20" w:type="dxa"/>
            <w:vAlign w:val="bottom"/>
          </w:tcPr>
          <w:p>
            <w:pPr>
              <w:spacing w:after="0"/>
              <w:rPr>
                <w:sz w:val="16"/>
                <w:szCs w:val="16"/>
                <w:color w:val="auto"/>
              </w:rPr>
            </w:pPr>
          </w:p>
        </w:tc>
      </w:tr>
      <w:tr>
        <w:trPr>
          <w:trHeight w:val="401"/>
        </w:trPr>
        <w:tc>
          <w:tcPr>
            <w:tcW w:w="9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89"/>
        </w:trPr>
        <w:tc>
          <w:tcPr>
            <w:tcW w:w="9700" w:type="dxa"/>
            <w:vAlign w:val="bottom"/>
            <w:tcBorders>
              <w:bottom w:val="single" w:sz="8" w:color="C0C0C0"/>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0C0C0"/>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r>
      <w:tr>
        <w:trPr>
          <w:trHeight w:val="195"/>
        </w:trPr>
        <w:tc>
          <w:tcPr>
            <w:tcW w:w="9700" w:type="dxa"/>
            <w:vAlign w:val="bottom"/>
            <w:shd w:val="clear" w:color="auto" w:fill="C0C0C0"/>
          </w:tcPr>
          <w:p>
            <w:pPr>
              <w:spacing w:after="0"/>
              <w:rPr>
                <w:sz w:val="20"/>
                <w:szCs w:val="20"/>
                <w:color w:val="auto"/>
              </w:rPr>
            </w:pPr>
            <w:r>
              <w:rPr>
                <w:rFonts w:ascii="Arial" w:cs="Arial" w:eastAsia="Arial" w:hAnsi="Arial"/>
                <w:sz w:val="14"/>
                <w:szCs w:val="14"/>
                <w:color w:val="auto"/>
              </w:rPr>
              <w:t>Stock Options:</w:t>
            </w:r>
          </w:p>
        </w:tc>
        <w:tc>
          <w:tcPr>
            <w:tcW w:w="6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970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21,668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21,344</w:t>
            </w:r>
          </w:p>
        </w:tc>
        <w:tc>
          <w:tcPr>
            <w:tcW w:w="20" w:type="dxa"/>
            <w:vAlign w:val="bottom"/>
          </w:tcPr>
          <w:p>
            <w:pPr>
              <w:spacing w:after="0"/>
              <w:rPr>
                <w:sz w:val="16"/>
                <w:szCs w:val="16"/>
                <w:color w:val="auto"/>
              </w:rPr>
            </w:pPr>
          </w:p>
        </w:tc>
      </w:tr>
      <w:tr>
        <w:trPr>
          <w:trHeight w:val="204"/>
        </w:trPr>
        <w:tc>
          <w:tcPr>
            <w:tcW w:w="97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Weighted average exercise price</w:t>
            </w:r>
          </w:p>
        </w:tc>
        <w:tc>
          <w:tcPr>
            <w:tcW w:w="60" w:type="dxa"/>
            <w:vAlign w:val="bottom"/>
            <w:shd w:val="clear" w:color="auto" w:fill="C0C0C0"/>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20.48</w:t>
            </w: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18.63</w:t>
            </w:r>
          </w:p>
        </w:tc>
        <w:tc>
          <w:tcPr>
            <w:tcW w:w="20" w:type="dxa"/>
            <w:vAlign w:val="bottom"/>
          </w:tcPr>
          <w:p>
            <w:pPr>
              <w:spacing w:after="0"/>
              <w:rPr>
                <w:sz w:val="17"/>
                <w:szCs w:val="17"/>
                <w:color w:val="auto"/>
              </w:rPr>
            </w:pPr>
          </w:p>
        </w:tc>
      </w:tr>
      <w:tr>
        <w:trPr>
          <w:trHeight w:val="197"/>
        </w:trPr>
        <w:tc>
          <w:tcPr>
            <w:tcW w:w="9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700" w:type="dxa"/>
            <w:vAlign w:val="bottom"/>
            <w:shd w:val="clear" w:color="auto" w:fill="C0C0C0"/>
          </w:tcPr>
          <w:p>
            <w:pPr>
              <w:spacing w:after="0"/>
              <w:rPr>
                <w:sz w:val="20"/>
                <w:szCs w:val="20"/>
                <w:color w:val="auto"/>
              </w:rPr>
            </w:pPr>
            <w:r>
              <w:rPr>
                <w:rFonts w:ascii="Arial" w:cs="Arial" w:eastAsia="Arial" w:hAnsi="Arial"/>
                <w:sz w:val="14"/>
                <w:szCs w:val="14"/>
                <w:color w:val="auto"/>
              </w:rPr>
              <w:t>Restricted Stock:</w:t>
            </w:r>
          </w:p>
        </w:tc>
        <w:tc>
          <w:tcPr>
            <w:tcW w:w="6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9700" w:type="dxa"/>
            <w:vAlign w:val="bottom"/>
          </w:tcPr>
          <w:p>
            <w:pPr>
              <w:ind w:left="260"/>
              <w:spacing w:after="0"/>
              <w:rPr>
                <w:sz w:val="20"/>
                <w:szCs w:val="20"/>
                <w:color w:val="auto"/>
              </w:rPr>
            </w:pPr>
            <w:r>
              <w:rPr>
                <w:rFonts w:ascii="Arial" w:cs="Arial" w:eastAsia="Arial" w:hAnsi="Arial"/>
                <w:sz w:val="14"/>
                <w:szCs w:val="14"/>
                <w:color w:val="auto"/>
              </w:rPr>
              <w:t>Weighted average number, in thousands</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506</w:t>
            </w:r>
          </w:p>
        </w:tc>
        <w:tc>
          <w:tcPr>
            <w:tcW w:w="20" w:type="dxa"/>
            <w:vAlign w:val="bottom"/>
          </w:tcPr>
          <w:p>
            <w:pPr>
              <w:spacing w:after="0"/>
              <w:rPr>
                <w:sz w:val="16"/>
                <w:szCs w:val="16"/>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Statement of Cash Flows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234" w:lineRule="exact"/>
        <w:rPr>
          <w:sz w:val="20"/>
          <w:szCs w:val="20"/>
          <w:color w:val="auto"/>
        </w:rPr>
      </w:pPr>
    </w:p>
    <w:p>
      <w:pPr>
        <w:ind w:right="20" w:firstLine="296"/>
        <w:spacing w:after="0" w:line="291" w:lineRule="auto"/>
        <w:rPr>
          <w:sz w:val="20"/>
          <w:szCs w:val="20"/>
          <w:color w:val="auto"/>
        </w:rPr>
      </w:pPr>
      <w:r>
        <w:rPr>
          <w:rFonts w:ascii="Arial" w:cs="Arial" w:eastAsia="Arial" w:hAnsi="Arial"/>
          <w:sz w:val="14"/>
          <w:szCs w:val="14"/>
          <w:color w:val="auto"/>
        </w:rPr>
        <w:t>Included in accounts payable and accrued expenses at June 30, 2011 and December 31, 2010 were $3.4 million and $10.7 million, respectively, of accrued capital expenditures. Included in accounts payable and accrued expenses at June 30, 2010 and December 31, 2009 were $4.1 million and $9.8 million, respectively, of accrued capital expenditures.</w:t>
      </w:r>
    </w:p>
    <w:p>
      <w:pPr>
        <w:spacing w:after="0" w:line="180" w:lineRule="exact"/>
        <w:rPr>
          <w:sz w:val="20"/>
          <w:szCs w:val="20"/>
          <w:color w:val="auto"/>
        </w:rPr>
      </w:pPr>
    </w:p>
    <w:p>
      <w:pPr>
        <w:ind w:right="20" w:firstLine="296"/>
        <w:spacing w:after="0" w:line="332" w:lineRule="auto"/>
        <w:rPr>
          <w:sz w:val="20"/>
          <w:szCs w:val="20"/>
          <w:color w:val="auto"/>
        </w:rPr>
      </w:pPr>
      <w:r>
        <w:rPr>
          <w:rFonts w:ascii="Arial" w:cs="Arial" w:eastAsia="Arial" w:hAnsi="Arial"/>
          <w:sz w:val="13"/>
          <w:szCs w:val="13"/>
          <w:color w:val="auto"/>
        </w:rPr>
        <w:t>Included in accounts payable and accrued expenses at December 31, 2010 and 2009 were $2.9 million and $2.6 million, respectively, of accrued Company 401(k) Savings Plan contribution expense. In the first quarter of 2011 and 2010, the Company contributed 91,761 and 111,419 shares, respectively, of Common Stock to the 401(k) Savings Plan in satisfaction of these obligations.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Included in facility lease obligations and property, plant, and equipment at June 30, 2010 was $1.7 million of capitalized and deferred interest for the six months ended June 30, 2010, as the related facilities being leased by the Company were under construction and lease payments on these facilities did not commence until January 2011.</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Company incurred capital lease obligations of $0.7 million during the six months ended June 30, 2011 in connection with acquisitions of equipment.</w:t>
      </w:r>
    </w:p>
    <w:p>
      <w:pPr>
        <w:spacing w:after="0" w:line="23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Included in marketable securities at June 30, 2011 and December 31, 2010 were $0.8 million and $1.4 million, respectively, of accrued interest income. Included in marketable securities at June 30, 2010 and December 31, 2009 were $1.3 million and $0.6 million, respectively, of accrued interest income.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Marketable Securities</w:t>
      </w:r>
    </w:p>
    <w:p>
      <w:pPr>
        <w:spacing w:after="0" w:line="238" w:lineRule="exact"/>
        <w:rPr>
          <w:sz w:val="20"/>
          <w:szCs w:val="20"/>
          <w:color w:val="auto"/>
        </w:rPr>
      </w:pPr>
    </w:p>
    <w:p>
      <w:pPr>
        <w:jc w:val="both"/>
        <w:ind w:firstLine="274"/>
        <w:spacing w:after="0" w:line="307" w:lineRule="auto"/>
        <w:rPr>
          <w:sz w:val="20"/>
          <w:szCs w:val="20"/>
          <w:color w:val="auto"/>
        </w:rPr>
      </w:pPr>
      <w:r>
        <w:rPr>
          <w:rFonts w:ascii="Arial" w:cs="Arial" w:eastAsia="Arial" w:hAnsi="Arial"/>
          <w:sz w:val="13"/>
          <w:szCs w:val="13"/>
          <w:color w:val="auto"/>
        </w:rPr>
        <w:t>Marketable securities at June 30, 2011 and December 31, 2010 consisted of debt securities, as detailed below, and equity securities. The aggregate fair value of the equity securities was $4.3 million and $3.6 million at June 30, 2011 and December 31, 2010, respectively, and the aggregate cost basis was $4.0 million at both June 30, 2011 and December 31, 2010. The Company also held restricted marketable securities at both June 30, 2011 and December 31, 2010, which consisted of debt securities, as detailed below, that collateralize letters of credit and lease obligations.</w:t>
      </w:r>
    </w:p>
    <w:p>
      <w:pPr>
        <w:spacing w:after="0" w:line="172" w:lineRule="exact"/>
        <w:rPr>
          <w:sz w:val="20"/>
          <w:szCs w:val="20"/>
          <w:color w:val="auto"/>
        </w:rPr>
      </w:pPr>
    </w:p>
    <w:p>
      <w:pPr>
        <w:jc w:val="both"/>
        <w:ind w:firstLine="241"/>
        <w:spacing w:after="0" w:line="307" w:lineRule="auto"/>
        <w:rPr>
          <w:sz w:val="20"/>
          <w:szCs w:val="20"/>
          <w:color w:val="auto"/>
        </w:rPr>
      </w:pPr>
      <w:r>
        <w:rPr>
          <w:rFonts w:ascii="Arial" w:cs="Arial" w:eastAsia="Arial" w:hAnsi="Arial"/>
          <w:sz w:val="13"/>
          <w:szCs w:val="13"/>
          <w:color w:val="auto"/>
        </w:rPr>
        <w:t>The following tables summarize the amortized cost basis of debt securities included in marketable securities, the aggregate fair value of those securities, and gross unrealized gains and losses on those securities at June 30, 2011 and December 31, 2010.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6"/>
                <w:szCs w:val="16"/>
                <w:color w:val="auto"/>
              </w:rPr>
            </w:pPr>
          </w:p>
        </w:tc>
        <w:tc>
          <w:tcPr>
            <w:tcW w:w="560" w:type="dxa"/>
            <w:vAlign w:val="bottom"/>
          </w:tcPr>
          <w:p>
            <w:pPr>
              <w:jc w:val="right"/>
              <w:ind w:right="14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65"/>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At June 30, 2011</w:t>
            </w:r>
          </w:p>
        </w:tc>
        <w:tc>
          <w:tcPr>
            <w:tcW w:w="22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4"/>
                <w:szCs w:val="14"/>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Gains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540" w:type="dxa"/>
            <w:vAlign w:val="bottom"/>
          </w:tcPr>
          <w:p>
            <w:pPr>
              <w:jc w:val="right"/>
              <w:ind w:right="169"/>
              <w:spacing w:after="0"/>
              <w:rPr>
                <w:sz w:val="20"/>
                <w:szCs w:val="20"/>
                <w:color w:val="auto"/>
              </w:rPr>
            </w:pPr>
            <w:r>
              <w:rPr>
                <w:rFonts w:ascii="Arial" w:cs="Arial" w:eastAsia="Arial" w:hAnsi="Arial"/>
                <w:sz w:val="14"/>
                <w:szCs w:val="14"/>
                <w:b w:val="1"/>
                <w:bCs w:val="1"/>
                <w:color w:val="auto"/>
              </w:rPr>
              <w:t>Net</w:t>
            </w:r>
          </w:p>
        </w:tc>
      </w:tr>
      <w:tr>
        <w:trPr>
          <w:trHeight w:val="20"/>
        </w:trPr>
        <w:tc>
          <w:tcPr>
            <w:tcW w:w="1020" w:type="dxa"/>
            <w:vAlign w:val="bottom"/>
            <w:tcBorders>
              <w:top w:val="single" w:sz="8" w:color="auto"/>
              <w:bottom w:val="single" w:sz="8" w:color="C0C0C0"/>
            </w:tcBorders>
          </w:tcPr>
          <w:p>
            <w:pPr>
              <w:spacing w:after="0" w:line="20" w:lineRule="exact"/>
              <w:rPr>
                <w:sz w:val="1"/>
                <w:szCs w:val="1"/>
                <w:color w:val="auto"/>
              </w:rPr>
            </w:pPr>
          </w:p>
        </w:tc>
        <w:tc>
          <w:tcPr>
            <w:tcW w:w="320" w:type="dxa"/>
            <w:vAlign w:val="bottom"/>
            <w:tcBorders>
              <w:bottom w:val="single" w:sz="8" w:color="C0C0C0"/>
            </w:tcBorders>
          </w:tcPr>
          <w:p>
            <w:pPr>
              <w:spacing w:after="0" w:line="20" w:lineRule="exact"/>
              <w:rPr>
                <w:sz w:val="1"/>
                <w:szCs w:val="1"/>
                <w:color w:val="auto"/>
              </w:rPr>
            </w:pPr>
          </w:p>
        </w:tc>
        <w:tc>
          <w:tcPr>
            <w:tcW w:w="5820" w:type="dxa"/>
            <w:vAlign w:val="bottom"/>
            <w:tcBorders>
              <w:bottom w:val="single" w:sz="8" w:color="C0C0C0"/>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7160" w:type="dxa"/>
            <w:vAlign w:val="bottom"/>
            <w:gridSpan w:val="3"/>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22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6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6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2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4"/>
                <w:szCs w:val="14"/>
                <w:color w:val="auto"/>
              </w:rPr>
              <w:t>Maturities within one year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4"/>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9,142</w:t>
            </w:r>
          </w:p>
        </w:tc>
        <w:tc>
          <w:tcPr>
            <w:tcW w:w="14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9,159</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17</w:t>
            </w:r>
          </w:p>
        </w:tc>
      </w:tr>
      <w:tr>
        <w:trPr>
          <w:trHeight w:val="191"/>
        </w:trPr>
        <w:tc>
          <w:tcPr>
            <w:tcW w:w="7160" w:type="dxa"/>
            <w:vAlign w:val="bottom"/>
            <w:gridSpan w:val="3"/>
          </w:tcPr>
          <w:p>
            <w:pPr>
              <w:ind w:left="260"/>
              <w:spacing w:after="0"/>
              <w:rPr>
                <w:sz w:val="20"/>
                <w:szCs w:val="20"/>
                <w:color w:val="auto"/>
              </w:rPr>
            </w:pPr>
            <w:r>
              <w:rPr>
                <w:rFonts w:ascii="Arial" w:cs="Arial" w:eastAsia="Arial" w:hAnsi="Arial"/>
                <w:sz w:val="14"/>
                <w:szCs w:val="14"/>
                <w:color w:val="auto"/>
              </w:rPr>
              <w:t>U.S. government guaranteed corporate bonds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31,936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32,088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152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152</w:t>
            </w:r>
          </w:p>
        </w:tc>
      </w:tr>
      <w:tr>
        <w:trPr>
          <w:trHeight w:val="191"/>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r>
      <w:tr>
        <w:trPr>
          <w:trHeight w:val="210"/>
        </w:trPr>
        <w:tc>
          <w:tcPr>
            <w:tcW w:w="7160" w:type="dxa"/>
            <w:vAlign w:val="bottom"/>
            <w:gridSpan w:val="3"/>
            <w:shd w:val="clear" w:color="auto" w:fill="C0C0C0"/>
          </w:tcPr>
          <w:p>
            <w:pPr>
              <w:ind w:left="500"/>
              <w:spacing w:after="0"/>
              <w:rPr>
                <w:sz w:val="20"/>
                <w:szCs w:val="20"/>
                <w:color w:val="auto"/>
              </w:rPr>
            </w:pPr>
            <w:r>
              <w:rPr>
                <w:rFonts w:ascii="Arial" w:cs="Arial" w:eastAsia="Arial" w:hAnsi="Arial"/>
                <w:sz w:val="14"/>
                <w:szCs w:val="14"/>
                <w:color w:val="auto"/>
              </w:rPr>
              <w:t>collateralized mortgage obligations</w:t>
            </w: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1,321</w:t>
            </w: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1,322</w:t>
            </w: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w:t>
            </w:r>
          </w:p>
        </w:tc>
      </w:tr>
      <w:tr>
        <w:trPr>
          <w:trHeight w:val="191"/>
        </w:trPr>
        <w:tc>
          <w:tcPr>
            <w:tcW w:w="7160" w:type="dxa"/>
            <w:vAlign w:val="bottom"/>
            <w:gridSpan w:val="3"/>
          </w:tcPr>
          <w:p>
            <w:pPr>
              <w:ind w:left="260"/>
              <w:spacing w:after="0"/>
              <w:rPr>
                <w:sz w:val="20"/>
                <w:szCs w:val="20"/>
                <w:color w:val="auto"/>
              </w:rPr>
            </w:pPr>
            <w:r>
              <w:rPr>
                <w:rFonts w:ascii="Arial" w:cs="Arial" w:eastAsia="Arial" w:hAnsi="Arial"/>
                <w:sz w:val="14"/>
                <w:szCs w:val="14"/>
                <w:color w:val="auto"/>
              </w:rPr>
              <w:t>Municipal bonds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12,712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18</w:t>
            </w:r>
          </w:p>
        </w:tc>
      </w:tr>
      <w:tr>
        <w:trPr>
          <w:trHeight w:val="197"/>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73</w:t>
            </w:r>
          </w:p>
        </w:tc>
        <w:tc>
          <w:tcPr>
            <w:tcW w:w="20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72</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30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55,184</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55,371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187</w:t>
            </w:r>
          </w:p>
        </w:tc>
      </w:tr>
      <w:tr>
        <w:trPr>
          <w:trHeight w:val="195"/>
        </w:trPr>
        <w:tc>
          <w:tcPr>
            <w:tcW w:w="716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4"/>
                <w:szCs w:val="14"/>
                <w:color w:val="auto"/>
              </w:rPr>
              <w:t>Maturities between one and five years</w:t>
            </w:r>
          </w:p>
        </w:tc>
        <w:tc>
          <w:tcPr>
            <w:tcW w:w="22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560" w:type="dxa"/>
            <w:vAlign w:val="bottom"/>
            <w:tcBorders>
              <w:top w:val="single" w:sz="8" w:color="auto"/>
            </w:tcBorders>
            <w:shd w:val="clear" w:color="auto" w:fill="C0C0C0"/>
          </w:tcPr>
          <w:p>
            <w:pPr>
              <w:spacing w:after="0"/>
              <w:rPr>
                <w:sz w:val="16"/>
                <w:szCs w:val="16"/>
                <w:color w:val="auto"/>
              </w:rPr>
            </w:pPr>
          </w:p>
        </w:tc>
        <w:tc>
          <w:tcPr>
            <w:tcW w:w="20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56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30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80" w:type="dxa"/>
            <w:vAlign w:val="bottom"/>
            <w:tcBorders>
              <w:top w:val="single" w:sz="8" w:color="auto"/>
            </w:tcBorders>
            <w:shd w:val="clear" w:color="auto" w:fill="C0C0C0"/>
          </w:tcPr>
          <w:p>
            <w:pPr>
              <w:spacing w:after="0"/>
              <w:rPr>
                <w:sz w:val="16"/>
                <w:szCs w:val="16"/>
                <w:color w:val="auto"/>
              </w:rPr>
            </w:pPr>
          </w:p>
        </w:tc>
        <w:tc>
          <w:tcPr>
            <w:tcW w:w="60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540" w:type="dxa"/>
            <w:vAlign w:val="bottom"/>
            <w:tcBorders>
              <w:top w:val="single" w:sz="8" w:color="auto"/>
            </w:tcBorders>
            <w:shd w:val="clear" w:color="auto" w:fill="C0C0C0"/>
          </w:tcPr>
          <w:p>
            <w:pPr>
              <w:spacing w:after="0"/>
              <w:rPr>
                <w:sz w:val="16"/>
                <w:szCs w:val="16"/>
                <w:color w:val="auto"/>
              </w:rPr>
            </w:pPr>
          </w:p>
        </w:tc>
      </w:tr>
      <w:tr>
        <w:trPr>
          <w:trHeight w:val="191"/>
        </w:trPr>
        <w:tc>
          <w:tcPr>
            <w:tcW w:w="7160" w:type="dxa"/>
            <w:vAlign w:val="bottom"/>
            <w:gridSpan w:val="3"/>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227,542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228,070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551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528</w:t>
            </w:r>
          </w:p>
        </w:tc>
      </w:tr>
      <w:tr>
        <w:trPr>
          <w:trHeight w:val="204"/>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guaranteed corporate bonds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15,393</w:t>
            </w: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15,408</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15</w:t>
            </w:r>
          </w:p>
        </w:tc>
      </w:tr>
      <w:tr>
        <w:trPr>
          <w:trHeight w:val="191"/>
        </w:trPr>
        <w:tc>
          <w:tcPr>
            <w:tcW w:w="7160" w:type="dxa"/>
            <w:vAlign w:val="bottom"/>
            <w:gridSpan w:val="3"/>
          </w:tcPr>
          <w:p>
            <w:pPr>
              <w:ind w:left="260"/>
              <w:spacing w:after="0"/>
              <w:rPr>
                <w:sz w:val="20"/>
                <w:szCs w:val="20"/>
                <w:color w:val="auto"/>
              </w:rPr>
            </w:pPr>
            <w:r>
              <w:rPr>
                <w:rFonts w:ascii="Arial" w:cs="Arial" w:eastAsia="Arial" w:hAnsi="Arial"/>
                <w:sz w:val="14"/>
                <w:szCs w:val="14"/>
                <w:color w:val="auto"/>
              </w:rPr>
              <w:t>Municipal bonds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3,310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13</w:t>
            </w:r>
          </w:p>
        </w:tc>
      </w:tr>
      <w:tr>
        <w:trPr>
          <w:trHeight w:val="197"/>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275</w:t>
            </w:r>
          </w:p>
        </w:tc>
        <w:tc>
          <w:tcPr>
            <w:tcW w:w="20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30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(140)</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(140)</w:t>
            </w:r>
          </w:p>
        </w:tc>
      </w:tr>
      <w:tr>
        <w:trPr>
          <w:trHeight w:val="188"/>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246,520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246,936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579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416</w:t>
            </w:r>
          </w:p>
        </w:tc>
      </w:tr>
      <w:tr>
        <w:trPr>
          <w:trHeight w:val="195"/>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191"/>
        </w:trPr>
        <w:tc>
          <w:tcPr>
            <w:tcW w:w="102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58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301,704</w:t>
            </w: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302,307</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768</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(165)</w:t>
            </w: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603</w:t>
            </w:r>
          </w:p>
        </w:tc>
      </w:tr>
      <w:tr>
        <w:trPr>
          <w:trHeight w:val="195"/>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197"/>
        </w:trPr>
        <w:tc>
          <w:tcPr>
            <w:tcW w:w="7160" w:type="dxa"/>
            <w:vAlign w:val="bottom"/>
            <w:gridSpan w:val="3"/>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4"/>
                <w:szCs w:val="14"/>
                <w:color w:val="auto"/>
              </w:rPr>
              <w:t>Maturities within one year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4"/>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2,888</w:t>
            </w: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2,889</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w:t>
            </w:r>
          </w:p>
        </w:tc>
      </w:tr>
      <w:tr>
        <w:trPr>
          <w:trHeight w:val="191"/>
        </w:trPr>
        <w:tc>
          <w:tcPr>
            <w:tcW w:w="7160" w:type="dxa"/>
            <w:vAlign w:val="bottom"/>
            <w:gridSpan w:val="3"/>
          </w:tcPr>
          <w:p>
            <w:pPr>
              <w:spacing w:after="0"/>
              <w:rPr>
                <w:sz w:val="20"/>
                <w:szCs w:val="20"/>
                <w:color w:val="auto"/>
              </w:rPr>
            </w:pPr>
            <w:r>
              <w:rPr>
                <w:rFonts w:ascii="Arial" w:cs="Arial" w:eastAsia="Arial" w:hAnsi="Arial"/>
                <w:sz w:val="14"/>
                <w:szCs w:val="14"/>
                <w:color w:val="auto"/>
              </w:rPr>
              <w:t>Maturities between one and three 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7"/>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5,176</w:t>
            </w:r>
          </w:p>
        </w:tc>
        <w:tc>
          <w:tcPr>
            <w:tcW w:w="20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5,182</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6</w:t>
            </w:r>
          </w:p>
        </w:tc>
      </w:tr>
      <w:tr>
        <w:trPr>
          <w:trHeight w:val="188"/>
        </w:trPr>
        <w:tc>
          <w:tcPr>
            <w:tcW w:w="1020" w:type="dxa"/>
            <w:vAlign w:val="bottom"/>
            <w:tcBorders>
              <w:bottom w:val="single" w:sz="8" w:color="C0C0C0"/>
            </w:tcBorders>
          </w:tcPr>
          <w:p>
            <w:pPr>
              <w:spacing w:after="0"/>
              <w:rPr>
                <w:sz w:val="16"/>
                <w:szCs w:val="16"/>
                <w:color w:val="auto"/>
              </w:rPr>
            </w:pPr>
          </w:p>
        </w:tc>
        <w:tc>
          <w:tcPr>
            <w:tcW w:w="320" w:type="dxa"/>
            <w:vAlign w:val="bottom"/>
            <w:tcBorders>
              <w:bottom w:val="single" w:sz="8" w:color="C0C0C0"/>
            </w:tcBorders>
          </w:tcPr>
          <w:p>
            <w:pPr>
              <w:spacing w:after="0"/>
              <w:rPr>
                <w:sz w:val="16"/>
                <w:szCs w:val="16"/>
                <w:color w:val="auto"/>
              </w:rPr>
            </w:pPr>
          </w:p>
        </w:tc>
        <w:tc>
          <w:tcPr>
            <w:tcW w:w="5820" w:type="dxa"/>
            <w:vAlign w:val="bottom"/>
            <w:tcBorders>
              <w:bottom w:val="single" w:sz="8" w:color="C0C0C0"/>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8,064</w:t>
            </w:r>
          </w:p>
        </w:tc>
        <w:tc>
          <w:tcPr>
            <w:tcW w:w="20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8,071</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r>
      <w:tr>
        <w:trPr>
          <w:trHeight w:val="208"/>
        </w:trPr>
        <w:tc>
          <w:tcPr>
            <w:tcW w:w="1020" w:type="dxa"/>
            <w:vAlign w:val="bottom"/>
            <w:shd w:val="clear" w:color="auto" w:fill="C0C0C0"/>
          </w:tcPr>
          <w:p>
            <w:pPr>
              <w:spacing w:after="0"/>
              <w:rPr>
                <w:sz w:val="18"/>
                <w:szCs w:val="18"/>
                <w:color w:val="auto"/>
              </w:rPr>
            </w:pPr>
          </w:p>
        </w:tc>
        <w:tc>
          <w:tcPr>
            <w:tcW w:w="320" w:type="dxa"/>
            <w:vAlign w:val="bottom"/>
            <w:shd w:val="clear" w:color="auto" w:fill="C0C0C0"/>
          </w:tcPr>
          <w:p>
            <w:pPr>
              <w:spacing w:after="0"/>
              <w:rPr>
                <w:sz w:val="18"/>
                <w:szCs w:val="18"/>
                <w:color w:val="auto"/>
              </w:rPr>
            </w:pPr>
          </w:p>
        </w:tc>
        <w:tc>
          <w:tcPr>
            <w:tcW w:w="5820" w:type="dxa"/>
            <w:vAlign w:val="bottom"/>
            <w:shd w:val="clear" w:color="auto" w:fill="C0C0C0"/>
          </w:tcPr>
          <w:p>
            <w:pPr>
              <w:spacing w:after="0"/>
              <w:rPr>
                <w:sz w:val="18"/>
                <w:szCs w:val="18"/>
                <w:color w:val="auto"/>
              </w:rPr>
            </w:pP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309,768</w:t>
            </w:r>
          </w:p>
        </w:tc>
        <w:tc>
          <w:tcPr>
            <w:tcW w:w="14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310,378</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777</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610</w:t>
            </w:r>
          </w:p>
        </w:tc>
      </w:tr>
      <w:tr>
        <w:trPr>
          <w:trHeight w:val="357"/>
        </w:trPr>
        <w:tc>
          <w:tcPr>
            <w:tcW w:w="7160" w:type="dxa"/>
            <w:vAlign w:val="bottom"/>
            <w:tcBorders>
              <w:top w:val="single" w:sz="8" w:color="C0C0C0"/>
            </w:tcBorders>
            <w:gridSpan w:val="3"/>
          </w:tcPr>
          <w:p>
            <w:pPr>
              <w:spacing w:after="0"/>
              <w:rPr>
                <w:sz w:val="20"/>
                <w:szCs w:val="20"/>
                <w:color w:val="auto"/>
              </w:rPr>
            </w:pPr>
            <w:r>
              <w:rPr>
                <w:rFonts w:ascii="Arial" w:cs="Arial" w:eastAsia="Arial" w:hAnsi="Arial"/>
                <w:sz w:val="14"/>
                <w:szCs w:val="14"/>
                <w:b w:val="1"/>
                <w:bCs w:val="1"/>
                <w:color w:val="auto"/>
              </w:rPr>
              <w:t>At December 31, 2010</w:t>
            </w:r>
          </w:p>
        </w:tc>
        <w:tc>
          <w:tcPr>
            <w:tcW w:w="22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04"/>
        </w:trPr>
        <w:tc>
          <w:tcPr>
            <w:tcW w:w="1340" w:type="dxa"/>
            <w:vAlign w:val="bottom"/>
            <w:tcBorders>
              <w:top w:val="single" w:sz="8" w:color="auto"/>
            </w:tcBorders>
            <w:gridSpan w:val="2"/>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58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4"/>
                <w:szCs w:val="14"/>
                <w:color w:val="auto"/>
              </w:rPr>
              <w:t>Maturities within one year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4"/>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83,635</w:t>
            </w:r>
          </w:p>
        </w:tc>
        <w:tc>
          <w:tcPr>
            <w:tcW w:w="14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83,684</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49</w:t>
            </w:r>
          </w:p>
        </w:tc>
      </w:tr>
      <w:tr>
        <w:trPr>
          <w:trHeight w:val="191"/>
        </w:trPr>
        <w:tc>
          <w:tcPr>
            <w:tcW w:w="7160" w:type="dxa"/>
            <w:vAlign w:val="bottom"/>
            <w:gridSpan w:val="3"/>
          </w:tcPr>
          <w:p>
            <w:pPr>
              <w:ind w:left="260"/>
              <w:spacing w:after="0"/>
              <w:rPr>
                <w:sz w:val="20"/>
                <w:szCs w:val="20"/>
                <w:color w:val="auto"/>
              </w:rPr>
            </w:pPr>
            <w:r>
              <w:rPr>
                <w:rFonts w:ascii="Arial" w:cs="Arial" w:eastAsia="Arial" w:hAnsi="Arial"/>
                <w:sz w:val="14"/>
                <w:szCs w:val="14"/>
                <w:color w:val="auto"/>
              </w:rPr>
              <w:t>U.S. government guaranteed corporate bonds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48,173</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48,531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358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358</w:t>
            </w:r>
          </w:p>
        </w:tc>
      </w:tr>
      <w:tr>
        <w:trPr>
          <w:trHeight w:val="191"/>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r>
      <w:tr>
        <w:trPr>
          <w:trHeight w:val="210"/>
        </w:trPr>
        <w:tc>
          <w:tcPr>
            <w:tcW w:w="7160" w:type="dxa"/>
            <w:vAlign w:val="bottom"/>
            <w:gridSpan w:val="3"/>
            <w:shd w:val="clear" w:color="auto" w:fill="C0C0C0"/>
          </w:tcPr>
          <w:p>
            <w:pPr>
              <w:ind w:left="500"/>
              <w:spacing w:after="0"/>
              <w:rPr>
                <w:sz w:val="20"/>
                <w:szCs w:val="20"/>
                <w:color w:val="auto"/>
              </w:rPr>
            </w:pPr>
            <w:r>
              <w:rPr>
                <w:rFonts w:ascii="Arial" w:cs="Arial" w:eastAsia="Arial" w:hAnsi="Arial"/>
                <w:sz w:val="14"/>
                <w:szCs w:val="14"/>
                <w:color w:val="auto"/>
              </w:rPr>
              <w:t>collateralized mortgage obligations</w:t>
            </w: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2,027</w:t>
            </w: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2,131</w:t>
            </w: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104</w:t>
            </w:r>
          </w:p>
        </w:tc>
      </w:tr>
      <w:tr>
        <w:trPr>
          <w:trHeight w:val="191"/>
        </w:trPr>
        <w:tc>
          <w:tcPr>
            <w:tcW w:w="7160" w:type="dxa"/>
            <w:vAlign w:val="bottom"/>
            <w:gridSpan w:val="3"/>
          </w:tcPr>
          <w:p>
            <w:pPr>
              <w:ind w:left="260"/>
              <w:spacing w:after="0"/>
              <w:rPr>
                <w:sz w:val="20"/>
                <w:szCs w:val="20"/>
                <w:color w:val="auto"/>
              </w:rPr>
            </w:pPr>
            <w:r>
              <w:rPr>
                <w:rFonts w:ascii="Arial" w:cs="Arial" w:eastAsia="Arial" w:hAnsi="Arial"/>
                <w:sz w:val="14"/>
                <w:szCs w:val="14"/>
                <w:color w:val="auto"/>
              </w:rPr>
              <w:t>Municipal bonds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1,597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6</w:t>
            </w:r>
          </w:p>
        </w:tc>
      </w:tr>
      <w:tr>
        <w:trPr>
          <w:trHeight w:val="197"/>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875</w:t>
            </w:r>
          </w:p>
        </w:tc>
        <w:tc>
          <w:tcPr>
            <w:tcW w:w="20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847</w:t>
            </w:r>
          </w:p>
        </w:tc>
        <w:tc>
          <w:tcPr>
            <w:tcW w:w="220" w:type="dxa"/>
            <w:vAlign w:val="bottom"/>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spacing w:after="0"/>
              <w:rPr>
                <w:sz w:val="17"/>
                <w:szCs w:val="17"/>
                <w:color w:val="auto"/>
              </w:rPr>
            </w:pPr>
          </w:p>
        </w:tc>
        <w:tc>
          <w:tcPr>
            <w:tcW w:w="30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(28)</w:t>
            </w:r>
          </w:p>
        </w:tc>
      </w:tr>
      <w:tr>
        <w:trPr>
          <w:trHeight w:val="188"/>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136,307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136,796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489</w:t>
            </w:r>
          </w:p>
        </w:tc>
      </w:tr>
      <w:tr>
        <w:trPr>
          <w:trHeight w:val="195"/>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197"/>
        </w:trPr>
        <w:tc>
          <w:tcPr>
            <w:tcW w:w="7160" w:type="dxa"/>
            <w:vAlign w:val="bottom"/>
            <w:gridSpan w:val="3"/>
            <w:shd w:val="clear" w:color="auto" w:fill="C0C0C0"/>
          </w:tcPr>
          <w:p>
            <w:pPr>
              <w:spacing w:after="0"/>
              <w:rPr>
                <w:sz w:val="20"/>
                <w:szCs w:val="20"/>
                <w:color w:val="auto"/>
              </w:rPr>
            </w:pPr>
            <w:r>
              <w:rPr>
                <w:rFonts w:ascii="Arial" w:cs="Arial" w:eastAsia="Arial" w:hAnsi="Arial"/>
                <w:sz w:val="14"/>
                <w:szCs w:val="14"/>
                <w:color w:val="auto"/>
              </w:rPr>
              <w:t>Maturities between one and five years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r>
      <w:tr>
        <w:trPr>
          <w:trHeight w:val="191"/>
        </w:trPr>
        <w:tc>
          <w:tcPr>
            <w:tcW w:w="7160" w:type="dxa"/>
            <w:vAlign w:val="bottom"/>
            <w:gridSpan w:val="3"/>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352,345</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350,683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(1,662)</w:t>
            </w:r>
          </w:p>
        </w:tc>
      </w:tr>
      <w:tr>
        <w:trPr>
          <w:trHeight w:val="204"/>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guaranteed corporate bonds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15,522</w:t>
            </w: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15,477</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r>
      <w:tr>
        <w:trPr>
          <w:trHeight w:val="191"/>
        </w:trPr>
        <w:tc>
          <w:tcPr>
            <w:tcW w:w="7160" w:type="dxa"/>
            <w:vAlign w:val="bottom"/>
            <w:tcBorders>
              <w:bottom w:val="single" w:sz="8" w:color="C0C0C0"/>
            </w:tcBorders>
            <w:gridSpan w:val="3"/>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195"/>
        </w:trPr>
        <w:tc>
          <w:tcPr>
            <w:tcW w:w="102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58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367,977</w:t>
            </w: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366,198</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64</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(1,843)</w:t>
            </w: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(1,779)</w:t>
            </w:r>
          </w:p>
        </w:tc>
      </w:tr>
      <w:tr>
        <w:trPr>
          <w:trHeight w:val="176"/>
        </w:trPr>
        <w:tc>
          <w:tcPr>
            <w:tcW w:w="7160" w:type="dxa"/>
            <w:vAlign w:val="bottom"/>
            <w:gridSpan w:val="3"/>
          </w:tcPr>
          <w:p>
            <w:pPr>
              <w:spacing w:after="0"/>
              <w:rPr>
                <w:sz w:val="20"/>
                <w:szCs w:val="20"/>
                <w:color w:val="auto"/>
              </w:rPr>
            </w:pPr>
            <w:r>
              <w:rPr>
                <w:rFonts w:ascii="Arial" w:cs="Arial" w:eastAsia="Arial" w:hAnsi="Arial"/>
                <w:sz w:val="14"/>
                <w:szCs w:val="14"/>
                <w:color w:val="auto"/>
              </w:rPr>
              <w:t>Maturities between five and seven years</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r>
      <w:tr>
        <w:trPr>
          <w:trHeight w:val="204"/>
        </w:trPr>
        <w:tc>
          <w:tcPr>
            <w:tcW w:w="7160" w:type="dxa"/>
            <w:vAlign w:val="bottom"/>
            <w:tcBorders>
              <w:bottom w:val="single" w:sz="8" w:color="C0C0C0"/>
            </w:tcBorders>
            <w:gridSpan w:val="3"/>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C0C0C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200" w:type="dxa"/>
            <w:vAlign w:val="bottom"/>
            <w:tcBorders>
              <w:bottom w:val="single" w:sz="8" w:color="C0C0C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220" w:type="dxa"/>
            <w:vAlign w:val="bottom"/>
            <w:tcBorders>
              <w:bottom w:val="single" w:sz="8" w:color="C0C0C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C0C0C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C0C0C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188"/>
        </w:trPr>
        <w:tc>
          <w:tcPr>
            <w:tcW w:w="102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58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504,568</w:t>
            </w: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503,237</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586</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(1,917)</w:t>
            </w: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(1,331)</w:t>
            </w:r>
          </w:p>
        </w:tc>
      </w:tr>
      <w:tr>
        <w:trPr>
          <w:trHeight w:val="195"/>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197"/>
        </w:trPr>
        <w:tc>
          <w:tcPr>
            <w:tcW w:w="7160" w:type="dxa"/>
            <w:vAlign w:val="bottom"/>
            <w:gridSpan w:val="3"/>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4"/>
                <w:szCs w:val="14"/>
                <w:color w:val="auto"/>
              </w:rPr>
              <w:t>Maturities within one year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4"/>
        </w:trPr>
        <w:tc>
          <w:tcPr>
            <w:tcW w:w="7160" w:type="dxa"/>
            <w:vAlign w:val="bottom"/>
            <w:gridSpan w:val="3"/>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2,922</w:t>
            </w: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2,921</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r>
      <w:tr>
        <w:trPr>
          <w:trHeight w:val="197"/>
        </w:trPr>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7"/>
        </w:trPr>
        <w:tc>
          <w:tcPr>
            <w:tcW w:w="7160" w:type="dxa"/>
            <w:vAlign w:val="bottom"/>
            <w:gridSpan w:val="3"/>
            <w:shd w:val="clear" w:color="auto" w:fill="C0C0C0"/>
          </w:tcPr>
          <w:p>
            <w:pPr>
              <w:spacing w:after="0"/>
              <w:rPr>
                <w:sz w:val="20"/>
                <w:szCs w:val="20"/>
                <w:color w:val="auto"/>
              </w:rPr>
            </w:pPr>
            <w:r>
              <w:rPr>
                <w:rFonts w:ascii="Arial" w:cs="Arial" w:eastAsia="Arial" w:hAnsi="Arial"/>
                <w:sz w:val="14"/>
                <w:szCs w:val="14"/>
                <w:color w:val="auto"/>
              </w:rPr>
              <w:t>Maturities between one and three years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r>
      <w:tr>
        <w:trPr>
          <w:trHeight w:val="191"/>
        </w:trPr>
        <w:tc>
          <w:tcPr>
            <w:tcW w:w="7160" w:type="dxa"/>
            <w:vAlign w:val="bottom"/>
            <w:tcBorders>
              <w:bottom w:val="single" w:sz="8" w:color="C0C0C0"/>
            </w:tcBorders>
            <w:gridSpan w:val="3"/>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4,135</w:t>
            </w:r>
          </w:p>
        </w:tc>
        <w:tc>
          <w:tcPr>
            <w:tcW w:w="20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4,118</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88"/>
        </w:trPr>
        <w:tc>
          <w:tcPr>
            <w:tcW w:w="102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58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7,057</w:t>
            </w: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7,039</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w:t>
            </w:r>
          </w:p>
        </w:tc>
      </w:tr>
      <w:tr>
        <w:trPr>
          <w:trHeight w:val="195"/>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191"/>
        </w:trPr>
        <w:tc>
          <w:tcPr>
            <w:tcW w:w="102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5820" w:type="dxa"/>
            <w:vAlign w:val="bottom"/>
            <w:shd w:val="clear" w:color="auto" w:fill="C0C0C0"/>
          </w:tcPr>
          <w:p>
            <w:pPr>
              <w:spacing w:after="0"/>
              <w:rPr>
                <w:sz w:val="16"/>
                <w:szCs w:val="16"/>
                <w:color w:val="auto"/>
              </w:rPr>
            </w:pP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0C0C0"/>
          </w:tcPr>
          <w:p>
            <w:pPr>
              <w:jc w:val="right"/>
              <w:ind w:right="200"/>
              <w:spacing w:after="0"/>
              <w:rPr>
                <w:sz w:val="20"/>
                <w:szCs w:val="20"/>
                <w:color w:val="auto"/>
              </w:rPr>
            </w:pPr>
            <w:r>
              <w:rPr>
                <w:rFonts w:ascii="Arial" w:cs="Arial" w:eastAsia="Arial" w:hAnsi="Arial"/>
                <w:sz w:val="14"/>
                <w:szCs w:val="14"/>
                <w:color w:val="auto"/>
              </w:rPr>
              <w:t>511,625</w:t>
            </w:r>
          </w:p>
        </w:tc>
        <w:tc>
          <w:tcPr>
            <w:tcW w:w="14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510,276</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586</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(1,935)</w:t>
            </w: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(1,349)</w:t>
            </w:r>
          </w:p>
        </w:tc>
      </w:tr>
      <w:tr>
        <w:trPr>
          <w:trHeight w:val="28"/>
        </w:trPr>
        <w:tc>
          <w:tcPr>
            <w:tcW w:w="102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582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-3712210</wp:posOffset>
            </wp:positionV>
            <wp:extent cx="279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192"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4"/>
          <w:szCs w:val="14"/>
          <w:color w:val="auto"/>
        </w:rPr>
        <w:t>At June 30, 2011 and December 31, 2010, marketable securities included an additional unrealized gain of $0.3 million and an unrealized loss of $0.4 million, respectively, related to one equity security in the Company’s marketable securities portfolio.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p>
      <w:pPr>
        <w:jc w:val="both"/>
        <w:ind w:firstLine="296"/>
        <w:spacing w:after="0" w:line="342" w:lineRule="auto"/>
        <w:rPr>
          <w:sz w:val="20"/>
          <w:szCs w:val="20"/>
          <w:color w:val="auto"/>
        </w:rPr>
      </w:pPr>
      <w:r>
        <w:rPr>
          <w:rFonts w:ascii="Arial" w:cs="Arial" w:eastAsia="Arial" w:hAnsi="Arial"/>
          <w:sz w:val="12"/>
          <w:szCs w:val="12"/>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June 30, 2011 and December 31, 2010. The debt securities held at June 30, 2011, excluding mortgage-backed securities, mature at various dates through December 2013. The mortgage-backed securities held at June 30, 2011 have various estimated maturity dates through July 2015.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6"/>
                <w:szCs w:val="16"/>
                <w:color w:val="auto"/>
              </w:rPr>
            </w:pPr>
          </w:p>
        </w:tc>
        <w:tc>
          <w:tcPr>
            <w:tcW w:w="1840" w:type="dxa"/>
            <w:vAlign w:val="bottom"/>
            <w:gridSpan w:val="5"/>
          </w:tcPr>
          <w:p>
            <w:pPr>
              <w:ind w:left="60"/>
              <w:spacing w:after="0"/>
              <w:rPr>
                <w:sz w:val="20"/>
                <w:szCs w:val="20"/>
                <w:color w:val="auto"/>
              </w:rPr>
            </w:pPr>
            <w:r>
              <w:rPr>
                <w:rFonts w:ascii="Arial" w:cs="Arial" w:eastAsia="Arial" w:hAnsi="Arial"/>
                <w:sz w:val="14"/>
                <w:szCs w:val="14"/>
                <w:b w:val="1"/>
                <w:bCs w:val="1"/>
                <w:color w:val="auto"/>
              </w:rPr>
              <w:t>12 Months or Greater</w:t>
            </w:r>
          </w:p>
        </w:tc>
        <w:tc>
          <w:tcPr>
            <w:tcW w:w="1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6"/>
                <w:szCs w:val="16"/>
                <w:color w:val="auto"/>
              </w:rPr>
            </w:pPr>
          </w:p>
        </w:tc>
      </w:tr>
      <w:tr>
        <w:trPr>
          <w:trHeight w:val="182"/>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Unrealized</w:t>
            </w:r>
          </w:p>
        </w:tc>
      </w:tr>
      <w:tr>
        <w:trPr>
          <w:trHeight w:val="203"/>
        </w:trPr>
        <w:tc>
          <w:tcPr>
            <w:tcW w:w="5700" w:type="dxa"/>
            <w:vAlign w:val="bottom"/>
          </w:tcPr>
          <w:p>
            <w:pPr>
              <w:spacing w:after="0"/>
              <w:rPr>
                <w:sz w:val="20"/>
                <w:szCs w:val="20"/>
                <w:color w:val="auto"/>
              </w:rPr>
            </w:pPr>
            <w:r>
              <w:rPr>
                <w:rFonts w:ascii="Arial" w:cs="Arial" w:eastAsia="Arial" w:hAnsi="Arial"/>
                <w:sz w:val="14"/>
                <w:szCs w:val="14"/>
                <w:b w:val="1"/>
                <w:bCs w:val="1"/>
                <w:color w:val="auto"/>
              </w:rPr>
              <w:t>At June 30, 2011</w:t>
            </w:r>
          </w:p>
        </w:tc>
        <w:tc>
          <w:tcPr>
            <w:tcW w:w="22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560" w:type="dxa"/>
            <w:vAlign w:val="bottom"/>
          </w:tcPr>
          <w:p>
            <w:pPr>
              <w:jc w:val="right"/>
              <w:ind w:right="149"/>
              <w:spacing w:after="0"/>
              <w:rPr>
                <w:sz w:val="20"/>
                <w:szCs w:val="20"/>
                <w:color w:val="auto"/>
              </w:rPr>
            </w:pPr>
            <w:r>
              <w:rPr>
                <w:rFonts w:ascii="Arial" w:cs="Arial" w:eastAsia="Arial" w:hAnsi="Arial"/>
                <w:sz w:val="14"/>
                <w:szCs w:val="14"/>
                <w:b w:val="1"/>
                <w:bCs w:val="1"/>
                <w:color w:val="auto"/>
                <w:w w:val="97"/>
              </w:rPr>
              <w:t>Loss</w:t>
            </w:r>
          </w:p>
        </w:tc>
      </w:tr>
      <w:tr>
        <w:trPr>
          <w:trHeight w:val="195"/>
        </w:trPr>
        <w:tc>
          <w:tcPr>
            <w:tcW w:w="57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220" w:type="dxa"/>
            <w:vAlign w:val="bottom"/>
            <w:tcBorders>
              <w:top w:val="single" w:sz="8" w:color="C0C0C0"/>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54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80" w:type="dxa"/>
            <w:vAlign w:val="bottom"/>
            <w:tcBorders>
              <w:top w:val="single" w:sz="8" w:color="auto"/>
            </w:tcBorders>
            <w:shd w:val="clear" w:color="auto" w:fill="C0C0C0"/>
          </w:tcPr>
          <w:p>
            <w:pPr>
              <w:spacing w:after="0"/>
              <w:rPr>
                <w:sz w:val="16"/>
                <w:szCs w:val="16"/>
                <w:color w:val="auto"/>
              </w:rPr>
            </w:pPr>
          </w:p>
        </w:tc>
        <w:tc>
          <w:tcPr>
            <w:tcW w:w="78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50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80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48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560" w:type="dxa"/>
            <w:vAlign w:val="bottom"/>
            <w:tcBorders>
              <w:top w:val="single" w:sz="8" w:color="auto"/>
            </w:tcBorders>
            <w:shd w:val="clear" w:color="auto" w:fill="C0C0C0"/>
          </w:tcPr>
          <w:p>
            <w:pPr>
              <w:spacing w:after="0"/>
              <w:rPr>
                <w:sz w:val="16"/>
                <w:szCs w:val="16"/>
                <w:color w:val="auto"/>
              </w:rPr>
            </w:pPr>
          </w:p>
        </w:tc>
      </w:tr>
      <w:tr>
        <w:trPr>
          <w:trHeight w:val="191"/>
        </w:trPr>
        <w:tc>
          <w:tcPr>
            <w:tcW w:w="5700" w:type="dxa"/>
            <w:vAlign w:val="bottom"/>
          </w:tcPr>
          <w:p>
            <w:pPr>
              <w:ind w:left="260"/>
              <w:spacing w:after="0"/>
              <w:rPr>
                <w:sz w:val="20"/>
                <w:szCs w:val="20"/>
                <w:color w:val="auto"/>
              </w:rPr>
            </w:pPr>
            <w:r>
              <w:rPr>
                <w:rFonts w:ascii="Arial" w:cs="Arial" w:eastAsia="Arial" w:hAnsi="Arial"/>
                <w:sz w:val="14"/>
                <w:szCs w:val="14"/>
                <w:color w:val="auto"/>
              </w:rPr>
              <w:t>U.S. government obligations</w:t>
            </w:r>
          </w:p>
        </w:tc>
        <w:tc>
          <w:tcPr>
            <w:tcW w:w="3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25,649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25,649</w:t>
            </w:r>
          </w:p>
        </w:tc>
        <w:tc>
          <w:tcPr>
            <w:tcW w:w="2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7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Municipal bonds</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3,264</w:t>
            </w:r>
          </w:p>
        </w:tc>
        <w:tc>
          <w:tcPr>
            <w:tcW w:w="80" w:type="dxa"/>
            <w:vAlign w:val="bottom"/>
            <w:shd w:val="clear" w:color="auto" w:fill="C0C0C0"/>
          </w:tcPr>
          <w:p>
            <w:pPr>
              <w:spacing w:after="0"/>
              <w:rPr>
                <w:sz w:val="17"/>
                <w:szCs w:val="17"/>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3,264</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r>
      <w:tr>
        <w:trPr>
          <w:trHeight w:val="191"/>
        </w:trPr>
        <w:tc>
          <w:tcPr>
            <w:tcW w:w="570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188"/>
        </w:trPr>
        <w:tc>
          <w:tcPr>
            <w:tcW w:w="57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28,913</w:t>
            </w:r>
          </w:p>
        </w:tc>
        <w:tc>
          <w:tcPr>
            <w:tcW w:w="80" w:type="dxa"/>
            <w:vAlign w:val="bottom"/>
            <w:shd w:val="clear" w:color="auto" w:fill="C0C0C0"/>
          </w:tcPr>
          <w:p>
            <w:pPr>
              <w:spacing w:after="0"/>
              <w:rPr>
                <w:sz w:val="16"/>
                <w:szCs w:val="16"/>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207</w:t>
            </w: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29,120</w:t>
            </w: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(165)</w:t>
            </w:r>
          </w:p>
        </w:tc>
      </w:tr>
      <w:tr>
        <w:trPr>
          <w:trHeight w:val="195"/>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r>
      <w:tr>
        <w:trPr>
          <w:trHeight w:val="197"/>
        </w:trPr>
        <w:tc>
          <w:tcPr>
            <w:tcW w:w="57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r>
      <w:tr>
        <w:trPr>
          <w:trHeight w:val="191"/>
        </w:trPr>
        <w:tc>
          <w:tcPr>
            <w:tcW w:w="5700" w:type="dxa"/>
            <w:vAlign w:val="bottom"/>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1,431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57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88"/>
        </w:trPr>
        <w:tc>
          <w:tcPr>
            <w:tcW w:w="57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1,431</w:t>
            </w:r>
          </w:p>
        </w:tc>
        <w:tc>
          <w:tcPr>
            <w:tcW w:w="80" w:type="dxa"/>
            <w:vAlign w:val="bottom"/>
            <w:shd w:val="clear" w:color="auto" w:fill="C0C0C0"/>
          </w:tcPr>
          <w:p>
            <w:pPr>
              <w:spacing w:after="0"/>
              <w:rPr>
                <w:sz w:val="16"/>
                <w:szCs w:val="16"/>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1,431</w:t>
            </w: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5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88"/>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30,344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6"/>
                <w:szCs w:val="16"/>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30,551</w:t>
            </w:r>
          </w:p>
        </w:tc>
        <w:tc>
          <w:tcPr>
            <w:tcW w:w="2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8"/>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12 Months or Greater</w:t>
            </w:r>
          </w:p>
        </w:tc>
        <w:tc>
          <w:tcPr>
            <w:tcW w:w="12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6"/>
                <w:szCs w:val="16"/>
                <w:color w:val="auto"/>
              </w:rPr>
            </w:pPr>
          </w:p>
        </w:tc>
      </w:tr>
      <w:tr>
        <w:trPr>
          <w:trHeight w:val="182"/>
        </w:trPr>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Unrealized</w:t>
            </w:r>
          </w:p>
        </w:tc>
      </w:tr>
      <w:tr>
        <w:trPr>
          <w:trHeight w:val="203"/>
        </w:trPr>
        <w:tc>
          <w:tcPr>
            <w:tcW w:w="5900" w:type="dxa"/>
            <w:vAlign w:val="bottom"/>
          </w:tcPr>
          <w:p>
            <w:pPr>
              <w:spacing w:after="0"/>
              <w:rPr>
                <w:sz w:val="20"/>
                <w:szCs w:val="20"/>
                <w:color w:val="auto"/>
              </w:rPr>
            </w:pPr>
            <w:r>
              <w:rPr>
                <w:rFonts w:ascii="Arial" w:cs="Arial" w:eastAsia="Arial" w:hAnsi="Arial"/>
                <w:sz w:val="14"/>
                <w:szCs w:val="14"/>
                <w:b w:val="1"/>
                <w:bCs w:val="1"/>
                <w:color w:val="auto"/>
              </w:rPr>
              <w:t>At December 31, 2010</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7"/>
                <w:szCs w:val="17"/>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9"/>
              <w:spacing w:after="0"/>
              <w:rPr>
                <w:sz w:val="20"/>
                <w:szCs w:val="20"/>
                <w:color w:val="auto"/>
              </w:rPr>
            </w:pPr>
            <w:r>
              <w:rPr>
                <w:rFonts w:ascii="Arial" w:cs="Arial" w:eastAsia="Arial" w:hAnsi="Arial"/>
                <w:sz w:val="14"/>
                <w:szCs w:val="14"/>
                <w:b w:val="1"/>
                <w:bCs w:val="1"/>
                <w:color w:val="auto"/>
                <w:w w:val="97"/>
              </w:rPr>
              <w:t>Loss</w:t>
            </w:r>
          </w:p>
        </w:tc>
      </w:tr>
      <w:tr>
        <w:trPr>
          <w:trHeight w:val="195"/>
        </w:trPr>
        <w:tc>
          <w:tcPr>
            <w:tcW w:w="59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220" w:type="dxa"/>
            <w:vAlign w:val="bottom"/>
            <w:tcBorders>
              <w:top w:val="single" w:sz="8" w:color="C0C0C0"/>
            </w:tcBorders>
            <w:shd w:val="clear" w:color="auto" w:fill="C0C0C0"/>
          </w:tcPr>
          <w:p>
            <w:pPr>
              <w:spacing w:after="0"/>
              <w:rPr>
                <w:sz w:val="16"/>
                <w:szCs w:val="16"/>
                <w:color w:val="auto"/>
              </w:rPr>
            </w:pPr>
          </w:p>
        </w:tc>
        <w:tc>
          <w:tcPr>
            <w:tcW w:w="140" w:type="dxa"/>
            <w:vAlign w:val="bottom"/>
            <w:tcBorders>
              <w:top w:val="single" w:sz="8" w:color="auto"/>
            </w:tcBorders>
            <w:shd w:val="clear" w:color="auto" w:fill="C0C0C0"/>
          </w:tcPr>
          <w:p>
            <w:pPr>
              <w:spacing w:after="0"/>
              <w:rPr>
                <w:sz w:val="16"/>
                <w:szCs w:val="16"/>
                <w:color w:val="auto"/>
              </w:rPr>
            </w:pPr>
          </w:p>
        </w:tc>
        <w:tc>
          <w:tcPr>
            <w:tcW w:w="56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60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20" w:type="dxa"/>
            <w:vAlign w:val="bottom"/>
            <w:tcBorders>
              <w:top w:val="single" w:sz="8" w:color="auto"/>
            </w:tcBorders>
            <w:shd w:val="clear" w:color="auto" w:fill="C0C0C0"/>
          </w:tcPr>
          <w:p>
            <w:pPr>
              <w:spacing w:after="0"/>
              <w:rPr>
                <w:sz w:val="16"/>
                <w:szCs w:val="16"/>
                <w:color w:val="auto"/>
              </w:rPr>
            </w:pPr>
          </w:p>
        </w:tc>
        <w:tc>
          <w:tcPr>
            <w:tcW w:w="52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64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20" w:type="dxa"/>
            <w:vAlign w:val="bottom"/>
            <w:tcBorders>
              <w:top w:val="single" w:sz="8" w:color="auto"/>
            </w:tcBorders>
            <w:shd w:val="clear" w:color="auto" w:fill="C0C0C0"/>
          </w:tcPr>
          <w:p>
            <w:pPr>
              <w:spacing w:after="0"/>
              <w:rPr>
                <w:sz w:val="16"/>
                <w:szCs w:val="16"/>
                <w:color w:val="auto"/>
              </w:rPr>
            </w:pPr>
          </w:p>
        </w:tc>
        <w:tc>
          <w:tcPr>
            <w:tcW w:w="500" w:type="dxa"/>
            <w:vAlign w:val="bottom"/>
            <w:tcBorders>
              <w:top w:val="single" w:sz="8" w:color="auto"/>
            </w:tcBorders>
            <w:shd w:val="clear" w:color="auto" w:fill="C0C0C0"/>
          </w:tcPr>
          <w:p>
            <w:pPr>
              <w:spacing w:after="0"/>
              <w:rPr>
                <w:sz w:val="16"/>
                <w:szCs w:val="16"/>
                <w:color w:val="auto"/>
              </w:rPr>
            </w:pPr>
          </w:p>
        </w:tc>
        <w:tc>
          <w:tcPr>
            <w:tcW w:w="12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C0C0C0"/>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560" w:type="dxa"/>
            <w:vAlign w:val="bottom"/>
            <w:tcBorders>
              <w:top w:val="single" w:sz="8" w:color="auto"/>
            </w:tcBorders>
            <w:shd w:val="clear" w:color="auto" w:fill="C0C0C0"/>
          </w:tcPr>
          <w:p>
            <w:pPr>
              <w:spacing w:after="0"/>
              <w:rPr>
                <w:sz w:val="16"/>
                <w:szCs w:val="16"/>
                <w:color w:val="auto"/>
              </w:rPr>
            </w:pPr>
          </w:p>
        </w:tc>
      </w:tr>
      <w:tr>
        <w:trPr>
          <w:trHeight w:val="191"/>
        </w:trPr>
        <w:tc>
          <w:tcPr>
            <w:tcW w:w="5900" w:type="dxa"/>
            <w:vAlign w:val="bottom"/>
          </w:tcPr>
          <w:p>
            <w:pPr>
              <w:ind w:left="260"/>
              <w:spacing w:after="0"/>
              <w:rPr>
                <w:sz w:val="20"/>
                <w:szCs w:val="20"/>
                <w:color w:val="auto"/>
              </w:rPr>
            </w:pPr>
            <w:r>
              <w:rPr>
                <w:rFonts w:ascii="Arial" w:cs="Arial" w:eastAsia="Arial" w:hAnsi="Arial"/>
                <w:sz w:val="14"/>
                <w:szCs w:val="14"/>
                <w:color w:val="auto"/>
              </w:rPr>
              <w:t>U.S. government obligations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340,444</w:t>
            </w:r>
          </w:p>
        </w:tc>
        <w:tc>
          <w:tcPr>
            <w:tcW w:w="3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340,444</w:t>
            </w:r>
          </w:p>
        </w:tc>
        <w:tc>
          <w:tcPr>
            <w:tcW w:w="120" w:type="dxa"/>
            <w:vAlign w:val="bottom"/>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(1,731)</w:t>
            </w:r>
          </w:p>
        </w:tc>
      </w:tr>
      <w:tr>
        <w:trPr>
          <w:trHeight w:val="191"/>
        </w:trPr>
        <w:tc>
          <w:tcPr>
            <w:tcW w:w="59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6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r>
      <w:tr>
        <w:trPr>
          <w:trHeight w:val="210"/>
        </w:trPr>
        <w:tc>
          <w:tcPr>
            <w:tcW w:w="59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corporate bonds</w:t>
            </w:r>
          </w:p>
        </w:tc>
        <w:tc>
          <w:tcPr>
            <w:tcW w:w="2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19,005</w:t>
            </w: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19,005</w:t>
            </w: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(45)</w:t>
            </w:r>
          </w:p>
        </w:tc>
      </w:tr>
      <w:tr>
        <w:trPr>
          <w:trHeight w:val="191"/>
        </w:trPr>
        <w:tc>
          <w:tcPr>
            <w:tcW w:w="5900" w:type="dxa"/>
            <w:vAlign w:val="bottom"/>
          </w:tcPr>
          <w:p>
            <w:pPr>
              <w:ind w:left="260"/>
              <w:spacing w:after="0"/>
              <w:rPr>
                <w:sz w:val="20"/>
                <w:szCs w:val="20"/>
                <w:color w:val="auto"/>
              </w:rPr>
            </w:pPr>
            <w:r>
              <w:rPr>
                <w:rFonts w:ascii="Arial" w:cs="Arial" w:eastAsia="Arial" w:hAnsi="Arial"/>
                <w:sz w:val="14"/>
                <w:szCs w:val="14"/>
                <w:color w:val="auto"/>
              </w:rPr>
              <w:t>Equity securities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97"/>
        </w:trPr>
        <w:tc>
          <w:tcPr>
            <w:tcW w:w="59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1,128</w:t>
            </w: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(141)</w:t>
            </w:r>
          </w:p>
        </w:tc>
      </w:tr>
      <w:tr>
        <w:trPr>
          <w:trHeight w:val="20"/>
        </w:trPr>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88"/>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363,061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1,128</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364,189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(2,350)</w:t>
            </w:r>
          </w:p>
        </w:tc>
      </w:tr>
      <w:tr>
        <w:trPr>
          <w:trHeight w:val="195"/>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r>
      <w:tr>
        <w:trPr>
          <w:trHeight w:val="197"/>
        </w:trPr>
        <w:tc>
          <w:tcPr>
            <w:tcW w:w="59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r>
      <w:tr>
        <w:trPr>
          <w:trHeight w:val="191"/>
        </w:trPr>
        <w:tc>
          <w:tcPr>
            <w:tcW w:w="590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w:t>
            </w: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6,154</w:t>
            </w:r>
          </w:p>
        </w:tc>
        <w:tc>
          <w:tcPr>
            <w:tcW w:w="120" w:type="dxa"/>
            <w:vAlign w:val="bottom"/>
            <w:tcBorders>
              <w:bottom w:val="single" w:sz="8" w:color="C0C0C0"/>
            </w:tcBorders>
          </w:tcPr>
          <w:p>
            <w:pPr>
              <w:spacing w:after="0"/>
              <w:rPr>
                <w:sz w:val="16"/>
                <w:szCs w:val="16"/>
                <w:color w:val="auto"/>
              </w:rPr>
            </w:pPr>
          </w:p>
        </w:tc>
        <w:tc>
          <w:tcPr>
            <w:tcW w:w="10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59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tcBorders>
              <w:bottom w:val="single" w:sz="8" w:color="auto"/>
            </w:tcBorders>
            <w:shd w:val="clear" w:color="auto" w:fill="C0C0C0"/>
          </w:tcPr>
          <w:p>
            <w:pPr>
              <w:spacing w:after="0"/>
              <w:rPr>
                <w:sz w:val="16"/>
                <w:szCs w:val="16"/>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6,154</w:t>
            </w: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0C0C0"/>
          </w:tcPr>
          <w:p>
            <w:pPr>
              <w:spacing w:after="0"/>
              <w:rPr>
                <w:sz w:val="16"/>
                <w:szCs w:val="16"/>
                <w:color w:val="auto"/>
              </w:rPr>
            </w:pPr>
          </w:p>
        </w:tc>
        <w:tc>
          <w:tcPr>
            <w:tcW w:w="120" w:type="dxa"/>
            <w:vAlign w:val="bottom"/>
            <w:tcBorders>
              <w:bottom w:val="single" w:sz="8" w:color="auto"/>
            </w:tcBorders>
            <w:shd w:val="clear" w:color="auto" w:fill="C0C0C0"/>
          </w:tcPr>
          <w:p>
            <w:pPr>
              <w:spacing w:after="0"/>
              <w:rPr>
                <w:sz w:val="16"/>
                <w:szCs w:val="16"/>
                <w:color w:val="auto"/>
              </w:rPr>
            </w:pPr>
          </w:p>
        </w:tc>
        <w:tc>
          <w:tcPr>
            <w:tcW w:w="520" w:type="dxa"/>
            <w:vAlign w:val="bottom"/>
            <w:tcBorders>
              <w:bottom w:val="single" w:sz="8" w:color="auto"/>
            </w:tcBorders>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640" w:type="dxa"/>
            <w:vAlign w:val="bottom"/>
            <w:tcBorders>
              <w:bottom w:val="single" w:sz="8" w:color="auto"/>
            </w:tcBorders>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tcBorders>
              <w:bottom w:val="single" w:sz="8" w:color="auto"/>
            </w:tcBorders>
            <w:shd w:val="clear" w:color="auto" w:fill="C0C0C0"/>
          </w:tcPr>
          <w:p>
            <w:pPr>
              <w:spacing w:after="0"/>
              <w:rPr>
                <w:sz w:val="16"/>
                <w:szCs w:val="16"/>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6,154</w:t>
            </w:r>
          </w:p>
        </w:tc>
        <w:tc>
          <w:tcPr>
            <w:tcW w:w="1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(18)</w:t>
            </w:r>
          </w:p>
        </w:tc>
      </w:tr>
      <w:tr>
        <w:trPr>
          <w:trHeight w:val="195"/>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59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369,215</w:t>
            </w:r>
          </w:p>
        </w:tc>
        <w:tc>
          <w:tcPr>
            <w:tcW w:w="380" w:type="dxa"/>
            <w:vAlign w:val="bottom"/>
            <w:gridSpan w:val="2"/>
            <w:shd w:val="clear" w:color="auto" w:fill="C0C0C0"/>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(2,227)</w:t>
            </w: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1,128</w:t>
            </w:r>
          </w:p>
        </w:tc>
        <w:tc>
          <w:tcPr>
            <w:tcW w:w="16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94"/>
              </w:rPr>
              <w:t>370,343</w:t>
            </w:r>
          </w:p>
        </w:tc>
        <w:tc>
          <w:tcPr>
            <w:tcW w:w="120" w:type="dxa"/>
            <w:vAlign w:val="bottom"/>
            <w:shd w:val="clear" w:color="auto" w:fill="C0C0C0"/>
          </w:tcPr>
          <w:p>
            <w:pPr>
              <w:spacing w:after="0"/>
              <w:rPr>
                <w:sz w:val="16"/>
                <w:szCs w:val="16"/>
                <w:color w:val="auto"/>
              </w:rPr>
            </w:pPr>
          </w:p>
        </w:tc>
        <w:tc>
          <w:tcPr>
            <w:tcW w:w="260" w:type="dxa"/>
            <w:vAlign w:val="bottom"/>
            <w:gridSpan w:val="2"/>
            <w:shd w:val="clear" w:color="auto" w:fill="C0C0C0"/>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(2,368)</w:t>
            </w:r>
          </w:p>
        </w:tc>
      </w:tr>
      <w:tr>
        <w:trPr>
          <w:trHeight w:val="28"/>
        </w:trPr>
        <w:tc>
          <w:tcPr>
            <w:tcW w:w="59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12"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Realized gains and losses are included as a component of investment income. For the three and six months ended June 30, 2011 and 2010,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80" w:type="dxa"/>
            <w:vAlign w:val="bottom"/>
            <w:gridSpan w:val="7"/>
          </w:tcPr>
          <w:p>
            <w:pPr>
              <w:ind w:left="220"/>
              <w:spacing w:after="0"/>
              <w:rPr>
                <w:sz w:val="20"/>
                <w:szCs w:val="20"/>
                <w:color w:val="auto"/>
              </w:rPr>
            </w:pPr>
            <w:r>
              <w:rPr>
                <w:rFonts w:ascii="Arial" w:cs="Arial" w:eastAsia="Arial" w:hAnsi="Arial"/>
                <w:sz w:val="14"/>
                <w:szCs w:val="14"/>
                <w:color w:val="auto"/>
                <w:w w:val="93"/>
              </w:rPr>
              <w:t>The Company’s assets that are measured at fair value on a recurring basis</w:t>
            </w:r>
            <w:r>
              <w:rPr>
                <w:rFonts w:ascii="Arial" w:cs="Arial" w:eastAsia="Arial" w:hAnsi="Arial"/>
                <w:sz w:val="14"/>
                <w:szCs w:val="14"/>
                <w:i w:val="1"/>
                <w:iCs w:val="1"/>
                <w:color w:val="auto"/>
                <w:w w:val="93"/>
              </w:rPr>
              <w:t>,</w:t>
            </w:r>
            <w:r>
              <w:rPr>
                <w:rFonts w:ascii="Arial" w:cs="Arial" w:eastAsia="Arial" w:hAnsi="Arial"/>
                <w:sz w:val="14"/>
                <w:szCs w:val="14"/>
                <w:color w:val="auto"/>
                <w:w w:val="93"/>
              </w:rPr>
              <w:t xml:space="preserve"> at June 30, 2011 and December 31, 2010, were as follows: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90"/>
        </w:trPr>
        <w:tc>
          <w:tcPr>
            <w:tcW w:w="7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3"/>
              </w:rPr>
              <w:t>Fair Value Measurements at Reporting Date Using</w:t>
            </w:r>
          </w:p>
        </w:tc>
      </w:tr>
      <w:tr>
        <w:trPr>
          <w:trHeight w:val="182"/>
        </w:trPr>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 Active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r>
      <w:tr>
        <w:trPr>
          <w:trHeight w:val="197"/>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Markets for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r>
      <w:tr>
        <w:trPr>
          <w:trHeight w:val="197"/>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r>
      <w:tr>
        <w:trPr>
          <w:trHeight w:val="204"/>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At June 30, 2011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(Level 3)</w:t>
            </w:r>
          </w:p>
        </w:tc>
      </w:tr>
      <w:tr>
        <w:trPr>
          <w:trHeight w:val="195"/>
        </w:trPr>
        <w:tc>
          <w:tcPr>
            <w:tcW w:w="7180" w:type="dxa"/>
            <w:vAlign w:val="bottom"/>
            <w:tcBorders>
              <w:top w:val="single" w:sz="8" w:color="auto"/>
            </w:tcBorders>
            <w:gridSpan w:val="2"/>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40" w:type="dxa"/>
            <w:vAlign w:val="bottom"/>
            <w:tcBorders>
              <w:top w:val="single" w:sz="8" w:color="C0C0C0"/>
            </w:tcBorders>
            <w:shd w:val="clear" w:color="auto" w:fill="C0C0C0"/>
          </w:tcPr>
          <w:p>
            <w:pPr>
              <w:spacing w:after="0"/>
              <w:rPr>
                <w:sz w:val="16"/>
                <w:szCs w:val="16"/>
                <w:color w:val="auto"/>
              </w:rPr>
            </w:pPr>
          </w:p>
        </w:tc>
        <w:tc>
          <w:tcPr>
            <w:tcW w:w="180" w:type="dxa"/>
            <w:vAlign w:val="bottom"/>
            <w:tcBorders>
              <w:top w:val="single" w:sz="8" w:color="C0C0C0"/>
              <w:right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420" w:type="dxa"/>
            <w:vAlign w:val="bottom"/>
            <w:tcBorders>
              <w:top w:val="single" w:sz="8" w:color="auto"/>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left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700" w:type="dxa"/>
            <w:vAlign w:val="bottom"/>
            <w:tcBorders>
              <w:top w:val="single" w:sz="8" w:color="auto"/>
            </w:tcBorders>
            <w:shd w:val="clear" w:color="auto" w:fill="C0C0C0"/>
          </w:tcPr>
          <w:p>
            <w:pPr>
              <w:spacing w:after="0"/>
              <w:rPr>
                <w:sz w:val="16"/>
                <w:szCs w:val="16"/>
                <w:color w:val="auto"/>
              </w:rPr>
            </w:pPr>
          </w:p>
        </w:tc>
        <w:tc>
          <w:tcPr>
            <w:tcW w:w="160" w:type="dxa"/>
            <w:vAlign w:val="bottom"/>
            <w:tcBorders>
              <w:top w:val="single" w:sz="8" w:color="auto"/>
            </w:tcBorders>
            <w:shd w:val="clear" w:color="auto" w:fill="C0C0C0"/>
          </w:tcPr>
          <w:p>
            <w:pPr>
              <w:spacing w:after="0"/>
              <w:rPr>
                <w:sz w:val="16"/>
                <w:szCs w:val="16"/>
                <w:color w:val="auto"/>
              </w:rPr>
            </w:pPr>
          </w:p>
        </w:tc>
        <w:tc>
          <w:tcPr>
            <w:tcW w:w="80" w:type="dxa"/>
            <w:vAlign w:val="bottom"/>
            <w:tcBorders>
              <w:top w:val="single" w:sz="8" w:color="C0C0C0"/>
            </w:tcBorders>
            <w:shd w:val="clear" w:color="auto" w:fill="C0C0C0"/>
          </w:tcPr>
          <w:p>
            <w:pPr>
              <w:spacing w:after="0"/>
              <w:rPr>
                <w:sz w:val="16"/>
                <w:szCs w:val="16"/>
                <w:color w:val="auto"/>
              </w:rPr>
            </w:pPr>
          </w:p>
        </w:tc>
        <w:tc>
          <w:tcPr>
            <w:tcW w:w="220" w:type="dxa"/>
            <w:vAlign w:val="bottom"/>
            <w:tcBorders>
              <w:top w:val="single" w:sz="8" w:color="C0C0C0"/>
              <w:right w:val="single" w:sz="8" w:color="C0C0C0"/>
            </w:tcBorders>
            <w:shd w:val="clear" w:color="auto" w:fill="C0C0C0"/>
          </w:tcPr>
          <w:p>
            <w:pPr>
              <w:spacing w:after="0"/>
              <w:rPr>
                <w:sz w:val="16"/>
                <w:szCs w:val="16"/>
                <w:color w:val="auto"/>
              </w:rPr>
            </w:pPr>
          </w:p>
        </w:tc>
        <w:tc>
          <w:tcPr>
            <w:tcW w:w="80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40" w:type="dxa"/>
            <w:vAlign w:val="bottom"/>
            <w:tcBorders>
              <w:top w:val="single" w:sz="8" w:color="auto"/>
            </w:tcBorders>
            <w:shd w:val="clear" w:color="auto" w:fill="C0C0C0"/>
          </w:tcPr>
          <w:p>
            <w:pPr>
              <w:spacing w:after="0"/>
              <w:rPr>
                <w:sz w:val="16"/>
                <w:szCs w:val="16"/>
                <w:color w:val="auto"/>
              </w:rPr>
            </w:pPr>
          </w:p>
        </w:tc>
        <w:tc>
          <w:tcPr>
            <w:tcW w:w="840" w:type="dxa"/>
            <w:vAlign w:val="bottom"/>
            <w:tcBorders>
              <w:top w:val="single" w:sz="8" w:color="auto"/>
            </w:tcBorders>
            <w:shd w:val="clear" w:color="auto" w:fill="C0C0C0"/>
          </w:tcPr>
          <w:p>
            <w:pPr>
              <w:spacing w:after="0"/>
              <w:rPr>
                <w:sz w:val="16"/>
                <w:szCs w:val="16"/>
                <w:color w:val="auto"/>
              </w:rPr>
            </w:pPr>
          </w:p>
        </w:tc>
      </w:tr>
      <w:tr>
        <w:trPr>
          <w:trHeight w:val="191"/>
        </w:trPr>
        <w:tc>
          <w:tcPr>
            <w:tcW w:w="7180" w:type="dxa"/>
            <w:vAlign w:val="bottom"/>
            <w:gridSpan w:val="2"/>
          </w:tcPr>
          <w:p>
            <w:pPr>
              <w:spacing w:after="0"/>
              <w:rPr>
                <w:sz w:val="20"/>
                <w:szCs w:val="20"/>
                <w:color w:val="auto"/>
              </w:rPr>
            </w:pPr>
            <w:r>
              <w:rPr>
                <w:rFonts w:ascii="Arial" w:cs="Arial" w:eastAsia="Arial" w:hAnsi="Arial"/>
                <w:sz w:val="14"/>
                <w:szCs w:val="14"/>
                <w:color w:val="auto"/>
              </w:rPr>
              <w:t>Available-for-sale marketable securities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718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U.S. government obligations</w:t>
            </w:r>
          </w:p>
        </w:tc>
        <w:tc>
          <w:tcPr>
            <w:tcW w:w="40" w:type="dxa"/>
            <w:vAlign w:val="bottom"/>
            <w:shd w:val="clear" w:color="auto" w:fill="C0C0C0"/>
          </w:tcPr>
          <w:p>
            <w:pPr>
              <w:spacing w:after="0"/>
              <w:rPr>
                <w:sz w:val="17"/>
                <w:szCs w:val="17"/>
                <w:color w:val="auto"/>
              </w:rPr>
            </w:pPr>
          </w:p>
        </w:tc>
        <w:tc>
          <w:tcPr>
            <w:tcW w:w="18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237,229</w:t>
            </w:r>
          </w:p>
        </w:tc>
        <w:tc>
          <w:tcPr>
            <w:tcW w:w="220" w:type="dxa"/>
            <w:vAlign w:val="bottom"/>
            <w:tcBorders>
              <w:lef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0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237,229</w:t>
            </w:r>
          </w:p>
        </w:tc>
        <w:tc>
          <w:tcPr>
            <w:tcW w:w="22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1"/>
        </w:trPr>
        <w:tc>
          <w:tcPr>
            <w:tcW w:w="7180" w:type="dxa"/>
            <w:vAlign w:val="bottom"/>
            <w:gridSpan w:val="2"/>
          </w:tcPr>
          <w:p>
            <w:pPr>
              <w:ind w:left="220"/>
              <w:spacing w:after="0"/>
              <w:rPr>
                <w:sz w:val="20"/>
                <w:szCs w:val="20"/>
                <w:color w:val="auto"/>
              </w:rPr>
            </w:pPr>
            <w:r>
              <w:rPr>
                <w:rFonts w:ascii="Arial" w:cs="Arial" w:eastAsia="Arial" w:hAnsi="Arial"/>
                <w:sz w:val="14"/>
                <w:szCs w:val="14"/>
                <w:color w:val="auto"/>
              </w:rPr>
              <w:t>U.S. government guaranteed corporate bonds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47,496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47,496</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718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U.S. government guaranteed</w:t>
            </w:r>
          </w:p>
        </w:tc>
        <w:tc>
          <w:tcPr>
            <w:tcW w:w="40" w:type="dxa"/>
            <w:vAlign w:val="bottom"/>
            <w:shd w:val="clear" w:color="auto" w:fill="C0C0C0"/>
          </w:tcPr>
          <w:p>
            <w:pPr>
              <w:spacing w:after="0"/>
              <w:rPr>
                <w:sz w:val="16"/>
                <w:szCs w:val="16"/>
                <w:color w:val="auto"/>
              </w:rPr>
            </w:pPr>
          </w:p>
        </w:tc>
        <w:tc>
          <w:tcPr>
            <w:tcW w:w="18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220" w:type="dxa"/>
            <w:vAlign w:val="bottom"/>
            <w:tcBorders>
              <w:lef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20" w:type="dxa"/>
            <w:vAlign w:val="bottom"/>
            <w:tcBorders>
              <w:right w:val="single" w:sz="8" w:color="C0C0C0"/>
            </w:tcBorders>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r>
      <w:tr>
        <w:trPr>
          <w:trHeight w:val="210"/>
        </w:trPr>
        <w:tc>
          <w:tcPr>
            <w:tcW w:w="7180" w:type="dxa"/>
            <w:vAlign w:val="bottom"/>
            <w:gridSpan w:val="2"/>
            <w:shd w:val="clear" w:color="auto" w:fill="C0C0C0"/>
          </w:tcPr>
          <w:p>
            <w:pPr>
              <w:ind w:left="440"/>
              <w:spacing w:after="0"/>
              <w:rPr>
                <w:sz w:val="20"/>
                <w:szCs w:val="20"/>
                <w:color w:val="auto"/>
              </w:rPr>
            </w:pPr>
            <w:r>
              <w:rPr>
                <w:rFonts w:ascii="Arial" w:cs="Arial" w:eastAsia="Arial" w:hAnsi="Arial"/>
                <w:sz w:val="14"/>
                <w:szCs w:val="14"/>
                <w:color w:val="auto"/>
              </w:rPr>
              <w:t>collateralized mortgage obligations</w:t>
            </w:r>
          </w:p>
        </w:tc>
        <w:tc>
          <w:tcPr>
            <w:tcW w:w="40" w:type="dxa"/>
            <w:vAlign w:val="bottom"/>
            <w:shd w:val="clear" w:color="auto" w:fill="C0C0C0"/>
          </w:tcPr>
          <w:p>
            <w:pPr>
              <w:spacing w:after="0"/>
              <w:rPr>
                <w:sz w:val="18"/>
                <w:szCs w:val="18"/>
                <w:color w:val="auto"/>
              </w:rPr>
            </w:pPr>
          </w:p>
        </w:tc>
        <w:tc>
          <w:tcPr>
            <w:tcW w:w="18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1,322</w:t>
            </w:r>
          </w:p>
        </w:tc>
        <w:tc>
          <w:tcPr>
            <w:tcW w:w="220" w:type="dxa"/>
            <w:vAlign w:val="bottom"/>
            <w:tcBorders>
              <w:lef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220" w:type="dxa"/>
            <w:vAlign w:val="bottom"/>
            <w:tcBorders>
              <w:right w:val="single" w:sz="8" w:color="C0C0C0"/>
            </w:tcBorders>
            <w:shd w:val="clear" w:color="auto" w:fill="C0C0C0"/>
          </w:tcPr>
          <w:p>
            <w:pPr>
              <w:spacing w:after="0"/>
              <w:rPr>
                <w:sz w:val="18"/>
                <w:szCs w:val="18"/>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1,322</w:t>
            </w:r>
          </w:p>
        </w:tc>
        <w:tc>
          <w:tcPr>
            <w:tcW w:w="22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r>
      <w:tr>
        <w:trPr>
          <w:trHeight w:val="191"/>
        </w:trPr>
        <w:tc>
          <w:tcPr>
            <w:tcW w:w="7180" w:type="dxa"/>
            <w:vAlign w:val="bottom"/>
            <w:gridSpan w:val="2"/>
          </w:tcPr>
          <w:p>
            <w:pPr>
              <w:ind w:left="220"/>
              <w:spacing w:after="0"/>
              <w:rPr>
                <w:sz w:val="20"/>
                <w:szCs w:val="20"/>
                <w:color w:val="auto"/>
              </w:rPr>
            </w:pPr>
            <w:r>
              <w:rPr>
                <w:rFonts w:ascii="Arial" w:cs="Arial" w:eastAsia="Arial" w:hAnsi="Arial"/>
                <w:sz w:val="14"/>
                <w:szCs w:val="14"/>
                <w:color w:val="auto"/>
              </w:rPr>
              <w:t>Municipal bonds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16,053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16,053</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718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Mortgage-backed securities</w:t>
            </w:r>
          </w:p>
        </w:tc>
        <w:tc>
          <w:tcPr>
            <w:tcW w:w="40" w:type="dxa"/>
            <w:vAlign w:val="bottom"/>
            <w:shd w:val="clear" w:color="auto" w:fill="C0C0C0"/>
          </w:tcPr>
          <w:p>
            <w:pPr>
              <w:spacing w:after="0"/>
              <w:rPr>
                <w:sz w:val="17"/>
                <w:szCs w:val="17"/>
                <w:color w:val="auto"/>
              </w:rPr>
            </w:pPr>
          </w:p>
        </w:tc>
        <w:tc>
          <w:tcPr>
            <w:tcW w:w="18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Borders>
              <w:lef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right w:val="single" w:sz="8" w:color="C0C0C0"/>
            </w:tcBorders>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207</w:t>
            </w:r>
          </w:p>
        </w:tc>
        <w:tc>
          <w:tcPr>
            <w:tcW w:w="22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1"/>
        </w:trPr>
        <w:tc>
          <w:tcPr>
            <w:tcW w:w="7180" w:type="dxa"/>
            <w:vAlign w:val="bottom"/>
            <w:gridSpan w:val="2"/>
          </w:tcPr>
          <w:p>
            <w:pPr>
              <w:ind w:left="2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4,320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4,320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
        </w:trPr>
        <w:tc>
          <w:tcPr>
            <w:tcW w:w="700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180" w:type="dxa"/>
            <w:vAlign w:val="bottom"/>
            <w:tcBorders>
              <w:righ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20" w:type="dxa"/>
            <w:vAlign w:val="bottom"/>
            <w:tcBorders>
              <w:right w:val="single" w:sz="8" w:color="auto"/>
            </w:tcBorders>
            <w:shd w:val="clear" w:color="auto" w:fill="C0C0C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840" w:type="dxa"/>
            <w:vAlign w:val="bottom"/>
            <w:shd w:val="clear" w:color="auto" w:fill="C0C0C0"/>
          </w:tcPr>
          <w:p>
            <w:pPr>
              <w:spacing w:after="0" w:line="20" w:lineRule="exact"/>
              <w:rPr>
                <w:sz w:val="1"/>
                <w:szCs w:val="1"/>
                <w:color w:val="auto"/>
              </w:rPr>
            </w:pPr>
          </w:p>
        </w:tc>
      </w:tr>
      <w:tr>
        <w:trPr>
          <w:trHeight w:val="188"/>
        </w:trPr>
        <w:tc>
          <w:tcPr>
            <w:tcW w:w="70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18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306,627</w:t>
            </w:r>
          </w:p>
        </w:tc>
        <w:tc>
          <w:tcPr>
            <w:tcW w:w="220" w:type="dxa"/>
            <w:vAlign w:val="bottom"/>
            <w:tcBorders>
              <w:lef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4,320</w:t>
            </w:r>
          </w:p>
        </w:tc>
        <w:tc>
          <w:tcPr>
            <w:tcW w:w="80" w:type="dxa"/>
            <w:vAlign w:val="bottom"/>
            <w:shd w:val="clear" w:color="auto" w:fill="C0C0C0"/>
          </w:tcPr>
          <w:p>
            <w:pPr>
              <w:spacing w:after="0"/>
              <w:rPr>
                <w:sz w:val="16"/>
                <w:szCs w:val="16"/>
                <w:color w:val="auto"/>
              </w:rPr>
            </w:pPr>
          </w:p>
        </w:tc>
        <w:tc>
          <w:tcPr>
            <w:tcW w:w="220" w:type="dxa"/>
            <w:vAlign w:val="bottom"/>
            <w:tcBorders>
              <w:right w:val="single" w:sz="8" w:color="C0C0C0"/>
            </w:tcBorders>
            <w:shd w:val="clear" w:color="auto" w:fill="C0C0C0"/>
          </w:tcPr>
          <w:p>
            <w:pPr>
              <w:spacing w:after="0"/>
              <w:rPr>
                <w:sz w:val="16"/>
                <w:szCs w:val="16"/>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302,307</w:t>
            </w:r>
          </w:p>
        </w:tc>
        <w:tc>
          <w:tcPr>
            <w:tcW w:w="2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718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40" w:type="dxa"/>
            <w:vAlign w:val="bottom"/>
            <w:shd w:val="clear" w:color="auto" w:fill="C0C0C0"/>
          </w:tcPr>
          <w:p>
            <w:pPr>
              <w:spacing w:after="0"/>
              <w:rPr>
                <w:sz w:val="17"/>
                <w:szCs w:val="17"/>
                <w:color w:val="auto"/>
              </w:rPr>
            </w:pPr>
          </w:p>
        </w:tc>
        <w:tc>
          <w:tcPr>
            <w:tcW w:w="18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right w:val="single" w:sz="8" w:color="C0C0C0"/>
            </w:tcBorders>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1"/>
        </w:trPr>
        <w:tc>
          <w:tcPr>
            <w:tcW w:w="7180" w:type="dxa"/>
            <w:vAlign w:val="bottom"/>
            <w:gridSpan w:val="2"/>
          </w:tcPr>
          <w:p>
            <w:pPr>
              <w:spacing w:after="0"/>
              <w:rPr>
                <w:sz w:val="20"/>
                <w:szCs w:val="20"/>
                <w:color w:val="auto"/>
              </w:rPr>
            </w:pPr>
            <w:r>
              <w:rPr>
                <w:rFonts w:ascii="Arial" w:cs="Arial" w:eastAsia="Arial" w:hAnsi="Arial"/>
                <w:sz w:val="14"/>
                <w:szCs w:val="14"/>
                <w:color w:val="auto"/>
              </w:rPr>
              <w:t>Available-for-sale marketable securities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8"/>
        </w:trPr>
        <w:tc>
          <w:tcPr>
            <w:tcW w:w="718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U.S. government obligations</w:t>
            </w:r>
          </w:p>
        </w:tc>
        <w:tc>
          <w:tcPr>
            <w:tcW w:w="40" w:type="dxa"/>
            <w:vAlign w:val="bottom"/>
            <w:shd w:val="clear" w:color="auto" w:fill="C0C0C0"/>
          </w:tcPr>
          <w:p>
            <w:pPr>
              <w:spacing w:after="0"/>
              <w:rPr>
                <w:sz w:val="18"/>
                <w:szCs w:val="18"/>
                <w:color w:val="auto"/>
              </w:rPr>
            </w:pPr>
          </w:p>
        </w:tc>
        <w:tc>
          <w:tcPr>
            <w:tcW w:w="18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8,071</w:t>
            </w:r>
          </w:p>
        </w:tc>
        <w:tc>
          <w:tcPr>
            <w:tcW w:w="220" w:type="dxa"/>
            <w:vAlign w:val="bottom"/>
            <w:tcBorders>
              <w:lef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220" w:type="dxa"/>
            <w:vAlign w:val="bottom"/>
            <w:tcBorders>
              <w:right w:val="single" w:sz="8" w:color="C0C0C0"/>
            </w:tcBorders>
            <w:shd w:val="clear" w:color="auto" w:fill="C0C0C0"/>
          </w:tcPr>
          <w:p>
            <w:pPr>
              <w:spacing w:after="0"/>
              <w:rPr>
                <w:sz w:val="18"/>
                <w:szCs w:val="18"/>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8,071</w:t>
            </w:r>
          </w:p>
        </w:tc>
        <w:tc>
          <w:tcPr>
            <w:tcW w:w="22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8"/>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314,698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4,320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310,378</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8"/>
        </w:trPr>
        <w:tc>
          <w:tcPr>
            <w:tcW w:w="7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88"/>
        </w:trPr>
        <w:tc>
          <w:tcPr>
            <w:tcW w:w="7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w w:val="95"/>
              </w:rPr>
              <w:t>Fair Value Measurements at Reporting Date Using</w:t>
            </w:r>
          </w:p>
        </w:tc>
      </w:tr>
      <w:tr>
        <w:trPr>
          <w:trHeight w:val="182"/>
        </w:trPr>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Quoted Prices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29"/>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r>
      <w:tr>
        <w:trPr>
          <w:trHeight w:val="197"/>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Markets for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3"/>
              </w:rPr>
              <w:t>Observable</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r>
      <w:tr>
        <w:trPr>
          <w:trHeight w:val="197"/>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right="129"/>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r>
      <w:tr>
        <w:trPr>
          <w:trHeight w:val="215"/>
        </w:trPr>
        <w:tc>
          <w:tcPr>
            <w:tcW w:w="7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 December 31, 2010</w:t>
            </w:r>
          </w:p>
        </w:tc>
        <w:tc>
          <w:tcPr>
            <w:tcW w:w="180" w:type="dxa"/>
            <w:vAlign w:val="bottom"/>
            <w:tcBorders>
              <w:bottom w:val="single" w:sz="8" w:color="C0C0C0"/>
            </w:tcBorders>
          </w:tcPr>
          <w:p>
            <w:pPr>
              <w:spacing w:after="0"/>
              <w:rPr>
                <w:sz w:val="18"/>
                <w:szCs w:val="18"/>
                <w:color w:val="auto"/>
              </w:rPr>
            </w:pPr>
          </w:p>
        </w:tc>
        <w:tc>
          <w:tcPr>
            <w:tcW w:w="40" w:type="dxa"/>
            <w:vAlign w:val="bottom"/>
            <w:tcBorders>
              <w:bottom w:val="single" w:sz="8" w:color="C0C0C0"/>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bottom w:val="single" w:sz="8" w:color="C0C0C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10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0C0C0"/>
            </w:tcBorders>
          </w:tcPr>
          <w:p>
            <w:pPr>
              <w:spacing w:after="0"/>
              <w:rPr>
                <w:sz w:val="18"/>
                <w:szCs w:val="18"/>
                <w:color w:val="auto"/>
              </w:rPr>
            </w:pPr>
          </w:p>
        </w:tc>
        <w:tc>
          <w:tcPr>
            <w:tcW w:w="80" w:type="dxa"/>
            <w:vAlign w:val="bottom"/>
            <w:tcBorders>
              <w:bottom w:val="single" w:sz="8" w:color="C0C0C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Borders>
              <w:bottom w:val="single" w:sz="8" w:color="C0C0C0"/>
            </w:tcBorders>
          </w:tcPr>
          <w:p>
            <w:pPr>
              <w:spacing w:after="0"/>
              <w:rPr>
                <w:sz w:val="18"/>
                <w:szCs w:val="18"/>
                <w:color w:val="auto"/>
              </w:rPr>
            </w:pPr>
          </w:p>
        </w:tc>
        <w:tc>
          <w:tcPr>
            <w:tcW w:w="40" w:type="dxa"/>
            <w:vAlign w:val="bottom"/>
            <w:tcBorders>
              <w:bottom w:val="single" w:sz="8" w:color="C0C0C0"/>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r>
      <w:tr>
        <w:trPr>
          <w:trHeight w:val="195"/>
        </w:trPr>
        <w:tc>
          <w:tcPr>
            <w:tcW w:w="718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40" w:type="dxa"/>
            <w:vAlign w:val="bottom"/>
            <w:shd w:val="clear" w:color="auto" w:fill="C0C0C0"/>
          </w:tcPr>
          <w:p>
            <w:pPr>
              <w:spacing w:after="0"/>
              <w:rPr>
                <w:sz w:val="16"/>
                <w:szCs w:val="16"/>
                <w:color w:val="auto"/>
              </w:rPr>
            </w:pPr>
          </w:p>
        </w:tc>
        <w:tc>
          <w:tcPr>
            <w:tcW w:w="18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220" w:type="dxa"/>
            <w:vAlign w:val="bottom"/>
            <w:tcBorders>
              <w:lef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20" w:type="dxa"/>
            <w:vAlign w:val="bottom"/>
            <w:tcBorders>
              <w:right w:val="single" w:sz="8" w:color="C0C0C0"/>
            </w:tcBorders>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r>
      <w:tr>
        <w:trPr>
          <w:trHeight w:val="191"/>
        </w:trPr>
        <w:tc>
          <w:tcPr>
            <w:tcW w:w="7180" w:type="dxa"/>
            <w:vAlign w:val="bottom"/>
            <w:gridSpan w:val="2"/>
          </w:tcPr>
          <w:p>
            <w:pPr>
              <w:spacing w:after="0"/>
              <w:rPr>
                <w:sz w:val="20"/>
                <w:szCs w:val="20"/>
                <w:color w:val="auto"/>
              </w:rPr>
            </w:pPr>
            <w:r>
              <w:rPr>
                <w:rFonts w:ascii="Arial" w:cs="Arial" w:eastAsia="Arial" w:hAnsi="Arial"/>
                <w:sz w:val="14"/>
                <w:szCs w:val="14"/>
                <w:color w:val="auto"/>
              </w:rPr>
              <w:t>Available-for-sale marketable securities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718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220" w:type="dxa"/>
            <w:vAlign w:val="bottom"/>
            <w:tcBorders>
              <w:right w:val="single" w:sz="8" w:color="C0C0C0"/>
            </w:tcBorders>
            <w:gridSpan w:val="2"/>
            <w:shd w:val="clear" w:color="auto" w:fill="C0C0C0"/>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0C0C0"/>
          </w:tcPr>
          <w:p>
            <w:pPr>
              <w:jc w:val="right"/>
              <w:ind w:right="160"/>
              <w:spacing w:after="0"/>
              <w:rPr>
                <w:sz w:val="20"/>
                <w:szCs w:val="20"/>
                <w:color w:val="auto"/>
              </w:rPr>
            </w:pPr>
            <w:r>
              <w:rPr>
                <w:rFonts w:ascii="Arial" w:cs="Arial" w:eastAsia="Arial" w:hAnsi="Arial"/>
                <w:sz w:val="14"/>
                <w:szCs w:val="14"/>
                <w:color w:val="auto"/>
                <w:w w:val="98"/>
              </w:rPr>
              <w:t>434,367</w:t>
            </w:r>
          </w:p>
        </w:tc>
        <w:tc>
          <w:tcPr>
            <w:tcW w:w="220" w:type="dxa"/>
            <w:vAlign w:val="bottom"/>
            <w:tcBorders>
              <w:lef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00" w:type="dxa"/>
            <w:vAlign w:val="bottom"/>
            <w:tcBorders>
              <w:right w:val="single" w:sz="8" w:color="C0C0C0"/>
            </w:tcBorders>
            <w:gridSpan w:val="2"/>
            <w:shd w:val="clear" w:color="auto" w:fill="C0C0C0"/>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434,367</w:t>
            </w:r>
          </w:p>
        </w:tc>
        <w:tc>
          <w:tcPr>
            <w:tcW w:w="22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1"/>
        </w:trPr>
        <w:tc>
          <w:tcPr>
            <w:tcW w:w="7180" w:type="dxa"/>
            <w:vAlign w:val="bottom"/>
            <w:gridSpan w:val="2"/>
          </w:tcPr>
          <w:p>
            <w:pPr>
              <w:ind w:left="260"/>
              <w:spacing w:after="0"/>
              <w:rPr>
                <w:sz w:val="20"/>
                <w:szCs w:val="20"/>
                <w:color w:val="auto"/>
              </w:rPr>
            </w:pPr>
            <w:r>
              <w:rPr>
                <w:rFonts w:ascii="Arial" w:cs="Arial" w:eastAsia="Arial" w:hAnsi="Arial"/>
                <w:sz w:val="14"/>
                <w:szCs w:val="14"/>
                <w:color w:val="auto"/>
              </w:rPr>
              <w:t>U.S. government guaranteed corporate bonds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64,008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64,008</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70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U.S. government guaranteed</w:t>
            </w:r>
          </w:p>
        </w:tc>
        <w:tc>
          <w:tcPr>
            <w:tcW w:w="18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180" w:type="dxa"/>
            <w:vAlign w:val="bottom"/>
            <w:tcBorders>
              <w:righ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220" w:type="dxa"/>
            <w:vAlign w:val="bottom"/>
            <w:tcBorders>
              <w:lef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20" w:type="dxa"/>
            <w:vAlign w:val="bottom"/>
            <w:tcBorders>
              <w:right w:val="single" w:sz="8" w:color="C0C0C0"/>
            </w:tcBorders>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r>
      <w:tr>
        <w:trPr>
          <w:trHeight w:val="210"/>
        </w:trPr>
        <w:tc>
          <w:tcPr>
            <w:tcW w:w="7000" w:type="dxa"/>
            <w:vAlign w:val="bottom"/>
            <w:shd w:val="clear" w:color="auto" w:fill="C0C0C0"/>
          </w:tcPr>
          <w:p>
            <w:pPr>
              <w:ind w:left="500"/>
              <w:spacing w:after="0"/>
              <w:rPr>
                <w:sz w:val="20"/>
                <w:szCs w:val="20"/>
                <w:color w:val="auto"/>
              </w:rPr>
            </w:pPr>
            <w:r>
              <w:rPr>
                <w:rFonts w:ascii="Arial" w:cs="Arial" w:eastAsia="Arial" w:hAnsi="Arial"/>
                <w:sz w:val="14"/>
                <w:szCs w:val="14"/>
                <w:color w:val="auto"/>
              </w:rPr>
              <w:t>collateralized mortgage obligations</w:t>
            </w:r>
          </w:p>
        </w:tc>
        <w:tc>
          <w:tcPr>
            <w:tcW w:w="18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180" w:type="dxa"/>
            <w:vAlign w:val="bottom"/>
            <w:tcBorders>
              <w:righ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8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2,131</w:t>
            </w:r>
          </w:p>
        </w:tc>
        <w:tc>
          <w:tcPr>
            <w:tcW w:w="220" w:type="dxa"/>
            <w:vAlign w:val="bottom"/>
            <w:tcBorders>
              <w:left w:val="single" w:sz="8" w:color="C0C0C0"/>
            </w:tcBorders>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220" w:type="dxa"/>
            <w:vAlign w:val="bottom"/>
            <w:tcBorders>
              <w:right w:val="single" w:sz="8" w:color="C0C0C0"/>
            </w:tcBorders>
            <w:shd w:val="clear" w:color="auto" w:fill="C0C0C0"/>
          </w:tcPr>
          <w:p>
            <w:pPr>
              <w:spacing w:after="0"/>
              <w:rPr>
                <w:sz w:val="18"/>
                <w:szCs w:val="18"/>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2,131</w:t>
            </w:r>
          </w:p>
        </w:tc>
        <w:tc>
          <w:tcPr>
            <w:tcW w:w="22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r>
      <w:tr>
        <w:trPr>
          <w:trHeight w:val="191"/>
        </w:trPr>
        <w:tc>
          <w:tcPr>
            <w:tcW w:w="7180" w:type="dxa"/>
            <w:vAlign w:val="bottom"/>
            <w:gridSpan w:val="2"/>
          </w:tcPr>
          <w:p>
            <w:pPr>
              <w:ind w:left="260"/>
              <w:spacing w:after="0"/>
              <w:rPr>
                <w:sz w:val="20"/>
                <w:szCs w:val="20"/>
                <w:color w:val="auto"/>
              </w:rPr>
            </w:pPr>
            <w:r>
              <w:rPr>
                <w:rFonts w:ascii="Arial" w:cs="Arial" w:eastAsia="Arial" w:hAnsi="Arial"/>
                <w:sz w:val="14"/>
                <w:szCs w:val="14"/>
                <w:color w:val="auto"/>
              </w:rPr>
              <w:t>Municipal bonds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1,603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1,603</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718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Mortgage-backed securities</w:t>
            </w:r>
          </w:p>
        </w:tc>
        <w:tc>
          <w:tcPr>
            <w:tcW w:w="40" w:type="dxa"/>
            <w:vAlign w:val="bottom"/>
            <w:shd w:val="clear" w:color="auto" w:fill="C0C0C0"/>
          </w:tcPr>
          <w:p>
            <w:pPr>
              <w:spacing w:after="0"/>
              <w:rPr>
                <w:sz w:val="17"/>
                <w:szCs w:val="17"/>
                <w:color w:val="auto"/>
              </w:rPr>
            </w:pPr>
          </w:p>
        </w:tc>
        <w:tc>
          <w:tcPr>
            <w:tcW w:w="18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8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1,128</w:t>
            </w:r>
          </w:p>
        </w:tc>
        <w:tc>
          <w:tcPr>
            <w:tcW w:w="220" w:type="dxa"/>
            <w:vAlign w:val="bottom"/>
            <w:tcBorders>
              <w:lef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right w:val="single" w:sz="8" w:color="C0C0C0"/>
            </w:tcBorders>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1,128</w:t>
            </w:r>
          </w:p>
        </w:tc>
        <w:tc>
          <w:tcPr>
            <w:tcW w:w="22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1"/>
        </w:trPr>
        <w:tc>
          <w:tcPr>
            <w:tcW w:w="718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Equity securities</w:t>
            </w:r>
          </w:p>
        </w:tc>
        <w:tc>
          <w:tcPr>
            <w:tcW w:w="4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3,612</w:t>
            </w:r>
          </w:p>
        </w:tc>
        <w:tc>
          <w:tcPr>
            <w:tcW w:w="160" w:type="dxa"/>
            <w:vAlign w:val="bottom"/>
            <w:tcBorders>
              <w:bottom w:val="single" w:sz="8" w:color="C0C0C0"/>
            </w:tcBorders>
          </w:tcPr>
          <w:p>
            <w:pPr>
              <w:spacing w:after="0"/>
              <w:rPr>
                <w:sz w:val="16"/>
                <w:szCs w:val="16"/>
                <w:color w:val="auto"/>
              </w:rPr>
            </w:pP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3,612</w:t>
            </w:r>
          </w:p>
        </w:tc>
        <w:tc>
          <w:tcPr>
            <w:tcW w:w="160" w:type="dxa"/>
            <w:vAlign w:val="bottom"/>
            <w:tcBorders>
              <w:bottom w:val="single" w:sz="8" w:color="C0C0C0"/>
            </w:tcBorders>
          </w:tcPr>
          <w:p>
            <w:pPr>
              <w:spacing w:after="0"/>
              <w:rPr>
                <w:sz w:val="16"/>
                <w:szCs w:val="16"/>
                <w:color w:val="auto"/>
              </w:rPr>
            </w:pPr>
          </w:p>
        </w:tc>
        <w:tc>
          <w:tcPr>
            <w:tcW w:w="80" w:type="dxa"/>
            <w:vAlign w:val="bottom"/>
            <w:tcBorders>
              <w:bottom w:val="single" w:sz="8" w:color="C0C0C0"/>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40" w:type="dxa"/>
            <w:vAlign w:val="bottom"/>
            <w:tcBorders>
              <w:bottom w:val="single" w:sz="8" w:color="C0C0C0"/>
            </w:tcBorders>
          </w:tcPr>
          <w:p>
            <w:pPr>
              <w:spacing w:after="0"/>
              <w:rPr>
                <w:sz w:val="16"/>
                <w:szCs w:val="16"/>
                <w:color w:val="auto"/>
              </w:rPr>
            </w:pPr>
          </w:p>
        </w:tc>
        <w:tc>
          <w:tcPr>
            <w:tcW w:w="840" w:type="dxa"/>
            <w:vAlign w:val="bottom"/>
            <w:tcBorders>
              <w:bottom w:val="single" w:sz="8" w:color="C0C0C0"/>
            </w:tcBorders>
          </w:tcPr>
          <w:p>
            <w:pPr>
              <w:spacing w:after="0"/>
              <w:rPr>
                <w:sz w:val="16"/>
                <w:szCs w:val="16"/>
                <w:color w:val="auto"/>
              </w:rPr>
            </w:pPr>
          </w:p>
        </w:tc>
      </w:tr>
      <w:tr>
        <w:trPr>
          <w:trHeight w:val="188"/>
        </w:trPr>
        <w:tc>
          <w:tcPr>
            <w:tcW w:w="700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180" w:type="dxa"/>
            <w:vAlign w:val="bottom"/>
            <w:tcBorders>
              <w:right w:val="single" w:sz="8" w:color="C0C0C0"/>
            </w:tcBorders>
            <w:shd w:val="clear" w:color="auto" w:fill="C0C0C0"/>
          </w:tcPr>
          <w:p>
            <w:pPr>
              <w:spacing w:after="0"/>
              <w:rPr>
                <w:sz w:val="16"/>
                <w:szCs w:val="16"/>
                <w:color w:val="auto"/>
              </w:rPr>
            </w:pPr>
          </w:p>
        </w:tc>
        <w:tc>
          <w:tcPr>
            <w:tcW w:w="680" w:type="dxa"/>
            <w:vAlign w:val="bottom"/>
            <w:gridSpan w:val="3"/>
            <w:shd w:val="clear" w:color="auto" w:fill="C0C0C0"/>
          </w:tcPr>
          <w:p>
            <w:pPr>
              <w:jc w:val="right"/>
              <w:ind w:right="160"/>
              <w:spacing w:after="0"/>
              <w:rPr>
                <w:sz w:val="20"/>
                <w:szCs w:val="20"/>
                <w:color w:val="auto"/>
              </w:rPr>
            </w:pPr>
            <w:r>
              <w:rPr>
                <w:rFonts w:ascii="Arial" w:cs="Arial" w:eastAsia="Arial" w:hAnsi="Arial"/>
                <w:sz w:val="14"/>
                <w:szCs w:val="14"/>
                <w:color w:val="auto"/>
                <w:w w:val="98"/>
              </w:rPr>
              <w:t>506,849</w:t>
            </w:r>
          </w:p>
        </w:tc>
        <w:tc>
          <w:tcPr>
            <w:tcW w:w="220" w:type="dxa"/>
            <w:vAlign w:val="bottom"/>
            <w:tcBorders>
              <w:left w:val="single" w:sz="8" w:color="C0C0C0"/>
            </w:tcBorders>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6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3,612</w:t>
            </w:r>
          </w:p>
        </w:tc>
        <w:tc>
          <w:tcPr>
            <w:tcW w:w="80" w:type="dxa"/>
            <w:vAlign w:val="bottom"/>
            <w:shd w:val="clear" w:color="auto" w:fill="C0C0C0"/>
          </w:tcPr>
          <w:p>
            <w:pPr>
              <w:spacing w:after="0"/>
              <w:rPr>
                <w:sz w:val="16"/>
                <w:szCs w:val="16"/>
                <w:color w:val="auto"/>
              </w:rPr>
            </w:pPr>
          </w:p>
        </w:tc>
        <w:tc>
          <w:tcPr>
            <w:tcW w:w="220" w:type="dxa"/>
            <w:vAlign w:val="bottom"/>
            <w:tcBorders>
              <w:right w:val="single" w:sz="8" w:color="C0C0C0"/>
            </w:tcBorders>
            <w:shd w:val="clear" w:color="auto" w:fill="C0C0C0"/>
          </w:tcPr>
          <w:p>
            <w:pPr>
              <w:spacing w:after="0"/>
              <w:rPr>
                <w:sz w:val="16"/>
                <w:szCs w:val="16"/>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503,237</w:t>
            </w:r>
          </w:p>
        </w:tc>
        <w:tc>
          <w:tcPr>
            <w:tcW w:w="220" w:type="dxa"/>
            <w:vAlign w:val="bottom"/>
            <w:shd w:val="clear" w:color="auto" w:fill="C0C0C0"/>
          </w:tcPr>
          <w:p>
            <w:pPr>
              <w:spacing w:after="0"/>
              <w:rPr>
                <w:sz w:val="16"/>
                <w:szCs w:val="16"/>
                <w:color w:val="auto"/>
              </w:rPr>
            </w:pPr>
          </w:p>
        </w:tc>
        <w:tc>
          <w:tcPr>
            <w:tcW w:w="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718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40" w:type="dxa"/>
            <w:vAlign w:val="bottom"/>
            <w:shd w:val="clear" w:color="auto" w:fill="C0C0C0"/>
          </w:tcPr>
          <w:p>
            <w:pPr>
              <w:spacing w:after="0"/>
              <w:rPr>
                <w:sz w:val="17"/>
                <w:szCs w:val="17"/>
                <w:color w:val="auto"/>
              </w:rPr>
            </w:pPr>
          </w:p>
        </w:tc>
        <w:tc>
          <w:tcPr>
            <w:tcW w:w="18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20" w:type="dxa"/>
            <w:vAlign w:val="bottom"/>
            <w:tcBorders>
              <w:lef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right w:val="single" w:sz="8" w:color="C0C0C0"/>
            </w:tcBorders>
            <w:shd w:val="clear" w:color="auto" w:fill="C0C0C0"/>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1"/>
        </w:trPr>
        <w:tc>
          <w:tcPr>
            <w:tcW w:w="7180" w:type="dxa"/>
            <w:vAlign w:val="bottom"/>
            <w:gridSpan w:val="2"/>
          </w:tcPr>
          <w:p>
            <w:pPr>
              <w:spacing w:after="0"/>
              <w:rPr>
                <w:sz w:val="20"/>
                <w:szCs w:val="20"/>
                <w:color w:val="auto"/>
              </w:rPr>
            </w:pPr>
            <w:r>
              <w:rPr>
                <w:rFonts w:ascii="Arial" w:cs="Arial" w:eastAsia="Arial" w:hAnsi="Arial"/>
                <w:sz w:val="14"/>
                <w:szCs w:val="14"/>
                <w:color w:val="auto"/>
              </w:rPr>
              <w:t>Available-for-sale marketable securities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718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U.S. government obligations</w:t>
            </w:r>
          </w:p>
        </w:tc>
        <w:tc>
          <w:tcPr>
            <w:tcW w:w="40" w:type="dxa"/>
            <w:vAlign w:val="bottom"/>
            <w:shd w:val="clear" w:color="auto" w:fill="C0C0C0"/>
          </w:tcPr>
          <w:p>
            <w:pPr>
              <w:spacing w:after="0"/>
              <w:rPr>
                <w:sz w:val="17"/>
                <w:szCs w:val="17"/>
                <w:color w:val="auto"/>
              </w:rPr>
            </w:pPr>
          </w:p>
        </w:tc>
        <w:tc>
          <w:tcPr>
            <w:tcW w:w="180" w:type="dxa"/>
            <w:vAlign w:val="bottom"/>
            <w:tcBorders>
              <w:righ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80" w:type="dxa"/>
            <w:vAlign w:val="bottom"/>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7,039</w:t>
            </w:r>
          </w:p>
        </w:tc>
        <w:tc>
          <w:tcPr>
            <w:tcW w:w="220" w:type="dxa"/>
            <w:vAlign w:val="bottom"/>
            <w:tcBorders>
              <w:left w:val="single" w:sz="8" w:color="C0C0C0"/>
            </w:tcBorders>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20" w:type="dxa"/>
            <w:vAlign w:val="bottom"/>
            <w:tcBorders>
              <w:right w:val="single" w:sz="8" w:color="C0C0C0"/>
            </w:tcBorders>
            <w:shd w:val="clear" w:color="auto" w:fill="C0C0C0"/>
          </w:tcPr>
          <w:p>
            <w:pPr>
              <w:spacing w:after="0"/>
              <w:rPr>
                <w:sz w:val="17"/>
                <w:szCs w:val="17"/>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7,039</w:t>
            </w:r>
          </w:p>
        </w:tc>
        <w:tc>
          <w:tcPr>
            <w:tcW w:w="22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r>
      <w:tr>
        <w:trPr>
          <w:trHeight w:val="195"/>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700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spacing w:after="0"/>
              <w:rPr>
                <w:sz w:val="17"/>
                <w:szCs w:val="17"/>
                <w:color w:val="auto"/>
              </w:rPr>
            </w:pPr>
          </w:p>
        </w:tc>
        <w:tc>
          <w:tcPr>
            <w:tcW w:w="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auto"/>
              <w:right w:val="single" w:sz="8" w:color="C0C0C0"/>
            </w:tcBorders>
            <w:shd w:val="clear" w:color="auto" w:fill="C0C0C0"/>
          </w:tcPr>
          <w:p>
            <w:pPr>
              <w:jc w:val="right"/>
              <w:ind w:right="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4"/>
                <w:szCs w:val="14"/>
                <w:color w:val="auto"/>
                <w:w w:val="98"/>
              </w:rPr>
              <w:t>513,888</w:t>
            </w:r>
          </w:p>
        </w:tc>
        <w:tc>
          <w:tcPr>
            <w:tcW w:w="160" w:type="dxa"/>
            <w:vAlign w:val="bottom"/>
            <w:tcBorders>
              <w:bottom w:val="single" w:sz="8" w:color="C0C0C0"/>
            </w:tcBorders>
            <w:shd w:val="clear" w:color="auto" w:fill="C0C0C0"/>
          </w:tcPr>
          <w:p>
            <w:pPr>
              <w:spacing w:after="0"/>
              <w:rPr>
                <w:sz w:val="17"/>
                <w:szCs w:val="17"/>
                <w:color w:val="auto"/>
              </w:rPr>
            </w:pPr>
          </w:p>
        </w:tc>
        <w:tc>
          <w:tcPr>
            <w:tcW w:w="220" w:type="dxa"/>
            <w:vAlign w:val="bottom"/>
            <w:tcBorders>
              <w:left w:val="single" w:sz="8" w:color="C0C0C0"/>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0C0C0"/>
          </w:tcPr>
          <w:p>
            <w:pPr>
              <w:spacing w:after="0"/>
              <w:rPr>
                <w:sz w:val="17"/>
                <w:szCs w:val="17"/>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3,612</w:t>
            </w:r>
          </w:p>
        </w:tc>
        <w:tc>
          <w:tcPr>
            <w:tcW w:w="16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spacing w:after="0"/>
              <w:rPr>
                <w:sz w:val="17"/>
                <w:szCs w:val="17"/>
                <w:color w:val="auto"/>
              </w:rPr>
            </w:pPr>
          </w:p>
        </w:tc>
        <w:tc>
          <w:tcPr>
            <w:tcW w:w="220" w:type="dxa"/>
            <w:vAlign w:val="bottom"/>
            <w:tcBorders>
              <w:bottom w:val="single" w:sz="8" w:color="auto"/>
              <w:right w:val="single" w:sz="8" w:color="C0C0C0"/>
            </w:tcBorders>
            <w:shd w:val="clear" w:color="auto" w:fill="C0C0C0"/>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510,276</w:t>
            </w:r>
          </w:p>
        </w:tc>
        <w:tc>
          <w:tcPr>
            <w:tcW w:w="220" w:type="dxa"/>
            <w:vAlign w:val="bottom"/>
            <w:tcBorders>
              <w:bottom w:val="single" w:sz="8" w:color="C0C0C0"/>
            </w:tcBorders>
            <w:shd w:val="clear" w:color="auto" w:fill="C0C0C0"/>
          </w:tcPr>
          <w:p>
            <w:pPr>
              <w:spacing w:after="0"/>
              <w:rPr>
                <w:sz w:val="17"/>
                <w:szCs w:val="17"/>
                <w:color w:val="auto"/>
              </w:rPr>
            </w:pPr>
          </w:p>
        </w:tc>
        <w:tc>
          <w:tcPr>
            <w:tcW w:w="40" w:type="dxa"/>
            <w:vAlign w:val="bottom"/>
            <w:tcBorders>
              <w:bottom w:val="single" w:sz="8" w:color="C0C0C0"/>
            </w:tcBorders>
            <w:shd w:val="clear" w:color="auto" w:fill="C0C0C0"/>
          </w:tcPr>
          <w:p>
            <w:pPr>
              <w:spacing w:after="0"/>
              <w:rPr>
                <w:sz w:val="17"/>
                <w:szCs w:val="17"/>
                <w:color w:val="auto"/>
              </w:rPr>
            </w:pPr>
          </w:p>
        </w:tc>
        <w:tc>
          <w:tcPr>
            <w:tcW w:w="840" w:type="dxa"/>
            <w:vAlign w:val="bottom"/>
            <w:tcBorders>
              <w:bottom w:val="single" w:sz="8" w:color="C0C0C0"/>
            </w:tcBorders>
            <w:shd w:val="clear" w:color="auto" w:fill="C0C0C0"/>
          </w:tcPr>
          <w:p>
            <w:pPr>
              <w:spacing w:after="0"/>
              <w:rPr>
                <w:sz w:val="17"/>
                <w:szCs w:val="17"/>
                <w:color w:val="auto"/>
              </w:rPr>
            </w:pPr>
          </w:p>
        </w:tc>
      </w:tr>
    </w:tbl>
    <w:p>
      <w:pPr>
        <w:spacing w:after="0" w:line="212" w:lineRule="exact"/>
        <w:rPr>
          <w:sz w:val="20"/>
          <w:szCs w:val="20"/>
          <w:color w:val="auto"/>
        </w:rPr>
      </w:pPr>
    </w:p>
    <w:p>
      <w:pPr>
        <w:jc w:val="both"/>
        <w:ind w:firstLine="307"/>
        <w:spacing w:after="0" w:line="267" w:lineRule="auto"/>
        <w:rPr>
          <w:sz w:val="20"/>
          <w:szCs w:val="20"/>
          <w:color w:val="auto"/>
        </w:rPr>
      </w:pPr>
      <w:r>
        <w:rPr>
          <w:rFonts w:ascii="Arial" w:cs="Arial" w:eastAsia="Arial" w:hAnsi="Arial"/>
          <w:sz w:val="14"/>
          <w:szCs w:val="14"/>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six months ended June 30, 2010, deterioration in the credit quality of a marketable security from one issuer subjected the Company to the risk of not being able to recover a portion of the security’s carrying value. As a result, the Company recognized a $0.1 million impairment charge related to this Level 2 marketable security, which the Company considered to be other-than-temporarily impaired. During the three and six months ended June 30, 2011, and the three months ended June 30, 2010, the Company did not record any charges for other-than-temporary impairment of its Level 2 marketable securities.</w:t>
      </w:r>
    </w:p>
    <w:p>
      <w:pPr>
        <w:spacing w:after="0" w:line="198" w:lineRule="exact"/>
        <w:rPr>
          <w:sz w:val="20"/>
          <w:szCs w:val="20"/>
          <w:color w:val="auto"/>
        </w:rPr>
      </w:pPr>
    </w:p>
    <w:p>
      <w:pPr>
        <w:jc w:val="both"/>
        <w:ind w:firstLine="285"/>
        <w:spacing w:after="0" w:line="271" w:lineRule="auto"/>
        <w:rPr>
          <w:sz w:val="20"/>
          <w:szCs w:val="20"/>
          <w:color w:val="auto"/>
        </w:rPr>
      </w:pPr>
      <w:r>
        <w:rPr>
          <w:rFonts w:ascii="Arial" w:cs="Arial" w:eastAsia="Arial" w:hAnsi="Arial"/>
          <w:sz w:val="14"/>
          <w:szCs w:val="14"/>
          <w:color w:val="auto"/>
        </w:rPr>
        <w:t>The Company holds one Level 3 marketable security, which had no fair value at June 30, 2011 and December 31, 2010. This Level 3 security was valued using information provided by the Company’s investment advisors and other sources, including quoted bid prices which took into consideration the security’s lack of liquidity. There were no purchases, sales, or maturities of Level 3 marketable securities and no unrealized gains or losses related to Level 3 marketable securities for the three and six months ended June 30, 2011 and 2010. There were no transfers of marketable securities between Levels 1, 2, or 3 classifications during the three and six months ended June 30, 2011 and 2010.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28" w:lineRule="exact"/>
        <w:rPr>
          <w:sz w:val="20"/>
          <w:szCs w:val="20"/>
          <w:color w:val="auto"/>
        </w:rPr>
      </w:pPr>
    </w:p>
    <w:p>
      <w:pPr>
        <w:jc w:val="both"/>
        <w:ind w:right="20" w:firstLine="263"/>
        <w:spacing w:after="0" w:line="271" w:lineRule="auto"/>
        <w:rPr>
          <w:sz w:val="20"/>
          <w:szCs w:val="20"/>
          <w:color w:val="auto"/>
        </w:rPr>
      </w:pPr>
      <w:r>
        <w:rPr>
          <w:rFonts w:ascii="Arial" w:cs="Arial" w:eastAsia="Arial" w:hAnsi="Arial"/>
          <w:sz w:val="14"/>
          <w:szCs w:val="14"/>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spacing w:after="0"/>
              <w:rPr>
                <w:sz w:val="20"/>
                <w:szCs w:val="20"/>
                <w:color w:val="auto"/>
              </w:rPr>
            </w:pPr>
            <w:r>
              <w:rPr>
                <w:rFonts w:ascii="Arial" w:cs="Arial" w:eastAsia="Arial" w:hAnsi="Arial"/>
                <w:sz w:val="14"/>
                <w:szCs w:val="14"/>
                <w:b w:val="1"/>
                <w:bCs w:val="1"/>
                <w:color w:val="auto"/>
              </w:rPr>
              <w:t>6. Inventory</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95"/>
        </w:trPr>
        <w:tc>
          <w:tcPr>
            <w:tcW w:w="7300" w:type="dxa"/>
            <w:vAlign w:val="bottom"/>
          </w:tcPr>
          <w:p>
            <w:pPr>
              <w:ind w:left="220"/>
              <w:spacing w:after="0"/>
              <w:rPr>
                <w:sz w:val="20"/>
                <w:szCs w:val="20"/>
                <w:color w:val="auto"/>
              </w:rPr>
            </w:pPr>
            <w:r>
              <w:rPr>
                <w:rFonts w:ascii="Arial" w:cs="Arial" w:eastAsia="Arial" w:hAnsi="Arial"/>
                <w:sz w:val="14"/>
                <w:szCs w:val="14"/>
                <w:color w:val="auto"/>
              </w:rPr>
              <w:t>Inventories as of June 30, 2011 and December 31, 2010 consist of the following:</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4"/>
        </w:trPr>
        <w:tc>
          <w:tcPr>
            <w:tcW w:w="7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204"/>
        </w:trPr>
        <w:tc>
          <w:tcPr>
            <w:tcW w:w="7300" w:type="dxa"/>
            <w:vAlign w:val="bottom"/>
            <w:tcBorders>
              <w:bottom w:val="single" w:sz="8" w:color="C0C0C0"/>
            </w:tcBorders>
          </w:tcPr>
          <w:p>
            <w:pPr>
              <w:spacing w:after="0"/>
              <w:rPr>
                <w:sz w:val="17"/>
                <w:szCs w:val="17"/>
                <w:color w:val="auto"/>
              </w:rPr>
            </w:pPr>
          </w:p>
        </w:tc>
        <w:tc>
          <w:tcPr>
            <w:tcW w:w="248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0C0C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2010</w:t>
            </w:r>
          </w:p>
        </w:tc>
      </w:tr>
      <w:tr>
        <w:trPr>
          <w:trHeight w:val="195"/>
        </w:trPr>
        <w:tc>
          <w:tcPr>
            <w:tcW w:w="7300" w:type="dxa"/>
            <w:vAlign w:val="bottom"/>
            <w:shd w:val="clear" w:color="auto" w:fill="C0C0C0"/>
          </w:tcPr>
          <w:p>
            <w:pPr>
              <w:spacing w:after="0"/>
              <w:rPr>
                <w:sz w:val="20"/>
                <w:szCs w:val="20"/>
                <w:color w:val="auto"/>
              </w:rPr>
            </w:pPr>
            <w:r>
              <w:rPr>
                <w:rFonts w:ascii="Arial" w:cs="Arial" w:eastAsia="Arial" w:hAnsi="Arial"/>
                <w:sz w:val="14"/>
                <w:szCs w:val="14"/>
                <w:color w:val="auto"/>
              </w:rPr>
              <w:t>Raw materials</w:t>
            </w:r>
          </w:p>
        </w:tc>
        <w:tc>
          <w:tcPr>
            <w:tcW w:w="258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223</w:t>
            </w: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592</w:t>
            </w:r>
          </w:p>
        </w:tc>
      </w:tr>
      <w:tr>
        <w:trPr>
          <w:trHeight w:val="191"/>
        </w:trPr>
        <w:tc>
          <w:tcPr>
            <w:tcW w:w="7300" w:type="dxa"/>
            <w:vAlign w:val="bottom"/>
          </w:tcPr>
          <w:p>
            <w:pPr>
              <w:spacing w:after="0"/>
              <w:rPr>
                <w:sz w:val="20"/>
                <w:szCs w:val="20"/>
                <w:color w:val="auto"/>
              </w:rPr>
            </w:pPr>
            <w:r>
              <w:rPr>
                <w:rFonts w:ascii="Arial" w:cs="Arial" w:eastAsia="Arial" w:hAnsi="Arial"/>
                <w:sz w:val="14"/>
                <w:szCs w:val="14"/>
                <w:color w:val="auto"/>
              </w:rPr>
              <w:t>Work in process</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6,188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197"/>
        </w:trPr>
        <w:tc>
          <w:tcPr>
            <w:tcW w:w="7300" w:type="dxa"/>
            <w:vAlign w:val="bottom"/>
            <w:shd w:val="clear" w:color="auto" w:fill="C0C0C0"/>
          </w:tcPr>
          <w:p>
            <w:pPr>
              <w:spacing w:after="0"/>
              <w:rPr>
                <w:sz w:val="20"/>
                <w:szCs w:val="20"/>
                <w:color w:val="auto"/>
              </w:rPr>
            </w:pPr>
            <w:r>
              <w:rPr>
                <w:rFonts w:ascii="Arial" w:cs="Arial" w:eastAsia="Arial" w:hAnsi="Arial"/>
                <w:sz w:val="14"/>
                <w:szCs w:val="14"/>
                <w:color w:val="auto"/>
              </w:rPr>
              <w:t>Finished goods</w:t>
            </w:r>
          </w:p>
        </w:tc>
        <w:tc>
          <w:tcPr>
            <w:tcW w:w="248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17"/>
                <w:szCs w:val="17"/>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132</w:t>
            </w:r>
          </w:p>
        </w:tc>
      </w:tr>
      <w:tr>
        <w:trPr>
          <w:trHeight w:val="188"/>
        </w:trPr>
        <w:tc>
          <w:tcPr>
            <w:tcW w:w="7300" w:type="dxa"/>
            <w:vAlign w:val="bottom"/>
          </w:tcPr>
          <w:p>
            <w:pPr>
              <w:spacing w:after="0"/>
              <w:rPr>
                <w:sz w:val="16"/>
                <w:szCs w:val="16"/>
                <w:color w:val="auto"/>
              </w:rPr>
            </w:pPr>
          </w:p>
        </w:tc>
        <w:tc>
          <w:tcPr>
            <w:tcW w:w="2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6,542</w:t>
            </w:r>
          </w:p>
        </w:tc>
        <w:tc>
          <w:tcPr>
            <w:tcW w:w="2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1,423</w:t>
            </w:r>
          </w:p>
        </w:tc>
      </w:tr>
      <w:tr>
        <w:trPr>
          <w:trHeight w:val="28"/>
        </w:trPr>
        <w:tc>
          <w:tcPr>
            <w:tcW w:w="7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12" w:lineRule="exact"/>
        <w:rPr>
          <w:sz w:val="20"/>
          <w:szCs w:val="20"/>
          <w:color w:val="auto"/>
        </w:rPr>
      </w:pPr>
    </w:p>
    <w:p>
      <w:pPr>
        <w:jc w:val="both"/>
        <w:ind w:right="20" w:firstLine="274"/>
        <w:spacing w:after="0" w:line="291" w:lineRule="auto"/>
        <w:rPr>
          <w:sz w:val="20"/>
          <w:szCs w:val="20"/>
          <w:color w:val="auto"/>
        </w:rPr>
      </w:pPr>
      <w:r>
        <w:rPr>
          <w:rFonts w:ascii="Arial" w:cs="Arial" w:eastAsia="Arial" w:hAnsi="Arial"/>
          <w:sz w:val="14"/>
          <w:szCs w:val="14"/>
          <w:color w:val="auto"/>
        </w:rPr>
        <w:t>At June 30, 2011, $0.6 million of inventories were included in prepaid expenses and other current assets and $5.9 million of inventories were included in other assets. At December 31, 2010, inventories were included in prepaid expenses and other current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20"/>
                <w:szCs w:val="20"/>
                <w:color w:val="auto"/>
              </w:rPr>
            </w:pPr>
            <w:r>
              <w:rPr>
                <w:rFonts w:ascii="Arial" w:cs="Arial" w:eastAsia="Arial" w:hAnsi="Arial"/>
                <w:sz w:val="14"/>
                <w:szCs w:val="14"/>
                <w:b w:val="1"/>
                <w:bCs w:val="1"/>
                <w:color w:val="auto"/>
              </w:rPr>
              <w:t>7. Accounts Payable and Accrued Expenses</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95"/>
        </w:trPr>
        <w:tc>
          <w:tcPr>
            <w:tcW w:w="8100" w:type="dxa"/>
            <w:vAlign w:val="bottom"/>
          </w:tcPr>
          <w:p>
            <w:pPr>
              <w:ind w:left="220"/>
              <w:spacing w:after="0"/>
              <w:rPr>
                <w:sz w:val="20"/>
                <w:szCs w:val="20"/>
                <w:color w:val="auto"/>
              </w:rPr>
            </w:pPr>
            <w:r>
              <w:rPr>
                <w:rFonts w:ascii="Arial" w:cs="Arial" w:eastAsia="Arial" w:hAnsi="Arial"/>
                <w:sz w:val="14"/>
                <w:szCs w:val="14"/>
                <w:color w:val="auto"/>
              </w:rPr>
              <w:t>Accounts payable and accrued expenses as of June 30, 2011 and December 31, 2010 consist of the following:</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4"/>
        </w:trPr>
        <w:tc>
          <w:tcPr>
            <w:tcW w:w="8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204"/>
        </w:trPr>
        <w:tc>
          <w:tcPr>
            <w:tcW w:w="8100" w:type="dxa"/>
            <w:vAlign w:val="bottom"/>
            <w:tcBorders>
              <w:bottom w:val="single" w:sz="8" w:color="C0C0C0"/>
            </w:tcBorders>
          </w:tcPr>
          <w:p>
            <w:pPr>
              <w:spacing w:after="0"/>
              <w:rPr>
                <w:sz w:val="17"/>
                <w:szCs w:val="17"/>
                <w:color w:val="auto"/>
              </w:rPr>
            </w:pPr>
          </w:p>
        </w:tc>
        <w:tc>
          <w:tcPr>
            <w:tcW w:w="1680" w:type="dxa"/>
            <w:vAlign w:val="bottom"/>
            <w:tcBorders>
              <w:bottom w:val="single" w:sz="8" w:color="C0C0C0"/>
            </w:tcBorders>
          </w:tcPr>
          <w:p>
            <w:pPr>
              <w:spacing w:after="0"/>
              <w:rPr>
                <w:sz w:val="17"/>
                <w:szCs w:val="17"/>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2010</w:t>
            </w:r>
          </w:p>
        </w:tc>
      </w:tr>
      <w:tr>
        <w:trPr>
          <w:trHeight w:val="195"/>
        </w:trPr>
        <w:tc>
          <w:tcPr>
            <w:tcW w:w="8100" w:type="dxa"/>
            <w:vAlign w:val="bottom"/>
            <w:shd w:val="clear" w:color="auto" w:fill="C0C0C0"/>
          </w:tcPr>
          <w:p>
            <w:pPr>
              <w:spacing w:after="0"/>
              <w:rPr>
                <w:sz w:val="20"/>
                <w:szCs w:val="20"/>
                <w:color w:val="auto"/>
              </w:rPr>
            </w:pPr>
            <w:r>
              <w:rPr>
                <w:rFonts w:ascii="Arial" w:cs="Arial" w:eastAsia="Arial" w:hAnsi="Arial"/>
                <w:sz w:val="14"/>
                <w:szCs w:val="14"/>
                <w:color w:val="auto"/>
              </w:rPr>
              <w:t>Accounts payable</w:t>
            </w:r>
          </w:p>
        </w:tc>
        <w:tc>
          <w:tcPr>
            <w:tcW w:w="16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25,955</w:t>
            </w:r>
          </w:p>
        </w:tc>
        <w:tc>
          <w:tcPr>
            <w:tcW w:w="400" w:type="dxa"/>
            <w:vAlign w:val="bottom"/>
            <w:gridSpan w:val="2"/>
            <w:shd w:val="clear" w:color="auto" w:fill="C0C0C0"/>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15,589</w:t>
            </w:r>
          </w:p>
        </w:tc>
      </w:tr>
      <w:tr>
        <w:trPr>
          <w:trHeight w:val="191"/>
        </w:trPr>
        <w:tc>
          <w:tcPr>
            <w:tcW w:w="8100" w:type="dxa"/>
            <w:vAlign w:val="bottom"/>
          </w:tcPr>
          <w:p>
            <w:pPr>
              <w:spacing w:after="0"/>
              <w:rPr>
                <w:sz w:val="20"/>
                <w:szCs w:val="20"/>
                <w:color w:val="auto"/>
              </w:rPr>
            </w:pPr>
            <w:r>
              <w:rPr>
                <w:rFonts w:ascii="Arial" w:cs="Arial" w:eastAsia="Arial" w:hAnsi="Arial"/>
                <w:sz w:val="14"/>
                <w:szCs w:val="14"/>
                <w:color w:val="auto"/>
              </w:rPr>
              <w:t>Accrued payroll and related costs</w:t>
            </w:r>
          </w:p>
        </w:tc>
        <w:tc>
          <w:tcPr>
            <w:tcW w:w="16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26,029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12,025</w:t>
            </w:r>
          </w:p>
        </w:tc>
      </w:tr>
      <w:tr>
        <w:trPr>
          <w:trHeight w:val="204"/>
        </w:trPr>
        <w:tc>
          <w:tcPr>
            <w:tcW w:w="8100" w:type="dxa"/>
            <w:vAlign w:val="bottom"/>
            <w:shd w:val="clear" w:color="auto" w:fill="C0C0C0"/>
          </w:tcPr>
          <w:p>
            <w:pPr>
              <w:spacing w:after="0"/>
              <w:rPr>
                <w:sz w:val="20"/>
                <w:szCs w:val="20"/>
                <w:color w:val="auto"/>
              </w:rPr>
            </w:pPr>
            <w:r>
              <w:rPr>
                <w:rFonts w:ascii="Arial" w:cs="Arial" w:eastAsia="Arial" w:hAnsi="Arial"/>
                <w:sz w:val="14"/>
                <w:szCs w:val="14"/>
                <w:color w:val="auto"/>
              </w:rPr>
              <w:t>Accrued clinical trial expense</w:t>
            </w:r>
          </w:p>
        </w:tc>
        <w:tc>
          <w:tcPr>
            <w:tcW w:w="1680" w:type="dxa"/>
            <w:vAlign w:val="bottom"/>
            <w:tcBorders>
              <w:right w:val="single" w:sz="8" w:color="C0C0C0"/>
            </w:tcBorders>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9,802</w:t>
            </w: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9,727</w:t>
            </w:r>
          </w:p>
        </w:tc>
      </w:tr>
      <w:tr>
        <w:trPr>
          <w:trHeight w:val="191"/>
        </w:trPr>
        <w:tc>
          <w:tcPr>
            <w:tcW w:w="8100" w:type="dxa"/>
            <w:vAlign w:val="bottom"/>
          </w:tcPr>
          <w:p>
            <w:pPr>
              <w:spacing w:after="0"/>
              <w:rPr>
                <w:sz w:val="20"/>
                <w:szCs w:val="20"/>
                <w:color w:val="auto"/>
              </w:rPr>
            </w:pPr>
            <w:r>
              <w:rPr>
                <w:rFonts w:ascii="Arial" w:cs="Arial" w:eastAsia="Arial" w:hAnsi="Arial"/>
                <w:sz w:val="14"/>
                <w:szCs w:val="14"/>
                <w:color w:val="auto"/>
              </w:rPr>
              <w:t>Accrued property, plant, and equipment costs</w:t>
            </w:r>
          </w:p>
        </w:tc>
        <w:tc>
          <w:tcPr>
            <w:tcW w:w="16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7,622</w:t>
            </w:r>
          </w:p>
        </w:tc>
      </w:tr>
      <w:tr>
        <w:trPr>
          <w:trHeight w:val="204"/>
        </w:trPr>
        <w:tc>
          <w:tcPr>
            <w:tcW w:w="8100" w:type="dxa"/>
            <w:vAlign w:val="bottom"/>
            <w:shd w:val="clear" w:color="auto" w:fill="C0C0C0"/>
          </w:tcPr>
          <w:p>
            <w:pPr>
              <w:spacing w:after="0"/>
              <w:rPr>
                <w:sz w:val="20"/>
                <w:szCs w:val="20"/>
                <w:color w:val="auto"/>
              </w:rPr>
            </w:pPr>
            <w:r>
              <w:rPr>
                <w:rFonts w:ascii="Arial" w:cs="Arial" w:eastAsia="Arial" w:hAnsi="Arial"/>
                <w:sz w:val="14"/>
                <w:szCs w:val="14"/>
                <w:color w:val="auto"/>
              </w:rPr>
              <w:t>Other accrued expenses and liabilities</w:t>
            </w:r>
          </w:p>
        </w:tc>
        <w:tc>
          <w:tcPr>
            <w:tcW w:w="1680" w:type="dxa"/>
            <w:vAlign w:val="bottom"/>
            <w:tcBorders>
              <w:right w:val="single" w:sz="8" w:color="C0C0C0"/>
            </w:tcBorders>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7,810</w:t>
            </w:r>
          </w:p>
        </w:tc>
        <w:tc>
          <w:tcPr>
            <w:tcW w:w="2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6,441</w:t>
            </w:r>
          </w:p>
        </w:tc>
      </w:tr>
      <w:tr>
        <w:trPr>
          <w:trHeight w:val="191"/>
        </w:trPr>
        <w:tc>
          <w:tcPr>
            <w:tcW w:w="8100" w:type="dxa"/>
            <w:vAlign w:val="bottom"/>
            <w:tcBorders>
              <w:bottom w:val="single" w:sz="8" w:color="C0C0C0"/>
            </w:tcBorders>
          </w:tcPr>
          <w:p>
            <w:pPr>
              <w:spacing w:after="0"/>
              <w:rPr>
                <w:sz w:val="20"/>
                <w:szCs w:val="20"/>
                <w:color w:val="auto"/>
              </w:rPr>
            </w:pPr>
            <w:r>
              <w:rPr>
                <w:rFonts w:ascii="Arial" w:cs="Arial" w:eastAsia="Arial" w:hAnsi="Arial"/>
                <w:sz w:val="14"/>
                <w:szCs w:val="14"/>
                <w:color w:val="auto"/>
              </w:rPr>
              <w:t>Payable to Bayer HealthCare LLC</w:t>
            </w:r>
          </w:p>
        </w:tc>
        <w:tc>
          <w:tcPr>
            <w:tcW w:w="1680" w:type="dxa"/>
            <w:vAlign w:val="bottom"/>
            <w:tcBorders>
              <w:bottom w:val="single" w:sz="8" w:color="C0C0C0"/>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11,012</w:t>
            </w:r>
          </w:p>
        </w:tc>
        <w:tc>
          <w:tcPr>
            <w:tcW w:w="220" w:type="dxa"/>
            <w:vAlign w:val="bottom"/>
            <w:tcBorders>
              <w:bottom w:val="single" w:sz="8" w:color="C0C0C0"/>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w:t>
            </w:r>
          </w:p>
        </w:tc>
      </w:tr>
      <w:tr>
        <w:trPr>
          <w:trHeight w:val="188"/>
        </w:trPr>
        <w:tc>
          <w:tcPr>
            <w:tcW w:w="8100" w:type="dxa"/>
            <w:vAlign w:val="bottom"/>
            <w:shd w:val="clear" w:color="auto" w:fill="C0C0C0"/>
          </w:tcPr>
          <w:p>
            <w:pPr>
              <w:spacing w:after="0"/>
              <w:rPr>
                <w:sz w:val="16"/>
                <w:szCs w:val="16"/>
                <w:color w:val="auto"/>
              </w:rPr>
            </w:pPr>
          </w:p>
        </w:tc>
        <w:tc>
          <w:tcPr>
            <w:tcW w:w="16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81,665</w:t>
            </w:r>
          </w:p>
        </w:tc>
        <w:tc>
          <w:tcPr>
            <w:tcW w:w="400" w:type="dxa"/>
            <w:vAlign w:val="bottom"/>
            <w:gridSpan w:val="2"/>
            <w:shd w:val="clear" w:color="auto" w:fill="C0C0C0"/>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53,658</w:t>
            </w:r>
          </w:p>
        </w:tc>
      </w:tr>
      <w:tr>
        <w:trPr>
          <w:trHeight w:val="28"/>
        </w:trPr>
        <w:tc>
          <w:tcPr>
            <w:tcW w:w="8100" w:type="dxa"/>
            <w:vAlign w:val="bottom"/>
            <w:shd w:val="clear" w:color="auto" w:fill="C0C0C0"/>
          </w:tcPr>
          <w:p>
            <w:pPr>
              <w:spacing w:after="0"/>
              <w:rPr>
                <w:sz w:val="2"/>
                <w:szCs w:val="2"/>
                <w:color w:val="auto"/>
              </w:rPr>
            </w:pPr>
          </w:p>
        </w:tc>
        <w:tc>
          <w:tcPr>
            <w:tcW w:w="1680" w:type="dxa"/>
            <w:vAlign w:val="bottom"/>
            <w:tcBorders>
              <w:right w:val="single" w:sz="8" w:color="auto"/>
            </w:tcBorders>
            <w:shd w:val="clear" w:color="auto" w:fill="C0C0C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Comprehensive Loss</w:t>
      </w:r>
    </w:p>
    <w:p>
      <w:pPr>
        <w:spacing w:after="0" w:line="238" w:lineRule="exact"/>
        <w:rPr>
          <w:sz w:val="20"/>
          <w:szCs w:val="20"/>
          <w:color w:val="auto"/>
        </w:rPr>
      </w:pPr>
    </w:p>
    <w:p>
      <w:pPr>
        <w:jc w:val="both"/>
        <w:ind w:right="20" w:firstLine="241"/>
        <w:spacing w:after="0" w:line="291" w:lineRule="auto"/>
        <w:rPr>
          <w:sz w:val="20"/>
          <w:szCs w:val="20"/>
          <w:color w:val="auto"/>
        </w:rPr>
      </w:pPr>
      <w:r>
        <w:rPr>
          <w:rFonts w:ascii="Arial" w:cs="Arial" w:eastAsia="Arial" w:hAnsi="Arial"/>
          <w:sz w:val="14"/>
          <w:szCs w:val="14"/>
          <w:color w:val="auto"/>
        </w:rPr>
        <w:t>Comprehensive loss of the Company includes net loss adjusted for the change in net unrealized gain (loss) on marketable securities, net of any tax effect. For the three and six months ended June 30, 2011 and 2010, the components of comprehensive loss 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w w:val="92"/>
              </w:rPr>
              <w:t>Three months ended June 30,</w:t>
            </w:r>
          </w:p>
        </w:tc>
      </w:tr>
      <w:tr>
        <w:trPr>
          <w:trHeight w:val="189"/>
        </w:trPr>
        <w:tc>
          <w:tcPr>
            <w:tcW w:w="6420" w:type="dxa"/>
            <w:vAlign w:val="bottom"/>
            <w:tcBorders>
              <w:bottom w:val="single" w:sz="8" w:color="C0C0C0"/>
            </w:tcBorders>
          </w:tcPr>
          <w:p>
            <w:pPr>
              <w:spacing w:after="0"/>
              <w:rPr>
                <w:sz w:val="16"/>
                <w:szCs w:val="16"/>
                <w:color w:val="auto"/>
              </w:rPr>
            </w:pPr>
          </w:p>
        </w:tc>
        <w:tc>
          <w:tcPr>
            <w:tcW w:w="29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2010</w:t>
            </w:r>
          </w:p>
        </w:tc>
      </w:tr>
      <w:tr>
        <w:trPr>
          <w:trHeight w:val="195"/>
        </w:trPr>
        <w:tc>
          <w:tcPr>
            <w:tcW w:w="6420" w:type="dxa"/>
            <w:vAlign w:val="bottom"/>
            <w:shd w:val="clear" w:color="auto" w:fill="C0C0C0"/>
          </w:tcPr>
          <w:p>
            <w:pPr>
              <w:spacing w:after="0"/>
              <w:rPr>
                <w:sz w:val="20"/>
                <w:szCs w:val="20"/>
                <w:color w:val="auto"/>
              </w:rPr>
            </w:pPr>
            <w:r>
              <w:rPr>
                <w:rFonts w:ascii="Arial" w:cs="Arial" w:eastAsia="Arial" w:hAnsi="Arial"/>
                <w:sz w:val="14"/>
                <w:szCs w:val="14"/>
                <w:color w:val="auto"/>
              </w:rPr>
              <w:t>Net loss</w:t>
            </w:r>
          </w:p>
        </w:tc>
        <w:tc>
          <w:tcPr>
            <w:tcW w:w="304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(62,505)</w:t>
            </w:r>
          </w:p>
        </w:tc>
        <w:tc>
          <w:tcPr>
            <w:tcW w:w="220" w:type="dxa"/>
            <w:vAlign w:val="bottom"/>
            <w:shd w:val="clear" w:color="auto" w:fill="C0C0C0"/>
          </w:tcPr>
          <w:p>
            <w:pPr>
              <w:spacing w:after="0"/>
              <w:rPr>
                <w:sz w:val="16"/>
                <w:szCs w:val="16"/>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(25,474)</w:t>
            </w:r>
          </w:p>
        </w:tc>
      </w:tr>
      <w:tr>
        <w:trPr>
          <w:trHeight w:val="185"/>
        </w:trPr>
        <w:tc>
          <w:tcPr>
            <w:tcW w:w="6420" w:type="dxa"/>
            <w:vAlign w:val="bottom"/>
          </w:tcPr>
          <w:p>
            <w:pPr>
              <w:spacing w:after="0"/>
              <w:rPr>
                <w:sz w:val="20"/>
                <w:szCs w:val="20"/>
                <w:color w:val="auto"/>
              </w:rPr>
            </w:pPr>
            <w:r>
              <w:rPr>
                <w:rFonts w:ascii="Arial" w:cs="Arial" w:eastAsia="Arial" w:hAnsi="Arial"/>
                <w:sz w:val="14"/>
                <w:szCs w:val="14"/>
                <w:color w:val="auto"/>
              </w:rPr>
              <w:t>Change in net unrealized gain (loss) on marketable securities,</w:t>
            </w: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4"/>
        </w:trPr>
        <w:tc>
          <w:tcPr>
            <w:tcW w:w="642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net of tax effect of $0.9 million in 2011</w:t>
            </w:r>
          </w:p>
        </w:tc>
        <w:tc>
          <w:tcPr>
            <w:tcW w:w="2920" w:type="dxa"/>
            <w:vAlign w:val="bottom"/>
            <w:tcBorders>
              <w:bottom w:val="single" w:sz="8" w:color="C0C0C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1,271</w:t>
            </w:r>
          </w:p>
        </w:tc>
        <w:tc>
          <w:tcPr>
            <w:tcW w:w="220" w:type="dxa"/>
            <w:vAlign w:val="bottom"/>
            <w:tcBorders>
              <w:bottom w:val="single" w:sz="8" w:color="C0C0C0"/>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w:t>
            </w:r>
          </w:p>
        </w:tc>
      </w:tr>
      <w:tr>
        <w:trPr>
          <w:trHeight w:val="194"/>
        </w:trPr>
        <w:tc>
          <w:tcPr>
            <w:tcW w:w="6420" w:type="dxa"/>
            <w:vAlign w:val="bottom"/>
            <w:shd w:val="clear" w:color="auto" w:fill="C0C0C0"/>
          </w:tcPr>
          <w:p>
            <w:pPr>
              <w:ind w:left="260"/>
              <w:spacing w:after="0"/>
              <w:rPr>
                <w:sz w:val="20"/>
                <w:szCs w:val="20"/>
                <w:color w:val="auto"/>
              </w:rPr>
            </w:pPr>
            <w:r>
              <w:rPr>
                <w:rFonts w:ascii="Arial" w:cs="Arial" w:eastAsia="Arial" w:hAnsi="Arial"/>
                <w:sz w:val="14"/>
                <w:szCs w:val="14"/>
                <w:color w:val="auto"/>
              </w:rPr>
              <w:t>Total comprehensive loss</w:t>
            </w:r>
          </w:p>
        </w:tc>
        <w:tc>
          <w:tcPr>
            <w:tcW w:w="304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(61,234)</w:t>
            </w:r>
          </w:p>
        </w:tc>
        <w:tc>
          <w:tcPr>
            <w:tcW w:w="220" w:type="dxa"/>
            <w:vAlign w:val="bottom"/>
            <w:shd w:val="clear" w:color="auto" w:fill="C0C0C0"/>
          </w:tcPr>
          <w:p>
            <w:pPr>
              <w:spacing w:after="0"/>
              <w:rPr>
                <w:sz w:val="16"/>
                <w:szCs w:val="16"/>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(26,497)</w:t>
            </w:r>
          </w:p>
        </w:tc>
      </w:tr>
      <w:tr>
        <w:trPr>
          <w:trHeight w:val="23"/>
        </w:trPr>
        <w:tc>
          <w:tcPr>
            <w:tcW w:w="6420" w:type="dxa"/>
            <w:vAlign w:val="bottom"/>
            <w:shd w:val="clear" w:color="auto" w:fill="C0C0C0"/>
          </w:tcPr>
          <w:p>
            <w:pPr>
              <w:spacing w:after="0" w:line="20" w:lineRule="exact"/>
              <w:rPr>
                <w:sz w:val="1"/>
                <w:szCs w:val="1"/>
                <w:color w:val="auto"/>
              </w:rPr>
            </w:pPr>
          </w:p>
        </w:tc>
        <w:tc>
          <w:tcPr>
            <w:tcW w:w="29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w w:val="93"/>
              </w:rPr>
              <w:t>Six months ended June 30,</w:t>
            </w:r>
          </w:p>
        </w:tc>
        <w:tc>
          <w:tcPr>
            <w:tcW w:w="20" w:type="dxa"/>
            <w:vAlign w:val="bottom"/>
          </w:tcPr>
          <w:p>
            <w:pPr>
              <w:spacing w:after="0"/>
              <w:rPr>
                <w:sz w:val="16"/>
                <w:szCs w:val="16"/>
                <w:color w:val="auto"/>
              </w:rPr>
            </w:pPr>
          </w:p>
        </w:tc>
      </w:tr>
      <w:tr>
        <w:trPr>
          <w:trHeight w:val="189"/>
        </w:trPr>
        <w:tc>
          <w:tcPr>
            <w:tcW w:w="4600" w:type="dxa"/>
            <w:vAlign w:val="bottom"/>
            <w:tcBorders>
              <w:bottom w:val="single" w:sz="8" w:color="C0C0C0"/>
            </w:tcBorders>
          </w:tcPr>
          <w:p>
            <w:pPr>
              <w:spacing w:after="0"/>
              <w:rPr>
                <w:sz w:val="16"/>
                <w:szCs w:val="16"/>
                <w:color w:val="auto"/>
              </w:rPr>
            </w:pPr>
          </w:p>
        </w:tc>
        <w:tc>
          <w:tcPr>
            <w:tcW w:w="474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r>
      <w:tr>
        <w:trPr>
          <w:trHeight w:val="195"/>
        </w:trPr>
        <w:tc>
          <w:tcPr>
            <w:tcW w:w="4600" w:type="dxa"/>
            <w:vAlign w:val="bottom"/>
            <w:shd w:val="clear" w:color="auto" w:fill="C0C0C0"/>
          </w:tcPr>
          <w:p>
            <w:pPr>
              <w:spacing w:after="0"/>
              <w:rPr>
                <w:sz w:val="20"/>
                <w:szCs w:val="20"/>
                <w:color w:val="auto"/>
              </w:rPr>
            </w:pPr>
            <w:r>
              <w:rPr>
                <w:rFonts w:ascii="Arial" w:cs="Arial" w:eastAsia="Arial" w:hAnsi="Arial"/>
                <w:sz w:val="14"/>
                <w:szCs w:val="14"/>
                <w:color w:val="auto"/>
              </w:rPr>
              <w:t>Net loss</w:t>
            </w:r>
          </w:p>
        </w:tc>
        <w:tc>
          <w:tcPr>
            <w:tcW w:w="4900" w:type="dxa"/>
            <w:vAlign w:val="bottom"/>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(105,952)</w:t>
            </w:r>
          </w:p>
        </w:tc>
        <w:tc>
          <w:tcPr>
            <w:tcW w:w="220" w:type="dxa"/>
            <w:vAlign w:val="bottom"/>
            <w:shd w:val="clear" w:color="auto" w:fill="C0C0C0"/>
          </w:tcPr>
          <w:p>
            <w:pPr>
              <w:spacing w:after="0"/>
              <w:rPr>
                <w:sz w:val="16"/>
                <w:szCs w:val="16"/>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(55,996)</w:t>
            </w:r>
          </w:p>
        </w:tc>
        <w:tc>
          <w:tcPr>
            <w:tcW w:w="20" w:type="dxa"/>
            <w:vAlign w:val="bottom"/>
          </w:tcPr>
          <w:p>
            <w:pPr>
              <w:spacing w:after="0"/>
              <w:rPr>
                <w:sz w:val="16"/>
                <w:szCs w:val="16"/>
                <w:color w:val="auto"/>
              </w:rPr>
            </w:pPr>
          </w:p>
        </w:tc>
      </w:tr>
      <w:tr>
        <w:trPr>
          <w:trHeight w:val="185"/>
        </w:trPr>
        <w:tc>
          <w:tcPr>
            <w:tcW w:w="4600" w:type="dxa"/>
            <w:vAlign w:val="bottom"/>
          </w:tcPr>
          <w:p>
            <w:pPr>
              <w:spacing w:after="0"/>
              <w:rPr>
                <w:sz w:val="20"/>
                <w:szCs w:val="20"/>
                <w:color w:val="auto"/>
              </w:rPr>
            </w:pPr>
            <w:r>
              <w:rPr>
                <w:rFonts w:ascii="Arial" w:cs="Arial" w:eastAsia="Arial" w:hAnsi="Arial"/>
                <w:sz w:val="14"/>
                <w:szCs w:val="14"/>
                <w:color w:val="auto"/>
              </w:rPr>
              <w:t>Change in net unrealized gain (loss) on marketable securities,</w:t>
            </w:r>
          </w:p>
        </w:tc>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600" w:type="dxa"/>
            <w:vAlign w:val="bottom"/>
            <w:tcBorders>
              <w:bottom w:val="single" w:sz="8" w:color="C0C0C0"/>
            </w:tcBorders>
          </w:tcPr>
          <w:p>
            <w:pPr>
              <w:ind w:left="260"/>
              <w:spacing w:after="0"/>
              <w:rPr>
                <w:sz w:val="20"/>
                <w:szCs w:val="20"/>
                <w:color w:val="auto"/>
              </w:rPr>
            </w:pPr>
            <w:r>
              <w:rPr>
                <w:rFonts w:ascii="Arial" w:cs="Arial" w:eastAsia="Arial" w:hAnsi="Arial"/>
                <w:sz w:val="14"/>
                <w:szCs w:val="14"/>
                <w:color w:val="auto"/>
              </w:rPr>
              <w:t>net of tax effect of $1.1 million in 2011</w:t>
            </w:r>
          </w:p>
        </w:tc>
        <w:tc>
          <w:tcPr>
            <w:tcW w:w="4740" w:type="dxa"/>
            <w:vAlign w:val="bottom"/>
            <w:tcBorders>
              <w:bottom w:val="single" w:sz="8" w:color="C0C0C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1,587</w:t>
            </w:r>
          </w:p>
        </w:tc>
        <w:tc>
          <w:tcPr>
            <w:tcW w:w="220" w:type="dxa"/>
            <w:vAlign w:val="bottom"/>
            <w:tcBorders>
              <w:bottom w:val="single" w:sz="8" w:color="C0C0C0"/>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w:t>
            </w:r>
          </w:p>
        </w:tc>
        <w:tc>
          <w:tcPr>
            <w:tcW w:w="20" w:type="dxa"/>
            <w:vAlign w:val="bottom"/>
          </w:tcPr>
          <w:p>
            <w:pPr>
              <w:spacing w:after="0"/>
              <w:rPr>
                <w:sz w:val="17"/>
                <w:szCs w:val="17"/>
                <w:color w:val="auto"/>
              </w:rPr>
            </w:pPr>
          </w:p>
        </w:tc>
      </w:tr>
      <w:tr>
        <w:trPr>
          <w:trHeight w:val="214"/>
        </w:trPr>
        <w:tc>
          <w:tcPr>
            <w:tcW w:w="46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Total comprehensive loss</w:t>
            </w:r>
          </w:p>
        </w:tc>
        <w:tc>
          <w:tcPr>
            <w:tcW w:w="4900" w:type="dxa"/>
            <w:vAlign w:val="bottom"/>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(104,365)</w:t>
            </w:r>
          </w:p>
        </w:tc>
        <w:tc>
          <w:tcPr>
            <w:tcW w:w="22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(57,346)</w:t>
            </w:r>
          </w:p>
        </w:tc>
        <w:tc>
          <w:tcPr>
            <w:tcW w:w="20" w:type="dxa"/>
            <w:vAlign w:val="bottom"/>
          </w:tcPr>
          <w:p>
            <w:pPr>
              <w:spacing w:after="0"/>
              <w:rPr>
                <w:sz w:val="18"/>
                <w:szCs w:val="18"/>
                <w:color w:val="auto"/>
              </w:rPr>
            </w:pPr>
          </w:p>
        </w:tc>
      </w:tr>
      <w:tr>
        <w:trPr>
          <w:trHeight w:val="354"/>
        </w:trPr>
        <w:tc>
          <w:tcPr>
            <w:tcW w:w="4600" w:type="dxa"/>
            <w:vAlign w:val="bottom"/>
            <w:tcBorders>
              <w:top w:val="single" w:sz="8" w:color="C0C0C0"/>
            </w:tcBorders>
          </w:tcPr>
          <w:p>
            <w:pPr>
              <w:spacing w:after="0"/>
              <w:rPr>
                <w:sz w:val="24"/>
                <w:szCs w:val="24"/>
                <w:color w:val="auto"/>
              </w:rPr>
            </w:pPr>
          </w:p>
        </w:tc>
        <w:tc>
          <w:tcPr>
            <w:tcW w:w="4740" w:type="dxa"/>
            <w:vAlign w:val="bottom"/>
            <w:tcBorders>
              <w:top w:val="single" w:sz="8" w:color="C0C0C0"/>
            </w:tcBorders>
          </w:tcPr>
          <w:p>
            <w:pPr>
              <w:jc w:val="right"/>
              <w:ind w:right="3469"/>
              <w:spacing w:after="0"/>
              <w:rPr>
                <w:sz w:val="20"/>
                <w:szCs w:val="20"/>
                <w:color w:val="auto"/>
              </w:rPr>
            </w:pPr>
            <w:r>
              <w:rPr>
                <w:rFonts w:ascii="Arial" w:cs="Arial" w:eastAsia="Arial" w:hAnsi="Arial"/>
                <w:sz w:val="14"/>
                <w:szCs w:val="14"/>
                <w:color w:val="auto"/>
              </w:rPr>
              <w:t>13</w:t>
            </w: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460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3" w:right="19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Income Taxes</w:t>
      </w:r>
    </w:p>
    <w:p>
      <w:pPr>
        <w:spacing w:after="0" w:line="238"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4"/>
          <w:szCs w:val="14"/>
          <w:color w:val="auto"/>
        </w:rPr>
        <w:t>For the three and six months ended June 30, 2011 and 2010, the Company incurred net losses for tax purposes and recognized a full valuation allowance against deferred tax assets. For the three and six months ended June 30, 2011, the Company recognized an income tax benefit of $0.9 million and $1.1 million, respectively, in connection with the net tax effect of the decrease in the Company’s unrealized loss on “available-for-sale” marketable securities, which is included in other comprehensive loss. For the three and six months ended June 30, 2010, no provision or benefit for income taxes was recorded.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Legal Matters</w:t>
      </w:r>
    </w:p>
    <w:p>
      <w:pPr>
        <w:spacing w:after="0" w:line="238" w:lineRule="exact"/>
        <w:rPr>
          <w:sz w:val="20"/>
          <w:szCs w:val="20"/>
          <w:color w:val="auto"/>
        </w:rPr>
      </w:pPr>
    </w:p>
    <w:p>
      <w:pPr>
        <w:jc w:val="both"/>
        <w:ind w:firstLine="230"/>
        <w:spacing w:after="0" w:line="332" w:lineRule="auto"/>
        <w:rPr>
          <w:sz w:val="20"/>
          <w:szCs w:val="20"/>
          <w:color w:val="auto"/>
        </w:rPr>
      </w:pPr>
      <w:r>
        <w:rPr>
          <w:rFonts w:ascii="Arial" w:cs="Arial" w:eastAsia="Arial" w:hAnsi="Arial"/>
          <w:sz w:val="13"/>
          <w:szCs w:val="13"/>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157"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3"/>
          <w:szCs w:val="13"/>
          <w:color w:val="auto"/>
        </w:rPr>
        <w:t>As previously reported, on November 19, 2010, the Company filed a complaint against Genentech in the U.S. District Court for the Southern District of New York seeking a declaratory judgment that no activities relating to the Company’s VEGF Trap infringe any valid claim of certain Genentech patents referred to as the Davis-Smyth patents. On January 12, 2011, Genentech filed a motion to dismiss the complaint, arguing that the lawsuit was premature and thus the Court lacked subject matter jurisdiction. Upon the Company’s submission to the FDA of a BLA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(also known as VEGF Trap-Eye) for the treatment of wet AMD, the Company filed a second complaint against Genentech in the same court seeking the same declaratory relief. On April 7, 2011, the Company and Genentech entered into a Joint Stipulation, which was approved and executed by the Court on April 11, 2011. Pursuant to the Joint Stipulation, the Company voluntarily dismissed its original complaint in favor of proceeding with its second complaint, and Genentech agreed that it would not seek to transfer the case to another judicial district or move to dismiss the second complaint for lack of subject matter jurisdiction or otherwise under Rule 12(b) of the Federal Rules of Civil Procedure. On April 25, 2011, Genentech filed an answer to the second complaint, denying that the Company is entitled to the declaratory relief being sought by the Company, and asserting counterclaims that the Company’s prior or planned activities relating to VEGF Trap have infringed or will infringe one or more claims of the Davis-Smyth patents. In its answer, Genentech requests a judgment against the Company for damages, including for willful infringement, and other relief as the Court deems appropriate. On May 11, 2011, Genentech filed an amended answer and counterclaim, again denying that the Company is entitled to the declaratory relief being sought by the Company, and asserting counterclaims that the Company’s prior or planned activities relating to VEGF Trap have infringed or will infringe claims of four of the five Davis-Smyth patents. In its amended answer and counterclaim, Genentech requests a judgment against the Company for damages, including for willful infringement, and other relief as the Court deems appropriate. On May 25, 2011, the Company replied to Genentech's amended answer and counterclaim, denying Genentech's counterclaims, and denying that any of the Company’s prior or planned activities relating to VEGF Trap infringe any valid claim of the Davis-Smyth patents. The Company believes Genentech's counterclaims are without merit and intends to continue to defend against them vigorously. As this litigation is at an early stage, at this time the Company is not able to predict the probability of the outcome or an estimate of loss, if any, related to this matter.</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Company has initiated patent-related actions against Genentech in Germany and the United Kingdom, and may initiate other actions in other countries outside the U.S.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Recently Issued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Multiple-deliverable revenue arrangements</w:t>
      </w:r>
    </w:p>
    <w:p>
      <w:pPr>
        <w:spacing w:after="0" w:line="234"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3"/>
          <w:szCs w:val="13"/>
          <w:color w:val="auto"/>
        </w:rPr>
        <w:t>During the first quarter of 2011 the Company adopted amended authoritative guidance issued by the Financial Accounting Standards Board (“FASB”) on multiple-deliverable revenue arrangements. The amended guidance provides greater ability to separate and allocate consideration to be received in a multiple-deliverable revenue arrangement by requiring the use of estimated selling prices to allocate the consideration, thereby eliminating the use of the residual method of allocation. The amended guidance also requires expanded qualitative and quantitative disclosures surrounding multiple-deliverable revenue arrangements. The Company is applying this amended guidance prospectively for new or materially modified arrangements, of which there were none during the six months ended June 30, 2011. The adoption of this guidance did not have a material impact on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Milestone method of revenue recognition</w:t>
      </w:r>
    </w:p>
    <w:p>
      <w:pPr>
        <w:spacing w:after="0" w:line="234" w:lineRule="exact"/>
        <w:rPr>
          <w:sz w:val="20"/>
          <w:szCs w:val="20"/>
          <w:color w:val="auto"/>
        </w:rPr>
      </w:pPr>
    </w:p>
    <w:p>
      <w:pPr>
        <w:jc w:val="both"/>
        <w:ind w:firstLine="296"/>
        <w:spacing w:after="0" w:line="276" w:lineRule="auto"/>
        <w:rPr>
          <w:sz w:val="20"/>
          <w:szCs w:val="20"/>
          <w:color w:val="auto"/>
        </w:rPr>
      </w:pPr>
      <w:r>
        <w:rPr>
          <w:rFonts w:ascii="Arial" w:cs="Arial" w:eastAsia="Arial" w:hAnsi="Arial"/>
          <w:sz w:val="14"/>
          <w:szCs w:val="14"/>
          <w:color w:val="auto"/>
        </w:rPr>
        <w:t>During the first quarter of 2011, the Company adopted amended authoritative guidance issued by the FASB codifying the milestone method of revenue recognition as an acceptable revenue recognition model when a milestone is deemed to be substantive. Since the Company has historically accounted for milestones under the milestone method, the adoption of this guidance did not have a material impact on the Company’s financial statements.</w:t>
      </w:r>
    </w:p>
    <w:p>
      <w:pPr>
        <w:spacing w:after="0" w:line="191" w:lineRule="exact"/>
        <w:rPr>
          <w:sz w:val="20"/>
          <w:szCs w:val="20"/>
          <w:color w:val="auto"/>
        </w:rPr>
      </w:pPr>
    </w:p>
    <w:p>
      <w:pPr>
        <w:jc w:val="both"/>
        <w:ind w:firstLine="307"/>
        <w:spacing w:after="0" w:line="265" w:lineRule="auto"/>
        <w:rPr>
          <w:sz w:val="20"/>
          <w:szCs w:val="20"/>
          <w:color w:val="auto"/>
        </w:rPr>
      </w:pPr>
      <w:r>
        <w:rPr>
          <w:rFonts w:ascii="Arial" w:cs="Arial" w:eastAsia="Arial" w:hAnsi="Arial"/>
          <w:sz w:val="14"/>
          <w:szCs w:val="14"/>
          <w:color w:val="auto"/>
        </w:rPr>
        <w:t>In accordance with the Company’s accounting policy for recognition of revenue in connection with collaboration agreements, as previously disclosed in the Company’s financial statements included in the Company’s Annual Report on Form 10-K for the year ended December 31, 2010, payments which are based on achieving a specific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1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3"/>
          <w:szCs w:val="13"/>
          <w:color w:val="auto"/>
        </w:rPr>
        <w:t>The Company earns substantive performance milestone payments in connection with its collaboration agreements to develop and commercialize product candidates with Sanofi and Bayer HealthCare. Descriptions of these collaboration agreements, including various financial terms and conditions, were provided in the Company’s financial statements included in the Company’s Annual Report on Form 10-K for the year ended December 31, 2010. Under the Company’s collaboration agreement with Sanofi to jointly develop and commercialize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(aflibercept, also known as VEGF Trap), the Company may receive up to $400 million in substantive milestone payments upon receipt of specified marketing approvals, including up to $360 million in milestone payments related to the receipt of marketing approvals for up to eight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oncology and other indications in the U.S. or the European Union and up to $40 million related to the receipt of marketing approvals for up to five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oncology indications in Japan. Under the Company’s global, strategic collaboration with Sanofi to discover, develop, and commercialize fully human monoclonal antibodies, for each drug candidate identified under the collaboration’s Discovery and Preclinical Development Agreement, Sanofi has the option to license rights to the candidate under the collaboration’s License and Collaboration Agreement and co-develop the drug candidate with the Company through product approval. Under certain defined circumstances, upon exercising its option to license rights to particular candidates, Sanofi must make a $10 million substantive milestone payment to the Company. Under the Company’s license and collaboration agreement with Bayer HealthCare to globally develop, and commercialize outside the U.S., EYLEA</w:t>
      </w:r>
      <w:r>
        <w:rPr>
          <w:rFonts w:ascii="Arial" w:cs="Arial" w:eastAsia="Arial" w:hAnsi="Arial"/>
          <w:sz w:val="17"/>
          <w:szCs w:val="17"/>
          <w:color w:val="auto"/>
          <w:vertAlign w:val="superscript"/>
        </w:rPr>
        <w:t>TM</w:t>
      </w:r>
      <w:r>
        <w:rPr>
          <w:rFonts w:ascii="Arial" w:cs="Arial" w:eastAsia="Arial" w:hAnsi="Arial"/>
          <w:sz w:val="13"/>
          <w:szCs w:val="13"/>
          <w:color w:val="auto"/>
        </w:rPr>
        <w:t>, the Company is eligible to receive up to $50 million in future substantive milestone payments related to marketing approvals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major market countries outside the U.S.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REGENERON PHARMACEUTICALS,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(Unless otherwise noted, dollars in thousands, except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Fees paid to the federal government by pharmaceutical manufacturers</w:t>
      </w:r>
    </w:p>
    <w:p>
      <w:pPr>
        <w:spacing w:after="0" w:line="234" w:lineRule="exact"/>
        <w:rPr>
          <w:sz w:val="20"/>
          <w:szCs w:val="20"/>
          <w:color w:val="auto"/>
        </w:rPr>
      </w:pPr>
    </w:p>
    <w:p>
      <w:pPr>
        <w:jc w:val="both"/>
        <w:ind w:firstLine="241"/>
        <w:spacing w:after="0" w:line="242" w:lineRule="auto"/>
        <w:rPr>
          <w:sz w:val="20"/>
          <w:szCs w:val="20"/>
          <w:color w:val="auto"/>
        </w:rPr>
      </w:pPr>
      <w:r>
        <w:rPr>
          <w:rFonts w:ascii="Arial" w:cs="Arial" w:eastAsia="Arial" w:hAnsi="Arial"/>
          <w:sz w:val="14"/>
          <w:szCs w:val="14"/>
          <w:color w:val="auto"/>
        </w:rPr>
        <w:t>In December 2010, the FASB provided authoritative guidance on how pharmaceutical manufacturers should recognize and classify in their income statement annual fees mandated by the Patient Protection and Affordable Care Act as amended by the Health Care and Education Reconciliation Act. This guidance became effective for calendar years beginning after December 31, 2010. The adoption of this guidance did not have an impact on the Company’s financial statements as the fee does not currently apply to the Company. The Company’s marketed product,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has been approved as an orphan drug and orphan drugs are not subject to this annual fee.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Presentation of comprehensive income</w:t>
      </w:r>
    </w:p>
    <w:p>
      <w:pPr>
        <w:spacing w:after="0" w:line="234" w:lineRule="exact"/>
        <w:rPr>
          <w:sz w:val="20"/>
          <w:szCs w:val="20"/>
          <w:color w:val="auto"/>
        </w:rPr>
      </w:pPr>
    </w:p>
    <w:p>
      <w:pPr>
        <w:jc w:val="both"/>
        <w:ind w:firstLine="351"/>
        <w:spacing w:after="0" w:line="267" w:lineRule="auto"/>
        <w:rPr>
          <w:sz w:val="20"/>
          <w:szCs w:val="20"/>
          <w:color w:val="auto"/>
        </w:rPr>
      </w:pPr>
      <w:r>
        <w:rPr>
          <w:rFonts w:ascii="Arial" w:cs="Arial" w:eastAsia="Arial" w:hAnsi="Arial"/>
          <w:sz w:val="14"/>
          <w:szCs w:val="14"/>
          <w:color w:val="auto"/>
        </w:rPr>
        <w:t>In June 2011, the FASB amended its authoritative guidance on the presentation of comprehensive income. Under the amendment, an entity will have the option to present the total of comprehensive income, the components of net income, and the components of other comprehensive income either in a single continuous statement of comprehensive income or in two separate but consecutive statements. This amendment, therefore, eliminates the currently available option to present the components of other comprehensive income as part of the statement of changes in stockholders' equity. The amendment does not change the items that must be reported in other comprehensive income or when an item of other comprehensive income must be reclassified to net income. The Company will adopt this amended guidance for the fiscal year beginning January 1, 2012. As this guidance relates to presentation only, the adoption of this guidance will not have any other effect on the Company's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38" w:lineRule="exact"/>
        <w:rPr>
          <w:sz w:val="20"/>
          <w:szCs w:val="20"/>
          <w:color w:val="auto"/>
        </w:rPr>
      </w:pPr>
    </w:p>
    <w:p>
      <w:pPr>
        <w:jc w:val="both"/>
        <w:ind w:firstLine="252"/>
        <w:spacing w:after="0" w:line="287" w:lineRule="auto"/>
        <w:rPr>
          <w:sz w:val="20"/>
          <w:szCs w:val="20"/>
          <w:color w:val="auto"/>
        </w:rPr>
      </w:pPr>
      <w:r>
        <w:rPr>
          <w:rFonts w:ascii="Arial" w:cs="Arial" w:eastAsia="Arial" w:hAnsi="Arial"/>
          <w:sz w:val="13"/>
          <w:szCs w:val="13"/>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 other things, the nature, timing, and possible success of and therapeutic applications for our product candidates and research programs now underway or planned, the likelihood and timing of possible regulatory approval and commercial launch of our late-stage product candidates, determinations by regulatory and administrative governmental authorities which may delay or restrict our ability to continue to develop or commercialize our product and drug candidates, competing drugs that may be superior to our product and drug candidates, uncertainty of market acceptance of our product and drug candidates, unanticipated expenses, the availability and cost of capital, the costs of developing, producing, and selling products, the potential for any collaboration agreement, including our agreements with Sanofi and Bayer HealthCare LLC, to be canceled or terminated without any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8" w:lineRule="exact"/>
        <w:rPr>
          <w:sz w:val="20"/>
          <w:szCs w:val="20"/>
          <w:color w:val="auto"/>
        </w:rPr>
      </w:pPr>
    </w:p>
    <w:p>
      <w:pPr>
        <w:jc w:val="both"/>
        <w:ind w:firstLine="307"/>
        <w:spacing w:after="0" w:line="270" w:lineRule="auto"/>
        <w:rPr>
          <w:sz w:val="20"/>
          <w:szCs w:val="20"/>
          <w:color w:val="auto"/>
        </w:rPr>
      </w:pPr>
      <w:r>
        <w:rPr>
          <w:rFonts w:ascii="Arial" w:cs="Arial" w:eastAsia="Arial" w:hAnsi="Arial"/>
          <w:sz w:val="13"/>
          <w:szCs w:val="13"/>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have 11 product candidates in clinical development, all of which were discovered in our research laboratories. Our late-stage (Phase 3) programs are:</w:t>
      </w:r>
    </w:p>
    <w:p>
      <w:pPr>
        <w:spacing w:after="0" w:line="168" w:lineRule="exact"/>
        <w:rPr>
          <w:sz w:val="20"/>
          <w:szCs w:val="20"/>
          <w:color w:val="auto"/>
        </w:rPr>
      </w:pPr>
    </w:p>
    <w:p>
      <w:pPr>
        <w:ind w:left="440" w:right="1880"/>
        <w:spacing w:after="0" w:line="309" w:lineRule="auto"/>
        <w:rPr>
          <w:sz w:val="20"/>
          <w:szCs w:val="20"/>
          <w:color w:val="auto"/>
        </w:rPr>
      </w:pPr>
      <w:r>
        <w:rPr>
          <w:rFonts w:ascii="Arial" w:cs="Arial" w:eastAsia="Arial" w:hAnsi="Arial"/>
          <w:sz w:val="14"/>
          <w:szCs w:val="14"/>
          <w:color w:val="auto"/>
        </w:rPr>
        <w:t>EYLEA</w:t>
      </w:r>
      <w:r>
        <w:rPr>
          <w:rFonts w:ascii="Arial" w:cs="Arial" w:eastAsia="Arial" w:hAnsi="Arial"/>
          <w:sz w:val="9"/>
          <w:szCs w:val="9"/>
          <w:color w:val="auto"/>
        </w:rPr>
        <w:t>TM</w:t>
      </w:r>
      <w:r>
        <w:rPr>
          <w:rFonts w:ascii="Arial" w:cs="Arial" w:eastAsia="Arial" w:hAnsi="Arial"/>
          <w:sz w:val="14"/>
          <w:szCs w:val="14"/>
          <w:color w:val="auto"/>
        </w:rPr>
        <w:t xml:space="preserve"> (aflibercept injection), also known as VEGF Trap-Eye, which is being developed using intraocular delivery for the treatment of serious eye diseases; ZALTRAP</w:t>
      </w:r>
      <w:r>
        <w:rPr>
          <w:rFonts w:ascii="Arial" w:cs="Arial" w:eastAsia="Arial" w:hAnsi="Arial"/>
          <w:sz w:val="9"/>
          <w:szCs w:val="9"/>
          <w:color w:val="auto"/>
        </w:rPr>
        <w:t>TM</w:t>
      </w:r>
      <w:r>
        <w:rPr>
          <w:rFonts w:ascii="Arial" w:cs="Arial" w:eastAsia="Arial" w:hAnsi="Arial"/>
          <w:sz w:val="14"/>
          <w:szCs w:val="14"/>
          <w:color w:val="auto"/>
        </w:rPr>
        <w:t xml:space="preserve"> (aflibercept), also known as VEGF Trap, which is being developed in oncology in collaboration with Sanofi; and ARCALYST</w:t>
      </w:r>
      <w:r>
        <w:rPr>
          <w:rFonts w:ascii="Arial" w:cs="Arial" w:eastAsia="Arial" w:hAnsi="Arial"/>
          <w:sz w:val="9"/>
          <w:szCs w:val="9"/>
          <w:color w:val="auto"/>
        </w:rPr>
        <w:t>®</w:t>
      </w:r>
      <w:r>
        <w:rPr>
          <w:rFonts w:ascii="Arial" w:cs="Arial" w:eastAsia="Arial" w:hAnsi="Arial"/>
          <w:sz w:val="14"/>
          <w:szCs w:val="14"/>
          <w:color w:val="auto"/>
        </w:rPr>
        <w:t>, which is being developed for the prevention of gout flares in patients initiating uric acid-lowering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-360680</wp:posOffset>
            </wp:positionV>
            <wp:extent cx="5334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-234950</wp:posOffset>
            </wp:positionV>
            <wp:extent cx="5334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-109855</wp:posOffset>
            </wp:positionV>
            <wp:extent cx="5334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Our earlier stage clinical programs include the following fully human monoclonal antibodies: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Sarilumab (REGN88), an antibody to the interleukin-6 receptor (IL-6R), which is being developed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-67945</wp:posOffset>
            </wp:positionV>
            <wp:extent cx="5334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1460"/>
        <w:spacing w:after="0" w:line="261" w:lineRule="auto"/>
        <w:rPr>
          <w:sz w:val="20"/>
          <w:szCs w:val="20"/>
          <w:color w:val="auto"/>
        </w:rPr>
      </w:pPr>
      <w:r>
        <w:rPr>
          <w:rFonts w:ascii="Arial" w:cs="Arial" w:eastAsia="Arial" w:hAnsi="Arial"/>
          <w:sz w:val="14"/>
          <w:szCs w:val="14"/>
          <w:color w:val="auto"/>
        </w:rPr>
        <w:t>REGN727, an antibody to Proprotein Convertase Substilisin/Kexin type 9 (PCSK9), which is being developed for low-density lipoprotein (LDL) cholesterol reduction; REGN668, an antibody to the interleukin-4 receptor (IL-4R), which is being developed in atopic dermatitis and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-80010</wp:posOffset>
            </wp:positionV>
            <wp:extent cx="5334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3300"/>
        <w:spacing w:after="0" w:line="267" w:lineRule="auto"/>
        <w:rPr>
          <w:sz w:val="20"/>
          <w:szCs w:val="20"/>
          <w:color w:val="auto"/>
        </w:rPr>
      </w:pPr>
      <w:r>
        <w:rPr>
          <w:rFonts w:ascii="Arial" w:cs="Arial" w:eastAsia="Arial" w:hAnsi="Arial"/>
          <w:sz w:val="14"/>
          <w:szCs w:val="14"/>
          <w:color w:val="auto"/>
        </w:rPr>
        <w:t>REGN421, an antibody to Delta-like ligand-4 (Dll4), a novel angiogenesis target, which is being developed in oncology; REGN910, an antibody to Angiopoietin-2 (ANG2), another novel angiogenesis target, which is being developed in oncology; REGN475, an antibody to Nerve Growth Factor (NGF), which is being developed for the treatment of pain (currently on clinical hold); REGN728, an antibody in clinical development against an undisclosed target; and REGN846,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-537845</wp:posOffset>
            </wp:positionV>
            <wp:extent cx="5334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-426085</wp:posOffset>
            </wp:positionV>
            <wp:extent cx="5334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-314960</wp:posOffset>
            </wp:positionV>
            <wp:extent cx="5334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-203200</wp:posOffset>
            </wp:positionV>
            <wp:extent cx="53340" cy="5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-92075</wp:posOffset>
            </wp:positionV>
            <wp:extent cx="53340"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17" w:name="page18"/>
    <w:bookmarkEnd w:id="17"/>
    <w:p>
      <w:pPr>
        <w:ind w:left="220"/>
        <w:spacing w:after="0"/>
        <w:rPr>
          <w:sz w:val="20"/>
          <w:szCs w:val="20"/>
          <w:color w:val="auto"/>
        </w:rPr>
      </w:pPr>
      <w:r>
        <w:rPr>
          <w:rFonts w:ascii="Arial" w:cs="Arial" w:eastAsia="Arial" w:hAnsi="Arial"/>
          <w:sz w:val="14"/>
          <w:szCs w:val="14"/>
          <w:color w:val="auto"/>
        </w:rPr>
        <w:t>With the exception of REGN846, which we are developing independently, all of these antibodies are being developed in collaboration with Sanofi.</w:t>
      </w:r>
    </w:p>
    <w:p>
      <w:pPr>
        <w:spacing w:after="0" w:line="234" w:lineRule="exact"/>
        <w:rPr>
          <w:sz w:val="20"/>
          <w:szCs w:val="20"/>
          <w:color w:val="auto"/>
        </w:rPr>
      </w:pPr>
    </w:p>
    <w:p>
      <w:pPr>
        <w:jc w:val="both"/>
        <w:ind w:firstLine="296"/>
        <w:spacing w:after="0" w:line="271" w:lineRule="auto"/>
        <w:rPr>
          <w:sz w:val="20"/>
          <w:szCs w:val="20"/>
          <w:color w:val="auto"/>
        </w:rPr>
      </w:pPr>
      <w:r>
        <w:rPr>
          <w:rFonts w:ascii="Arial" w:cs="Arial" w:eastAsia="Arial" w:hAnsi="Arial"/>
          <w:sz w:val="14"/>
          <w:szCs w:val="14"/>
          <w:color w:val="auto"/>
        </w:rPr>
        <w:t>Our core business strategy is to maintain a strong foundation in basic scientific research and discovery-enabling technologies, to combine that foundation with our clinical development and manufacturing capabilities, and to continue to expand our commercialization capabilities in anticipation of possible regulatory approval and launch of one or more of our late-stage product candidates. Our long-term objective is to build a successful, integrated, multi-product biopharmaceutical company that provides patients and medical professionals with innovative options for preventing and treating human diseases.</w:t>
      </w:r>
    </w:p>
    <w:p>
      <w:pPr>
        <w:spacing w:after="0" w:line="194" w:lineRule="exact"/>
        <w:rPr>
          <w:sz w:val="20"/>
          <w:szCs w:val="20"/>
          <w:color w:val="auto"/>
        </w:rPr>
      </w:pPr>
    </w:p>
    <w:p>
      <w:pPr>
        <w:jc w:val="both"/>
        <w:ind w:firstLine="285"/>
        <w:spacing w:after="0" w:line="227" w:lineRule="auto"/>
        <w:rPr>
          <w:sz w:val="20"/>
          <w:szCs w:val="20"/>
          <w:color w:val="auto"/>
        </w:rPr>
      </w:pPr>
      <w:r>
        <w:rPr>
          <w:rFonts w:ascii="Arial" w:cs="Arial" w:eastAsia="Arial" w:hAnsi="Arial"/>
          <w:sz w:val="14"/>
          <w:szCs w:val="14"/>
          <w:color w:val="auto"/>
        </w:rPr>
        <w:t xml:space="preserve">We believe that our ability to develop product candidates is enhanced by the application of our </w:t>
      </w:r>
      <w:r>
        <w:rPr>
          <w:rFonts w:ascii="Arial" w:cs="Arial" w:eastAsia="Arial" w:hAnsi="Arial"/>
          <w:sz w:val="14"/>
          <w:szCs w:val="14"/>
          <w:i w:val="1"/>
          <w:iCs w:val="1"/>
          <w:color w:val="auto"/>
        </w:rPr>
        <w:t>VelociSuite™</w:t>
      </w:r>
      <w:r>
        <w:rPr>
          <w:rFonts w:ascii="Arial" w:cs="Arial" w:eastAsia="Arial" w:hAnsi="Arial"/>
          <w:sz w:val="14"/>
          <w:szCs w:val="14"/>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to understand the role of these proteins in normal physiology, as well as in models of disease. Our human monoclonal antibody technology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and cell line expression technologies (</w:t>
      </w:r>
      <w:r>
        <w:rPr>
          <w:rFonts w:ascii="Arial" w:cs="Arial" w:eastAsia="Arial" w:hAnsi="Arial"/>
          <w:sz w:val="14"/>
          <w:szCs w:val="14"/>
          <w:i w:val="1"/>
          <w:iCs w:val="1"/>
          <w:color w:val="auto"/>
        </w:rPr>
        <w:t>VelociMab</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Under the terms of our antibody collaboration with Sanofi, which was expanded during 2009, we plan to advance an average of four to five new antibody product candidates into</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Commercial Product:</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 CAPS</w:t>
      </w:r>
    </w:p>
    <w:p>
      <w:pPr>
        <w:spacing w:after="0" w:line="176" w:lineRule="exact"/>
        <w:rPr>
          <w:sz w:val="20"/>
          <w:szCs w:val="20"/>
          <w:color w:val="auto"/>
        </w:rPr>
      </w:pPr>
    </w:p>
    <w:p>
      <w:pPr>
        <w:jc w:val="both"/>
        <w:ind w:firstLine="230"/>
        <w:spacing w:after="0" w:line="214" w:lineRule="auto"/>
        <w:rPr>
          <w:sz w:val="20"/>
          <w:szCs w:val="20"/>
          <w:color w:val="auto"/>
        </w:rPr>
      </w:pPr>
      <w:r>
        <w:rPr>
          <w:rFonts w:ascii="Arial" w:cs="Arial" w:eastAsia="Arial" w:hAnsi="Arial"/>
          <w:sz w:val="14"/>
          <w:szCs w:val="14"/>
          <w:color w:val="auto"/>
        </w:rPr>
        <w:t>Net product sales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(rilonacept) in the second quarter of 2011 were $5.0 million, compared to $5.2 million during the same quarter of 2010.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for the six months ended June 30, 2011 and 2010, respectively, totaled $9.5 million and $15.0 million.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during the first six months of 2010 included $10.2 million of net product sales made during this period and $4.8 million of previously deferred net product sales, as described below under “Results of Operations.”</w:t>
      </w:r>
    </w:p>
    <w:p>
      <w:pPr>
        <w:spacing w:after="0" w:line="213" w:lineRule="exact"/>
        <w:rPr>
          <w:sz w:val="20"/>
          <w:szCs w:val="20"/>
          <w:color w:val="auto"/>
        </w:rPr>
      </w:pPr>
    </w:p>
    <w:p>
      <w:pPr>
        <w:jc w:val="both"/>
        <w:ind w:firstLine="230"/>
        <w:spacing w:after="0" w:line="243" w:lineRule="auto"/>
        <w:rPr>
          <w:sz w:val="20"/>
          <w:szCs w:val="20"/>
          <w:color w:val="auto"/>
        </w:rPr>
      </w:pPr>
      <w:r>
        <w:rPr>
          <w:rFonts w:ascii="Arial" w:cs="Arial" w:eastAsia="Arial" w:hAnsi="Arial"/>
          <w:sz w:val="14"/>
          <w:szCs w:val="14"/>
          <w:color w:val="auto"/>
        </w:rPr>
        <w:t>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a protein-based product designed to bind the interleukin-1 (called IL-1) cytokine and prevent its interaction with cell surface receptors.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available for prescription in the U.S.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Clinical Programs: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(aflibercept injection) also known as VEGF Trap-Eye – Ophthalmologic Diseases</w:t>
      </w:r>
    </w:p>
    <w:p>
      <w:pPr>
        <w:spacing w:after="0" w:line="176" w:lineRule="exact"/>
        <w:rPr>
          <w:sz w:val="20"/>
          <w:szCs w:val="20"/>
          <w:color w:val="auto"/>
        </w:rPr>
      </w:pPr>
    </w:p>
    <w:p>
      <w:pPr>
        <w:jc w:val="both"/>
        <w:ind w:firstLine="241"/>
        <w:spacing w:after="0" w:line="236" w:lineRule="auto"/>
        <w:rPr>
          <w:sz w:val="20"/>
          <w:szCs w:val="20"/>
          <w:color w:val="auto"/>
        </w:rPr>
      </w:pPr>
      <w:r>
        <w:rPr>
          <w:rFonts w:ascii="Arial" w:cs="Arial" w:eastAsia="Arial" w:hAnsi="Arial"/>
          <w:sz w:val="14"/>
          <w:szCs w:val="14"/>
          <w:color w:val="auto"/>
        </w:rPr>
        <w:t>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(aflibercept injection) is a fusion protein locally administered in the eye that is designed to bind Vascular Endothelial Growth Factor-A (VEGF-A) and Placental Growth Factor (PlGF) proteins that are involved in the abnormal growth of new blood vessels. We, together with our ex-U.S. collaborator Bayer HealthCare, are evaluating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Phase 3 programs in patients with the neovascular form of age-related macular degeneration (wet AMD), central retinal vein occlusion (CRVO), diabetic macular edema (DME), and choroidal neovascularisation (CNV) of the retina as a result of pathologic myopia. Wet AMD, diabetic retinopathy (which includes DME), and retinal vein occlusion are three of the leading causes of adult blindness in the developed world. In these conditions, severe visual loss is caused by a combination of retinal edema and neovascular proliferation.</w:t>
      </w:r>
    </w:p>
    <w:p>
      <w:pPr>
        <w:spacing w:after="0" w:line="214" w:lineRule="exact"/>
        <w:rPr>
          <w:sz w:val="20"/>
          <w:szCs w:val="20"/>
          <w:color w:val="auto"/>
        </w:rPr>
      </w:pPr>
    </w:p>
    <w:p>
      <w:pPr>
        <w:jc w:val="both"/>
        <w:ind w:firstLine="241"/>
        <w:spacing w:after="0" w:line="212" w:lineRule="auto"/>
        <w:rPr>
          <w:sz w:val="20"/>
          <w:szCs w:val="20"/>
          <w:color w:val="auto"/>
        </w:rPr>
      </w:pPr>
      <w:r>
        <w:rPr>
          <w:rFonts w:ascii="Arial" w:cs="Arial" w:eastAsia="Arial" w:hAnsi="Arial"/>
          <w:sz w:val="14"/>
          <w:szCs w:val="14"/>
          <w:color w:val="auto"/>
        </w:rPr>
        <w:t>The Phase 3 trials in wet AMD, known as VIEW 1 and VIEW 2 (</w:t>
      </w:r>
      <w:r>
        <w:rPr>
          <w:rFonts w:ascii="Arial" w:cs="Arial" w:eastAsia="Arial" w:hAnsi="Arial"/>
          <w:sz w:val="14"/>
          <w:szCs w:val="14"/>
          <w:u w:val="single" w:color="auto"/>
          <w:color w:val="auto"/>
        </w:rPr>
        <w:t>V</w:t>
      </w:r>
      <w:r>
        <w:rPr>
          <w:rFonts w:ascii="Arial" w:cs="Arial" w:eastAsia="Arial" w:hAnsi="Arial"/>
          <w:sz w:val="14"/>
          <w:szCs w:val="14"/>
          <w:color w:val="auto"/>
        </w:rPr>
        <w:t xml:space="preserve">EGF Trap: </w:t>
      </w:r>
      <w:r>
        <w:rPr>
          <w:rFonts w:ascii="Arial" w:cs="Arial" w:eastAsia="Arial" w:hAnsi="Arial"/>
          <w:sz w:val="14"/>
          <w:szCs w:val="14"/>
          <w:u w:val="single" w:color="auto"/>
          <w:color w:val="auto"/>
        </w:rPr>
        <w:t>I</w:t>
      </w:r>
      <w:r>
        <w:rPr>
          <w:rFonts w:ascii="Arial" w:cs="Arial" w:eastAsia="Arial" w:hAnsi="Arial"/>
          <w:sz w:val="14"/>
          <w:szCs w:val="14"/>
          <w:color w:val="auto"/>
        </w:rPr>
        <w:t xml:space="preserve">nvestigation of </w:t>
      </w:r>
      <w:r>
        <w:rPr>
          <w:rFonts w:ascii="Arial" w:cs="Arial" w:eastAsia="Arial" w:hAnsi="Arial"/>
          <w:sz w:val="14"/>
          <w:szCs w:val="14"/>
          <w:u w:val="single" w:color="auto"/>
          <w:color w:val="auto"/>
        </w:rPr>
        <w:t>E</w:t>
      </w:r>
      <w:r>
        <w:rPr>
          <w:rFonts w:ascii="Arial" w:cs="Arial" w:eastAsia="Arial" w:hAnsi="Arial"/>
          <w:sz w:val="14"/>
          <w:szCs w:val="14"/>
          <w:color w:val="auto"/>
        </w:rPr>
        <w:t xml:space="preserve">fficacy and Safety in </w:t>
      </w:r>
      <w:r>
        <w:rPr>
          <w:rFonts w:ascii="Arial" w:cs="Arial" w:eastAsia="Arial" w:hAnsi="Arial"/>
          <w:sz w:val="14"/>
          <w:szCs w:val="14"/>
          <w:u w:val="single" w:color="auto"/>
          <w:color w:val="auto"/>
        </w:rPr>
        <w:t>W</w:t>
      </w:r>
      <w:r>
        <w:rPr>
          <w:rFonts w:ascii="Arial" w:cs="Arial" w:eastAsia="Arial" w:hAnsi="Arial"/>
          <w:sz w:val="14"/>
          <w:szCs w:val="14"/>
          <w:color w:val="auto"/>
        </w:rPr>
        <w:t>et age-related macular degeneration), compared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(ranibizumab injection), a registered trademark of Genentech, Inc.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an anti-VEGF agent approved for use and the current standard of care in wet AMD. VIEW 1 was conducted in North America and VIEW 2 was conducted in Europe, Asia Pacific, Japan, and Latin America. The VIEW 1 and VIEW 2 trials both evaluated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doses of 0.5 milligrams (mg) and 2.0 mg at dosing intervals of four weeks and 2.0 mg at a dosing interval of eight weeks (following three initial monthly doses), compared with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dosed according to its U.S. label, which specifies doses of 0.5 mg administered every four weeks over the first year. As-needed dosing (PRN) with both agents is being evaluated in the second year of the studies, although patients will be dosed no less frequently than every 12 weeks.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18" w:name="page19"/>
    <w:bookmarkEnd w:id="18"/>
    <w:p>
      <w:pPr>
        <w:jc w:val="both"/>
        <w:ind w:firstLine="241"/>
        <w:spacing w:after="0" w:line="248" w:lineRule="auto"/>
        <w:rPr>
          <w:sz w:val="20"/>
          <w:szCs w:val="20"/>
          <w:color w:val="auto"/>
        </w:rPr>
      </w:pPr>
      <w:r>
        <w:rPr>
          <w:rFonts w:ascii="Arial" w:cs="Arial" w:eastAsia="Arial" w:hAnsi="Arial"/>
          <w:sz w:val="13"/>
          <w:szCs w:val="13"/>
          <w:color w:val="auto"/>
        </w:rPr>
        <w:t>The primary endpoint of these non-inferiority studies was the proportion of patients treated with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who maintain visual acuity at the end of one year compared to patients dosed monthly with Lucentis</w:t>
      </w:r>
      <w:r>
        <w:rPr>
          <w:rFonts w:ascii="Arial" w:cs="Arial" w:eastAsia="Arial" w:hAnsi="Arial"/>
          <w:sz w:val="17"/>
          <w:szCs w:val="17"/>
          <w:color w:val="auto"/>
          <w:vertAlign w:val="superscript"/>
        </w:rPr>
        <w:t>®</w:t>
      </w:r>
      <w:r>
        <w:rPr>
          <w:rFonts w:ascii="Arial" w:cs="Arial" w:eastAsia="Arial" w:hAnsi="Arial"/>
          <w:sz w:val="13"/>
          <w:szCs w:val="13"/>
          <w:color w:val="auto"/>
        </w:rPr>
        <w:t>. Visual acuity is defined as the total number of letters read correctly on the Early Treatment Diabetic Retinopathy Study (ETDRS) chart, a standard research tool for measuring visual acuity. Maintenance of vision is defined as losing fewer than three lines (equivalent to 15 letters) on the ETDRS chart. Secondary endpoints included the mean change from baseline in visual acuity as measured by ETDRS, the proportion of patients who gained at least 15 letters of vision at week 52, and the amount of fluid under the retina.</w:t>
      </w:r>
    </w:p>
    <w:p>
      <w:pPr>
        <w:spacing w:after="0" w:line="209" w:lineRule="exact"/>
        <w:rPr>
          <w:sz w:val="20"/>
          <w:szCs w:val="20"/>
          <w:color w:val="auto"/>
        </w:rPr>
      </w:pPr>
    </w:p>
    <w:p>
      <w:pPr>
        <w:jc w:val="both"/>
        <w:ind w:firstLine="219"/>
        <w:spacing w:after="0" w:line="239" w:lineRule="auto"/>
        <w:rPr>
          <w:sz w:val="20"/>
          <w:szCs w:val="20"/>
          <w:color w:val="auto"/>
        </w:rPr>
      </w:pPr>
      <w:r>
        <w:rPr>
          <w:rFonts w:ascii="Arial" w:cs="Arial" w:eastAsia="Arial" w:hAnsi="Arial"/>
          <w:sz w:val="14"/>
          <w:szCs w:val="14"/>
          <w:color w:val="auto"/>
        </w:rPr>
        <w:t>We and Bayer HealthCare announced week 52 results from the VIEW 1 and VIEW 2 studies in November 2010. In these studies, all regimens of EYLEA</w:t>
      </w:r>
      <w:r>
        <w:rPr>
          <w:rFonts w:ascii="Arial" w:cs="Arial" w:eastAsia="Arial" w:hAnsi="Arial"/>
          <w:sz w:val="19"/>
          <w:szCs w:val="19"/>
          <w:color w:val="auto"/>
          <w:vertAlign w:val="superscript"/>
        </w:rPr>
        <w:t>TM</w:t>
      </w:r>
      <w:r>
        <w:rPr>
          <w:rFonts w:ascii="Arial" w:cs="Arial" w:eastAsia="Arial" w:hAnsi="Arial"/>
          <w:sz w:val="14"/>
          <w:szCs w:val="14"/>
          <w:color w:val="auto"/>
        </w:rPr>
        <w:t>,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dosed every two months, successfully met the primary endpoint of statistical non-inferiority compared to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dosed every month.</w:t>
      </w:r>
    </w:p>
    <w:p>
      <w:pPr>
        <w:spacing w:after="0" w:line="135" w:lineRule="exact"/>
        <w:rPr>
          <w:sz w:val="20"/>
          <w:szCs w:val="20"/>
          <w:color w:val="auto"/>
        </w:rPr>
      </w:pPr>
    </w:p>
    <w:p>
      <w:pPr>
        <w:jc w:val="both"/>
        <w:ind w:firstLine="241"/>
        <w:spacing w:after="0" w:line="247" w:lineRule="auto"/>
        <w:rPr>
          <w:sz w:val="20"/>
          <w:szCs w:val="20"/>
          <w:color w:val="auto"/>
        </w:rPr>
      </w:pPr>
      <w:r>
        <w:rPr>
          <w:rFonts w:ascii="Arial" w:cs="Arial" w:eastAsia="Arial" w:hAnsi="Arial"/>
          <w:sz w:val="14"/>
          <w:szCs w:val="14"/>
          <w:color w:val="auto"/>
        </w:rPr>
        <w:t>A generally favorable safety profile was observed for both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Lucentis</w:t>
      </w:r>
      <w:r>
        <w:rPr>
          <w:rFonts w:ascii="Arial" w:cs="Arial" w:eastAsia="Arial" w:hAnsi="Arial"/>
          <w:sz w:val="19"/>
          <w:szCs w:val="19"/>
          <w:color w:val="auto"/>
          <w:vertAlign w:val="superscript"/>
        </w:rPr>
        <w:t>®</w:t>
      </w:r>
      <w:r>
        <w:rPr>
          <w:rFonts w:ascii="Arial" w:cs="Arial" w:eastAsia="Arial" w:hAnsi="Arial"/>
          <w:sz w:val="14"/>
          <w:szCs w:val="14"/>
          <w:color w:val="auto"/>
        </w:rPr>
        <w:t>. The incidence of ocular treatment emergent adverse events was balanced across all four treatment groups in both studies, with the most frequent events associated with the injection procedure, the underlying disease, and/or the aging process. The most frequent ocular adverse events were conjunctival hemorrhage, macular degeneration, eye pain, retinal hemorrhage, and vitreous floaters. The most frequent serious non-ocular adverse events were typical of those reported in this elderly population who receive intravitreal treatment for wet AMD; the most frequently reported events were falls, pneumonia, myocardial infarction, atrial fibrillation, breast cancer, and acute coronary syndrome. There were no notable differences among the study arms.</w:t>
      </w:r>
    </w:p>
    <w:p>
      <w:pPr>
        <w:spacing w:after="0" w:line="209" w:lineRule="exact"/>
        <w:rPr>
          <w:sz w:val="20"/>
          <w:szCs w:val="20"/>
          <w:color w:val="auto"/>
        </w:rPr>
      </w:pPr>
    </w:p>
    <w:p>
      <w:pPr>
        <w:jc w:val="both"/>
        <w:ind w:firstLine="241"/>
        <w:spacing w:after="0" w:line="231" w:lineRule="auto"/>
        <w:rPr>
          <w:sz w:val="20"/>
          <w:szCs w:val="20"/>
          <w:color w:val="auto"/>
        </w:rPr>
      </w:pPr>
      <w:r>
        <w:rPr>
          <w:rFonts w:ascii="Arial" w:cs="Arial" w:eastAsia="Arial" w:hAnsi="Arial"/>
          <w:sz w:val="14"/>
          <w:szCs w:val="14"/>
          <w:color w:val="auto"/>
        </w:rPr>
        <w:t>Based on these positive results, we submitted a Biologics License Application (BLA) to the U.S. Food and Drug Administration (FDA) in February 2011 for marketing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in the U.S. In April 2011, the FDA accepted the BLA for filing and granted our request for Priority Review. In June 2011, the Dermatologic and Ophthalmic Drugs Advisory Committee of the FDA unanimously recommended that the FDA approve our BLA. Under Priority Review, the target date for an FDA decision on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BLA is August 20, 2011. Also in June 2011, Bayer HealthCare submitted regulatory applications for marketing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in the European Union and Japan.</w:t>
      </w:r>
    </w:p>
    <w:p>
      <w:pPr>
        <w:spacing w:after="0" w:line="136" w:lineRule="exact"/>
        <w:rPr>
          <w:sz w:val="20"/>
          <w:szCs w:val="20"/>
          <w:color w:val="auto"/>
        </w:rPr>
      </w:pPr>
    </w:p>
    <w:p>
      <w:pPr>
        <w:jc w:val="both"/>
        <w:ind w:firstLine="296"/>
        <w:spacing w:after="0" w:line="230" w:lineRule="auto"/>
        <w:rPr>
          <w:sz w:val="20"/>
          <w:szCs w:val="20"/>
          <w:color w:val="auto"/>
        </w:rPr>
      </w:pPr>
      <w:r>
        <w:rPr>
          <w:rFonts w:ascii="Arial" w:cs="Arial" w:eastAsia="Arial" w:hAnsi="Arial"/>
          <w:sz w:val="14"/>
          <w:szCs w:val="14"/>
          <w:color w:val="auto"/>
        </w:rPr>
        <w:t>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is also in Phase 3 development for the treatment of CRVO, another cause of visual impairment. We are leading the COPERNICUS (</w:t>
      </w:r>
      <w:r>
        <w:rPr>
          <w:rFonts w:ascii="Arial" w:cs="Arial" w:eastAsia="Arial" w:hAnsi="Arial"/>
          <w:sz w:val="14"/>
          <w:szCs w:val="14"/>
          <w:u w:val="single" w:color="auto"/>
          <w:color w:val="auto"/>
        </w:rPr>
        <w:t>CO</w:t>
      </w:r>
      <w:r>
        <w:rPr>
          <w:rFonts w:ascii="Arial" w:cs="Arial" w:eastAsia="Arial" w:hAnsi="Arial"/>
          <w:sz w:val="14"/>
          <w:szCs w:val="14"/>
          <w:color w:val="auto"/>
        </w:rPr>
        <w:t xml:space="preserve">ntrolled </w:t>
      </w:r>
      <w:r>
        <w:rPr>
          <w:rFonts w:ascii="Arial" w:cs="Arial" w:eastAsia="Arial" w:hAnsi="Arial"/>
          <w:sz w:val="14"/>
          <w:szCs w:val="14"/>
          <w:u w:val="single" w:color="auto"/>
          <w:color w:val="auto"/>
        </w:rPr>
        <w:t>P</w:t>
      </w:r>
      <w:r>
        <w:rPr>
          <w:rFonts w:ascii="Arial" w:cs="Arial" w:eastAsia="Arial" w:hAnsi="Arial"/>
          <w:sz w:val="14"/>
          <w:szCs w:val="14"/>
          <w:color w:val="auto"/>
        </w:rPr>
        <w:t xml:space="preserve">hase 3 </w:t>
      </w:r>
      <w:r>
        <w:rPr>
          <w:rFonts w:ascii="Arial" w:cs="Arial" w:eastAsia="Arial" w:hAnsi="Arial"/>
          <w:sz w:val="14"/>
          <w:szCs w:val="14"/>
          <w:u w:val="single" w:color="auto"/>
          <w:color w:val="auto"/>
        </w:rPr>
        <w:t>E</w:t>
      </w:r>
      <w:r>
        <w:rPr>
          <w:rFonts w:ascii="Arial" w:cs="Arial" w:eastAsia="Arial" w:hAnsi="Arial"/>
          <w:sz w:val="14"/>
          <w:szCs w:val="14"/>
          <w:color w:val="auto"/>
        </w:rPr>
        <w:t xml:space="preserve">valuation of </w:t>
      </w:r>
      <w:r>
        <w:rPr>
          <w:rFonts w:ascii="Arial" w:cs="Arial" w:eastAsia="Arial" w:hAnsi="Arial"/>
          <w:sz w:val="14"/>
          <w:szCs w:val="14"/>
          <w:u w:val="single" w:color="auto"/>
          <w:color w:val="auto"/>
        </w:rPr>
        <w:t>R</w:t>
      </w:r>
      <w:r>
        <w:rPr>
          <w:rFonts w:ascii="Arial" w:cs="Arial" w:eastAsia="Arial" w:hAnsi="Arial"/>
          <w:sz w:val="14"/>
          <w:szCs w:val="14"/>
          <w:color w:val="auto"/>
        </w:rPr>
        <w:t>epeated i</w:t>
      </w:r>
      <w:r>
        <w:rPr>
          <w:rFonts w:ascii="Arial" w:cs="Arial" w:eastAsia="Arial" w:hAnsi="Arial"/>
          <w:sz w:val="14"/>
          <w:szCs w:val="14"/>
          <w:u w:val="single" w:color="auto"/>
          <w:color w:val="auto"/>
        </w:rPr>
        <w:t>N</w:t>
      </w:r>
      <w:r>
        <w:rPr>
          <w:rFonts w:ascii="Arial" w:cs="Arial" w:eastAsia="Arial" w:hAnsi="Arial"/>
          <w:sz w:val="14"/>
          <w:szCs w:val="14"/>
          <w:color w:val="auto"/>
        </w:rPr>
        <w:t xml:space="preserve">travitreal administration of VEGF Trap-Eye </w:t>
      </w:r>
      <w:r>
        <w:rPr>
          <w:rFonts w:ascii="Arial" w:cs="Arial" w:eastAsia="Arial" w:hAnsi="Arial"/>
          <w:sz w:val="14"/>
          <w:szCs w:val="14"/>
          <w:u w:val="single" w:color="auto"/>
          <w:color w:val="auto"/>
        </w:rPr>
        <w:t>I</w:t>
      </w:r>
      <w:r>
        <w:rPr>
          <w:rFonts w:ascii="Arial" w:cs="Arial" w:eastAsia="Arial" w:hAnsi="Arial"/>
          <w:sz w:val="14"/>
          <w:szCs w:val="14"/>
          <w:color w:val="auto"/>
        </w:rPr>
        <w:t xml:space="preserve">n </w:t>
      </w:r>
      <w:r>
        <w:rPr>
          <w:rFonts w:ascii="Arial" w:cs="Arial" w:eastAsia="Arial" w:hAnsi="Arial"/>
          <w:sz w:val="14"/>
          <w:szCs w:val="14"/>
          <w:u w:val="single" w:color="auto"/>
          <w:color w:val="auto"/>
        </w:rPr>
        <w:t>C</w:t>
      </w:r>
      <w:r>
        <w:rPr>
          <w:rFonts w:ascii="Arial" w:cs="Arial" w:eastAsia="Arial" w:hAnsi="Arial"/>
          <w:sz w:val="14"/>
          <w:szCs w:val="14"/>
          <w:color w:val="auto"/>
        </w:rPr>
        <w:t xml:space="preserve">entral retinal vein occlusion: </w:t>
      </w:r>
      <w:r>
        <w:rPr>
          <w:rFonts w:ascii="Arial" w:cs="Arial" w:eastAsia="Arial" w:hAnsi="Arial"/>
          <w:sz w:val="14"/>
          <w:szCs w:val="14"/>
          <w:u w:val="single" w:color="auto"/>
          <w:color w:val="auto"/>
        </w:rPr>
        <w:t>U</w:t>
      </w:r>
      <w:r>
        <w:rPr>
          <w:rFonts w:ascii="Arial" w:cs="Arial" w:eastAsia="Arial" w:hAnsi="Arial"/>
          <w:sz w:val="14"/>
          <w:szCs w:val="14"/>
          <w:color w:val="auto"/>
        </w:rPr>
        <w:t xml:space="preserve">tility and </w:t>
      </w:r>
      <w:r>
        <w:rPr>
          <w:rFonts w:ascii="Arial" w:cs="Arial" w:eastAsia="Arial" w:hAnsi="Arial"/>
          <w:sz w:val="14"/>
          <w:szCs w:val="14"/>
          <w:u w:val="single" w:color="auto"/>
          <w:color w:val="auto"/>
        </w:rPr>
        <w:t>S</w:t>
      </w:r>
      <w:r>
        <w:rPr>
          <w:rFonts w:ascii="Arial" w:cs="Arial" w:eastAsia="Arial" w:hAnsi="Arial"/>
          <w:sz w:val="14"/>
          <w:szCs w:val="14"/>
          <w:color w:val="auto"/>
        </w:rPr>
        <w:t>afety) study, and Bayer HealthCare is leading the GALILEO (</w:t>
      </w:r>
      <w:r>
        <w:rPr>
          <w:rFonts w:ascii="Arial" w:cs="Arial" w:eastAsia="Arial" w:hAnsi="Arial"/>
          <w:sz w:val="14"/>
          <w:szCs w:val="14"/>
          <w:u w:val="single" w:color="auto"/>
          <w:color w:val="auto"/>
        </w:rPr>
        <w:t>G</w:t>
      </w:r>
      <w:r>
        <w:rPr>
          <w:rFonts w:ascii="Arial" w:cs="Arial" w:eastAsia="Arial" w:hAnsi="Arial"/>
          <w:sz w:val="14"/>
          <w:szCs w:val="14"/>
          <w:color w:val="auto"/>
        </w:rPr>
        <w:t xml:space="preserve">eneral </w:t>
      </w:r>
      <w:r>
        <w:rPr>
          <w:rFonts w:ascii="Arial" w:cs="Arial" w:eastAsia="Arial" w:hAnsi="Arial"/>
          <w:sz w:val="14"/>
          <w:szCs w:val="14"/>
          <w:u w:val="single" w:color="auto"/>
          <w:color w:val="auto"/>
        </w:rPr>
        <w:t>A</w:t>
      </w:r>
      <w:r>
        <w:rPr>
          <w:rFonts w:ascii="Arial" w:cs="Arial" w:eastAsia="Arial" w:hAnsi="Arial"/>
          <w:sz w:val="14"/>
          <w:szCs w:val="14"/>
          <w:color w:val="auto"/>
        </w:rPr>
        <w:t xml:space="preserve">ssessment </w:t>
      </w:r>
      <w:r>
        <w:rPr>
          <w:rFonts w:ascii="Arial" w:cs="Arial" w:eastAsia="Arial" w:hAnsi="Arial"/>
          <w:sz w:val="14"/>
          <w:szCs w:val="14"/>
          <w:u w:val="single" w:color="auto"/>
          <w:color w:val="auto"/>
        </w:rPr>
        <w:t>L</w:t>
      </w:r>
      <w:r>
        <w:rPr>
          <w:rFonts w:ascii="Arial" w:cs="Arial" w:eastAsia="Arial" w:hAnsi="Arial"/>
          <w:sz w:val="14"/>
          <w:szCs w:val="14"/>
          <w:color w:val="auto"/>
        </w:rPr>
        <w:t xml:space="preserve">imiting </w:t>
      </w:r>
      <w:r>
        <w:rPr>
          <w:rFonts w:ascii="Arial" w:cs="Arial" w:eastAsia="Arial" w:hAnsi="Arial"/>
          <w:sz w:val="14"/>
          <w:szCs w:val="14"/>
          <w:u w:val="single" w:color="auto"/>
          <w:color w:val="auto"/>
        </w:rPr>
        <w:t>I</w:t>
      </w:r>
      <w:r>
        <w:rPr>
          <w:rFonts w:ascii="Arial" w:cs="Arial" w:eastAsia="Arial" w:hAnsi="Arial"/>
          <w:sz w:val="14"/>
          <w:szCs w:val="14"/>
          <w:color w:val="auto"/>
        </w:rPr>
        <w:t>nfi</w:t>
      </w:r>
      <w:r>
        <w:rPr>
          <w:rFonts w:ascii="Arial" w:cs="Arial" w:eastAsia="Arial" w:hAnsi="Arial"/>
          <w:sz w:val="14"/>
          <w:szCs w:val="14"/>
          <w:u w:val="single" w:color="auto"/>
          <w:color w:val="auto"/>
        </w:rPr>
        <w:t>L</w:t>
      </w:r>
      <w:r>
        <w:rPr>
          <w:rFonts w:ascii="Arial" w:cs="Arial" w:eastAsia="Arial" w:hAnsi="Arial"/>
          <w:sz w:val="14"/>
          <w:szCs w:val="14"/>
          <w:color w:val="auto"/>
        </w:rPr>
        <w:t xml:space="preserve">tration of </w:t>
      </w:r>
      <w:r>
        <w:rPr>
          <w:rFonts w:ascii="Arial" w:cs="Arial" w:eastAsia="Arial" w:hAnsi="Arial"/>
          <w:sz w:val="14"/>
          <w:szCs w:val="14"/>
          <w:u w:val="single" w:color="auto"/>
          <w:color w:val="auto"/>
        </w:rPr>
        <w:t>E</w:t>
      </w:r>
      <w:r>
        <w:rPr>
          <w:rFonts w:ascii="Arial" w:cs="Arial" w:eastAsia="Arial" w:hAnsi="Arial"/>
          <w:sz w:val="14"/>
          <w:szCs w:val="14"/>
          <w:color w:val="auto"/>
        </w:rPr>
        <w:t xml:space="preserve">xudates in central retinal vein </w:t>
      </w:r>
      <w:r>
        <w:rPr>
          <w:rFonts w:ascii="Arial" w:cs="Arial" w:eastAsia="Arial" w:hAnsi="Arial"/>
          <w:sz w:val="14"/>
          <w:szCs w:val="14"/>
          <w:u w:val="single" w:color="auto"/>
          <w:color w:val="auto"/>
        </w:rPr>
        <w:t>O</w:t>
      </w:r>
      <w:r>
        <w:rPr>
          <w:rFonts w:ascii="Arial" w:cs="Arial" w:eastAsia="Arial" w:hAnsi="Arial"/>
          <w:sz w:val="14"/>
          <w:szCs w:val="14"/>
          <w:color w:val="auto"/>
        </w:rPr>
        <w:t>cclusion with VEGF Trap-Eye) study. Patients in both studies receive six monthly intravitreal injections of either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at a dose of 2.0 mg or sham control injections. The primary endpoint of both studies is improvement in visual acuity versus baseline after six months of treatment as measured by the ETDRS eye chart. At the end of the initial six months, patients are dosed on a PRN basis for another six months. All patients are eligible for rescue laser treatment.</w:t>
      </w:r>
    </w:p>
    <w:p>
      <w:pPr>
        <w:spacing w:after="0" w:line="215" w:lineRule="exact"/>
        <w:rPr>
          <w:sz w:val="20"/>
          <w:szCs w:val="20"/>
          <w:color w:val="auto"/>
        </w:rPr>
      </w:pPr>
    </w:p>
    <w:p>
      <w:pPr>
        <w:jc w:val="both"/>
        <w:ind w:firstLine="230"/>
        <w:spacing w:after="0" w:line="249" w:lineRule="auto"/>
        <w:rPr>
          <w:sz w:val="20"/>
          <w:szCs w:val="20"/>
          <w:color w:val="auto"/>
        </w:rPr>
      </w:pPr>
      <w:r>
        <w:rPr>
          <w:rFonts w:ascii="Arial" w:cs="Arial" w:eastAsia="Arial" w:hAnsi="Arial"/>
          <w:sz w:val="13"/>
          <w:szCs w:val="13"/>
          <w:color w:val="auto"/>
        </w:rPr>
        <w:t>In December 2010, we and Bayer HealthCare announced that in the COPERNICUS study,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demonstrated a statistically significant improvement in visual acuity at six months compared to sham injections, the primary endpoint of the study. In the study,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was generally well tolerated. The most common adverse events were those typically associated with intravitreal injections or the underlying disease. Serious ocular adverse events in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group were uncommon (3.5%), consisting of individual reports of corneal abrasion, endophalmitis, retinal vein occlusion, and reduced visual acuity, and were more frequent in the control group (13.5%). The incidence of non-ocular serious adverse events was generally well-balanced between the treatment arms. There were no deaths among the 114 patients treated with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two (2.7%) in the 73 patients treated with sham injections.</w:t>
      </w:r>
    </w:p>
    <w:p>
      <w:pPr>
        <w:spacing w:after="0" w:line="131" w:lineRule="exact"/>
        <w:rPr>
          <w:sz w:val="20"/>
          <w:szCs w:val="20"/>
          <w:color w:val="auto"/>
        </w:rPr>
      </w:pPr>
    </w:p>
    <w:p>
      <w:pPr>
        <w:jc w:val="both"/>
        <w:ind w:firstLine="252"/>
        <w:spacing w:after="0" w:line="208" w:lineRule="auto"/>
        <w:rPr>
          <w:sz w:val="20"/>
          <w:szCs w:val="20"/>
          <w:color w:val="auto"/>
        </w:rPr>
      </w:pPr>
      <w:r>
        <w:rPr>
          <w:rFonts w:ascii="Arial" w:cs="Arial" w:eastAsia="Arial" w:hAnsi="Arial"/>
          <w:sz w:val="14"/>
          <w:szCs w:val="14"/>
          <w:color w:val="auto"/>
        </w:rPr>
        <w:t>In April 2011, we and Bayer HealthCare announced that in the GALILEO study,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also demonstrated a statistically significant improvement in visual acuity at six months compared to sham injections, the primary endpoint of the study. In this trial, 60.2% of patients receiving 2.0 mg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monthly gained at least 15 letters of vision from baseline, compared to 22.1% of patients receiving sham injections (p&lt;0.0001). Patients receiving 2.0 mg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monthly gained, on average, 18 letters of vision compared to a mean gain of 3.3 letters with sham injections (p&lt;0.0001), a secondary endpoint.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19" w:name="page20"/>
    <w:bookmarkEnd w:id="19"/>
    <w:p>
      <w:pPr>
        <w:jc w:val="both"/>
        <w:ind w:firstLine="241"/>
        <w:spacing w:after="0" w:line="217" w:lineRule="auto"/>
        <w:rPr>
          <w:sz w:val="20"/>
          <w:szCs w:val="20"/>
          <w:color w:val="auto"/>
        </w:rPr>
      </w:pPr>
      <w:r>
        <w:rPr>
          <w:rFonts w:ascii="Arial" w:cs="Arial" w:eastAsia="Arial" w:hAnsi="Arial"/>
          <w:sz w:val="14"/>
          <w:szCs w:val="14"/>
          <w:color w:val="auto"/>
        </w:rPr>
        <w:t>As in the COPERNICUS trial,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was generally well tolerated in the GALILEO study and the most common adverse events were those typically associated with intravitreal injections or the underlying disease. Serious ocular adverse events in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group were 2.9% and were more frequent in the control group (8.8%). The most frequently reported adverse events overall in the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arm were eye pain, conjunctival hemorrhage, and elevated intraocular pressure. The most frequently reported adverse events in the control group were macular edema, eye irritation, and reduction of visual acuity. The incidence of non-ocular serious adverse events was generally well-balanced between the treatment arms. The most frequent non-ocular adverse events were headache and nasopharyngitis. There were no deaths in the study.</w:t>
      </w:r>
    </w:p>
    <w:p>
      <w:pPr>
        <w:spacing w:after="0" w:line="213" w:lineRule="exact"/>
        <w:rPr>
          <w:sz w:val="20"/>
          <w:szCs w:val="20"/>
          <w:color w:val="auto"/>
        </w:rPr>
      </w:pPr>
    </w:p>
    <w:p>
      <w:pPr>
        <w:jc w:val="both"/>
        <w:ind w:firstLine="285"/>
        <w:spacing w:after="0" w:line="226" w:lineRule="auto"/>
        <w:rPr>
          <w:sz w:val="20"/>
          <w:szCs w:val="20"/>
          <w:color w:val="auto"/>
        </w:rPr>
      </w:pPr>
      <w:r>
        <w:rPr>
          <w:rFonts w:ascii="Arial" w:cs="Arial" w:eastAsia="Arial" w:hAnsi="Arial"/>
          <w:sz w:val="14"/>
          <w:szCs w:val="14"/>
          <w:color w:val="auto"/>
        </w:rPr>
        <w:t>Based on these positive results, we intend to submit a regulatory application for marketing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 in the U.S. in the second half of 2011, and Bayer HealthCare is planning to submit regulatory applications in this indication in Europe in 2012.</w:t>
      </w:r>
    </w:p>
    <w:p>
      <w:pPr>
        <w:spacing w:after="0" w:line="213" w:lineRule="exact"/>
        <w:rPr>
          <w:sz w:val="20"/>
          <w:szCs w:val="20"/>
          <w:color w:val="auto"/>
        </w:rPr>
      </w:pPr>
    </w:p>
    <w:p>
      <w:pPr>
        <w:jc w:val="both"/>
        <w:ind w:firstLine="241"/>
        <w:spacing w:after="0" w:line="235" w:lineRule="auto"/>
        <w:rPr>
          <w:sz w:val="20"/>
          <w:szCs w:val="20"/>
          <w:color w:val="auto"/>
        </w:rPr>
      </w:pPr>
      <w:r>
        <w:rPr>
          <w:rFonts w:ascii="Arial" w:cs="Arial" w:eastAsia="Arial" w:hAnsi="Arial"/>
          <w:sz w:val="14"/>
          <w:szCs w:val="14"/>
          <w:color w:val="auto"/>
        </w:rPr>
        <w:t>In the second quarter of 2011, we and Bayer Healthcare initiated Phase 3 studies to evaluate the safety and efficacy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DME. These clinical trials have three study arms. In the first arm, patients will be treated every month with 2.0 mg of EYLEA</w:t>
      </w:r>
      <w:r>
        <w:rPr>
          <w:rFonts w:ascii="Arial" w:cs="Arial" w:eastAsia="Arial" w:hAnsi="Arial"/>
          <w:sz w:val="19"/>
          <w:szCs w:val="19"/>
          <w:color w:val="auto"/>
          <w:vertAlign w:val="superscript"/>
        </w:rPr>
        <w:t>TM</w:t>
      </w:r>
      <w:r>
        <w:rPr>
          <w:rFonts w:ascii="Arial" w:cs="Arial" w:eastAsia="Arial" w:hAnsi="Arial"/>
          <w:sz w:val="14"/>
          <w:szCs w:val="14"/>
          <w:color w:val="auto"/>
        </w:rPr>
        <w:t>. In the second arm, patients will be treated with 2.0 mg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every two months after an initial phase of monthly injections. In the third arm, the comparator arm, patients will be treated with macular laser photocoagulation. The primary endpoint of the study is mean change in visual acuity from baseline as measured by the ETDRS eye chart. All patients will be followed for three years. We are conducting one of these studies, called VISTA-DME (</w:t>
      </w:r>
      <w:r>
        <w:rPr>
          <w:rFonts w:ascii="Arial" w:cs="Arial" w:eastAsia="Arial" w:hAnsi="Arial"/>
          <w:sz w:val="14"/>
          <w:szCs w:val="14"/>
          <w:u w:val="single" w:color="auto"/>
          <w:color w:val="auto"/>
        </w:rPr>
        <w:t>V</w:t>
      </w:r>
      <w:r>
        <w:rPr>
          <w:rFonts w:ascii="Arial" w:cs="Arial" w:eastAsia="Arial" w:hAnsi="Arial"/>
          <w:sz w:val="14"/>
          <w:szCs w:val="14"/>
          <w:color w:val="auto"/>
        </w:rPr>
        <w:t xml:space="preserve">EGF Trap-Eye: </w:t>
      </w:r>
      <w:r>
        <w:rPr>
          <w:rFonts w:ascii="Arial" w:cs="Arial" w:eastAsia="Arial" w:hAnsi="Arial"/>
          <w:sz w:val="14"/>
          <w:szCs w:val="14"/>
          <w:u w:val="single" w:color="auto"/>
          <w:color w:val="auto"/>
        </w:rPr>
        <w:t>I</w:t>
      </w:r>
      <w:r>
        <w:rPr>
          <w:rFonts w:ascii="Arial" w:cs="Arial" w:eastAsia="Arial" w:hAnsi="Arial"/>
          <w:sz w:val="14"/>
          <w:szCs w:val="14"/>
          <w:color w:val="auto"/>
        </w:rPr>
        <w:t xml:space="preserve">nvestigation of </w:t>
      </w:r>
      <w:r>
        <w:rPr>
          <w:rFonts w:ascii="Arial" w:cs="Arial" w:eastAsia="Arial" w:hAnsi="Arial"/>
          <w:sz w:val="14"/>
          <w:szCs w:val="14"/>
          <w:u w:val="single" w:color="auto"/>
          <w:color w:val="auto"/>
        </w:rPr>
        <w:t>S</w:t>
      </w:r>
      <w:r>
        <w:rPr>
          <w:rFonts w:ascii="Arial" w:cs="Arial" w:eastAsia="Arial" w:hAnsi="Arial"/>
          <w:sz w:val="14"/>
          <w:szCs w:val="14"/>
          <w:color w:val="auto"/>
        </w:rPr>
        <w:t xml:space="preserve">afety, </w:t>
      </w:r>
      <w:r>
        <w:rPr>
          <w:rFonts w:ascii="Arial" w:cs="Arial" w:eastAsia="Arial" w:hAnsi="Arial"/>
          <w:sz w:val="14"/>
          <w:szCs w:val="14"/>
          <w:u w:val="single" w:color="auto"/>
          <w:color w:val="auto"/>
        </w:rPr>
        <w:t>T</w:t>
      </w:r>
      <w:r>
        <w:rPr>
          <w:rFonts w:ascii="Arial" w:cs="Arial" w:eastAsia="Arial" w:hAnsi="Arial"/>
          <w:sz w:val="14"/>
          <w:szCs w:val="14"/>
          <w:color w:val="auto"/>
        </w:rPr>
        <w:t xml:space="preserve">reatment effect, and </w:t>
      </w:r>
      <w:r>
        <w:rPr>
          <w:rFonts w:ascii="Arial" w:cs="Arial" w:eastAsia="Arial" w:hAnsi="Arial"/>
          <w:sz w:val="14"/>
          <w:szCs w:val="14"/>
          <w:u w:val="single" w:color="auto"/>
          <w:color w:val="auto"/>
        </w:rPr>
        <w:t>A</w:t>
      </w:r>
      <w:r>
        <w:rPr>
          <w:rFonts w:ascii="Arial" w:cs="Arial" w:eastAsia="Arial" w:hAnsi="Arial"/>
          <w:sz w:val="14"/>
          <w:szCs w:val="14"/>
          <w:color w:val="auto"/>
        </w:rPr>
        <w:t xml:space="preserve">natomic outcomes in </w:t>
      </w:r>
      <w:r>
        <w:rPr>
          <w:rFonts w:ascii="Arial" w:cs="Arial" w:eastAsia="Arial" w:hAnsi="Arial"/>
          <w:sz w:val="14"/>
          <w:szCs w:val="14"/>
          <w:u w:val="single" w:color="auto"/>
          <w:color w:val="auto"/>
        </w:rPr>
        <w:t>DME</w:t>
      </w:r>
      <w:r>
        <w:rPr>
          <w:rFonts w:ascii="Arial" w:cs="Arial" w:eastAsia="Arial" w:hAnsi="Arial"/>
          <w:sz w:val="14"/>
          <w:szCs w:val="14"/>
          <w:color w:val="auto"/>
        </w:rPr>
        <w:t>), with study centers in the U.S., Canada, India and Israel. Bayer Healthcare is conducting the second study, named VIVID-DME (</w:t>
      </w:r>
      <w:r>
        <w:rPr>
          <w:rFonts w:ascii="Arial" w:cs="Arial" w:eastAsia="Arial" w:hAnsi="Arial"/>
          <w:sz w:val="14"/>
          <w:szCs w:val="14"/>
          <w:u w:val="single" w:color="auto"/>
          <w:color w:val="auto"/>
        </w:rPr>
        <w:t>V</w:t>
      </w:r>
      <w:r>
        <w:rPr>
          <w:rFonts w:ascii="Arial" w:cs="Arial" w:eastAsia="Arial" w:hAnsi="Arial"/>
          <w:sz w:val="14"/>
          <w:szCs w:val="14"/>
          <w:color w:val="auto"/>
        </w:rPr>
        <w:t xml:space="preserve">EGF Trap-Eye </w:t>
      </w:r>
      <w:r>
        <w:rPr>
          <w:rFonts w:ascii="Arial" w:cs="Arial" w:eastAsia="Arial" w:hAnsi="Arial"/>
          <w:sz w:val="14"/>
          <w:szCs w:val="14"/>
          <w:u w:val="single" w:color="auto"/>
          <w:color w:val="auto"/>
        </w:rPr>
        <w:t>I</w:t>
      </w:r>
      <w:r>
        <w:rPr>
          <w:rFonts w:ascii="Arial" w:cs="Arial" w:eastAsia="Arial" w:hAnsi="Arial"/>
          <w:sz w:val="14"/>
          <w:szCs w:val="14"/>
          <w:color w:val="auto"/>
        </w:rPr>
        <w:t xml:space="preserve">n </w:t>
      </w:r>
      <w:r>
        <w:rPr>
          <w:rFonts w:ascii="Arial" w:cs="Arial" w:eastAsia="Arial" w:hAnsi="Arial"/>
          <w:sz w:val="14"/>
          <w:szCs w:val="14"/>
          <w:u w:val="single" w:color="auto"/>
          <w:color w:val="auto"/>
        </w:rPr>
        <w:t>V</w:t>
      </w:r>
      <w:r>
        <w:rPr>
          <w:rFonts w:ascii="Arial" w:cs="Arial" w:eastAsia="Arial" w:hAnsi="Arial"/>
          <w:sz w:val="14"/>
          <w:szCs w:val="14"/>
          <w:color w:val="auto"/>
        </w:rPr>
        <w:t xml:space="preserve">ision </w:t>
      </w:r>
      <w:r>
        <w:rPr>
          <w:rFonts w:ascii="Arial" w:cs="Arial" w:eastAsia="Arial" w:hAnsi="Arial"/>
          <w:sz w:val="14"/>
          <w:szCs w:val="14"/>
          <w:u w:val="single" w:color="auto"/>
          <w:color w:val="auto"/>
        </w:rPr>
        <w:t>I</w:t>
      </w:r>
      <w:r>
        <w:rPr>
          <w:rFonts w:ascii="Arial" w:cs="Arial" w:eastAsia="Arial" w:hAnsi="Arial"/>
          <w:sz w:val="14"/>
          <w:szCs w:val="14"/>
          <w:color w:val="auto"/>
        </w:rPr>
        <w:t xml:space="preserve">mpairment </w:t>
      </w:r>
      <w:r>
        <w:rPr>
          <w:rFonts w:ascii="Arial" w:cs="Arial" w:eastAsia="Arial" w:hAnsi="Arial"/>
          <w:sz w:val="14"/>
          <w:szCs w:val="14"/>
          <w:u w:val="single" w:color="auto"/>
          <w:color w:val="auto"/>
        </w:rPr>
        <w:t>D</w:t>
      </w:r>
      <w:r>
        <w:rPr>
          <w:rFonts w:ascii="Arial" w:cs="Arial" w:eastAsia="Arial" w:hAnsi="Arial"/>
          <w:sz w:val="14"/>
          <w:szCs w:val="14"/>
          <w:color w:val="auto"/>
        </w:rPr>
        <w:t xml:space="preserve">ue to </w:t>
      </w:r>
      <w:r>
        <w:rPr>
          <w:rFonts w:ascii="Arial" w:cs="Arial" w:eastAsia="Arial" w:hAnsi="Arial"/>
          <w:sz w:val="14"/>
          <w:szCs w:val="14"/>
          <w:u w:val="single" w:color="auto"/>
          <w:color w:val="auto"/>
        </w:rPr>
        <w:t>DME</w:t>
      </w:r>
      <w:r>
        <w:rPr>
          <w:rFonts w:ascii="Arial" w:cs="Arial" w:eastAsia="Arial" w:hAnsi="Arial"/>
          <w:sz w:val="14"/>
          <w:szCs w:val="14"/>
          <w:color w:val="auto"/>
        </w:rPr>
        <w:t>), with study centers in Europe, Japan, and Australia.</w:t>
      </w:r>
    </w:p>
    <w:p>
      <w:pPr>
        <w:spacing w:after="0" w:line="216" w:lineRule="exact"/>
        <w:rPr>
          <w:sz w:val="20"/>
          <w:szCs w:val="20"/>
          <w:color w:val="auto"/>
        </w:rPr>
      </w:pPr>
    </w:p>
    <w:p>
      <w:pPr>
        <w:jc w:val="both"/>
        <w:ind w:right="20" w:firstLine="263"/>
        <w:spacing w:after="0" w:line="349" w:lineRule="auto"/>
        <w:rPr>
          <w:sz w:val="20"/>
          <w:szCs w:val="20"/>
          <w:color w:val="auto"/>
        </w:rPr>
      </w:pPr>
      <w:r>
        <w:rPr>
          <w:rFonts w:ascii="Arial" w:cs="Arial" w:eastAsia="Arial" w:hAnsi="Arial"/>
          <w:sz w:val="13"/>
          <w:szCs w:val="13"/>
          <w:color w:val="auto"/>
        </w:rPr>
        <w:t>In the first quarter of 2011, we and Bayer HealthCare initiated a Phase 3 trial in Asia in collaboration with the Singapore Eye Research Institute (SERI) investigating the efficacy and safety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patients with CNV of the retina as a result of pathologic myopia. The study, which will enroll approximately 250 patients, has started in Japan and is scheduled to run until June 2013.</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Collaboration with Bayer HealthCare</w:t>
      </w:r>
    </w:p>
    <w:p>
      <w:pPr>
        <w:spacing w:after="0" w:line="236" w:lineRule="exact"/>
        <w:rPr>
          <w:sz w:val="20"/>
          <w:szCs w:val="20"/>
          <w:color w:val="auto"/>
        </w:rPr>
      </w:pPr>
    </w:p>
    <w:p>
      <w:pPr>
        <w:jc w:val="both"/>
        <w:ind w:firstLine="296"/>
        <w:spacing w:after="0" w:line="243" w:lineRule="auto"/>
        <w:rPr>
          <w:sz w:val="20"/>
          <w:szCs w:val="20"/>
          <w:color w:val="auto"/>
        </w:rPr>
      </w:pPr>
      <w:r>
        <w:rPr>
          <w:rFonts w:ascii="Arial" w:cs="Arial" w:eastAsia="Arial" w:hAnsi="Arial"/>
          <w:sz w:val="13"/>
          <w:szCs w:val="13"/>
          <w:color w:val="auto"/>
        </w:rPr>
        <w:t>In October 2006, we entered into a license and collaboration agreement with Bayer HealthCare for the global development and commercialization outside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Under the agreement, we and Bayer HealthCare collaborate on, and share the costs of, the development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through an integrated global plan. Bayer HealthCare will market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where the companies will share equally in profits from any future sales of EYLEA</w:t>
      </w:r>
      <w:r>
        <w:rPr>
          <w:rFonts w:ascii="Arial" w:cs="Arial" w:eastAsia="Arial" w:hAnsi="Arial"/>
          <w:sz w:val="17"/>
          <w:szCs w:val="17"/>
          <w:color w:val="auto"/>
          <w:vertAlign w:val="superscript"/>
        </w:rPr>
        <w:t>TM</w:t>
      </w:r>
      <w:r>
        <w:rPr>
          <w:rFonts w:ascii="Arial" w:cs="Arial" w:eastAsia="Arial" w:hAnsi="Arial"/>
          <w:sz w:val="13"/>
          <w:szCs w:val="13"/>
          <w:color w:val="auto"/>
        </w:rPr>
        <w:t>. Commencing on the first commercial sale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a major market country outside the U.S., we will be obligated to reimburse Bayer HealthCare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HealthCare at a faster rate. Within the U.S., we retain exclusive commercialization rights to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are entitled to all profits from any such sales. We have received $60 million in development milestone payments and can earn up to $50 million in future milestone payments related to marketing approvals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major market countries outside the U.S. We can also earn up to $135 million in sales milestone payments if total annual sales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achieve certain specified levels starting at $200 million.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ZALTRAP</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(aflibercept) also known as VEGF Trap – Oncology</w:t>
      </w:r>
    </w:p>
    <w:p>
      <w:pPr>
        <w:spacing w:after="0" w:line="176" w:lineRule="exact"/>
        <w:rPr>
          <w:sz w:val="20"/>
          <w:szCs w:val="20"/>
          <w:color w:val="auto"/>
        </w:rPr>
      </w:pPr>
    </w:p>
    <w:p>
      <w:pPr>
        <w:jc w:val="both"/>
        <w:ind w:firstLine="230"/>
        <w:spacing w:after="0" w:line="226" w:lineRule="auto"/>
        <w:rPr>
          <w:sz w:val="20"/>
          <w:szCs w:val="20"/>
          <w:color w:val="auto"/>
        </w:rPr>
      </w:pPr>
      <w:r>
        <w:rPr>
          <w:rFonts w:ascii="Arial" w:cs="Arial" w:eastAsia="Arial" w:hAnsi="Arial"/>
          <w:sz w:val="14"/>
          <w:szCs w:val="14"/>
          <w:color w:val="auto"/>
        </w:rPr>
        <w:t>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(aflibercept) is a fusion protein that is designed to bind all forms of VEGF-A, VEGF-B, and PlGF, and prevent their interaction with cell surface receptors. VEGF-A (and to a lesser degree, PlGF) is required for the growth of new blood vessels (a process known as angiogenesis) that are needed for tumors to grow.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20" w:name="page21"/>
    <w:bookmarkEnd w:id="20"/>
    <w:p>
      <w:pPr>
        <w:jc w:val="both"/>
        <w:ind w:firstLine="252"/>
        <w:spacing w:after="0" w:line="250" w:lineRule="auto"/>
        <w:rPr>
          <w:sz w:val="20"/>
          <w:szCs w:val="20"/>
          <w:color w:val="auto"/>
        </w:rPr>
      </w:pPr>
      <w:r>
        <w:rPr>
          <w:rFonts w:ascii="Arial" w:cs="Arial" w:eastAsia="Arial" w:hAnsi="Arial"/>
          <w:sz w:val="14"/>
          <w:szCs w:val="14"/>
          <w:color w:val="auto"/>
        </w:rPr>
        <w:t>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is being developed globally in cancer indications in collaboration with Sanofi. In April 2011, we and Sanofi announced that the Phase 3 VELOUR trial evaluating ZALTRAP™ in combination with the FOLFIRI chemotherapy regimen [folinic acid (leucovorin), 5-fluorouracil, and irinotecan] versus a regimen of FOLFIRI plus placebo met its primary endpoint of improving overall survival (OS) in previously treated metastatic colorectal cancer (mCRC) patients. The VELOUR data were presented in June 2011 at the European Society of Medical Oncology World Congress on Gastrointestinal Cancer. In this study, the addition of ZALTRAP™ to the FOLFIRI chemotherapy regimen significantly improved both overall survival (HR=0.817; p=0.0032) and progression-free survival (HR=0.758; p=0.00007) compared to FOLFIRI plus placebo. A similar effect was seen with ZALTRAP™ therapy whether or not patients had received prior bevacizumab therapy.</w:t>
      </w:r>
    </w:p>
    <w:p>
      <w:pPr>
        <w:spacing w:after="0" w:line="208" w:lineRule="exact"/>
        <w:rPr>
          <w:sz w:val="20"/>
          <w:szCs w:val="20"/>
          <w:color w:val="auto"/>
        </w:rPr>
      </w:pPr>
    </w:p>
    <w:p>
      <w:pPr>
        <w:jc w:val="both"/>
        <w:ind w:firstLine="296"/>
        <w:spacing w:after="0" w:line="276" w:lineRule="auto"/>
        <w:rPr>
          <w:sz w:val="20"/>
          <w:szCs w:val="20"/>
          <w:color w:val="auto"/>
        </w:rPr>
      </w:pPr>
      <w:r>
        <w:rPr>
          <w:rFonts w:ascii="Arial" w:cs="Arial" w:eastAsia="Arial" w:hAnsi="Arial"/>
          <w:sz w:val="14"/>
          <w:szCs w:val="14"/>
          <w:color w:val="auto"/>
        </w:rPr>
        <w:t>In the VELOUR study, grade 3 or 4 adverse events (AEs) that occurred with a more than two percent greater incidence in the ZALTRAP™ arm than in the placebo arm included diarrhea, asthenia/fatigue, stomatitis/ulceration, infections, hypertension, GI/abdominal pains, neutropenia, neutropenic complications and proteinuria. Deaths on study treatment due to AEs occurred in 2.4 percent of patients in the ZALTRAP™ arm and in 1.0 percent of patients in the placebo arm.</w:t>
      </w:r>
    </w:p>
    <w:p>
      <w:pPr>
        <w:spacing w:after="0" w:line="191"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Based upon these positive findings, we and Sanofi plan to submit regulatory applications for marketing approval of ZALTRAP™ for the treatment of previously-treated mCRC patients to the FDA and the European Medicines Agency (EMA) in the second half of 2011.</w:t>
      </w:r>
    </w:p>
    <w:p>
      <w:pPr>
        <w:spacing w:after="0" w:line="178" w:lineRule="exact"/>
        <w:rPr>
          <w:sz w:val="20"/>
          <w:szCs w:val="20"/>
          <w:color w:val="auto"/>
        </w:rPr>
      </w:pPr>
    </w:p>
    <w:p>
      <w:pPr>
        <w:jc w:val="both"/>
        <w:ind w:firstLine="307"/>
        <w:spacing w:after="0" w:line="247" w:lineRule="auto"/>
        <w:rPr>
          <w:sz w:val="20"/>
          <w:szCs w:val="20"/>
          <w:color w:val="auto"/>
        </w:rPr>
      </w:pPr>
      <w:r>
        <w:rPr>
          <w:rFonts w:ascii="Arial" w:cs="Arial" w:eastAsia="Arial" w:hAnsi="Arial"/>
          <w:sz w:val="14"/>
          <w:szCs w:val="14"/>
          <w:color w:val="auto"/>
        </w:rPr>
        <w:t>Another randomized, double-blind Phase 3 trial (VENICE), which is fully enrolled, is evaluating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as a first-line treatment for hormone-refractory metastatic prostate cancer in combination with docetaxel/prednisone. The VENICE trial is being monitored by an Independent Data Monitoring Committee (IDMC), a body of independent clinical and statistical experts. The IDMCs meet periodically to evaluate data from the trial and may recommend changes in study design or study discontinuation. Both interim and final analyses will be conducted when a pre-specified number of events have occurred in this trial. In July 2011, the study’s IDMC met for a scheduled interim analysis and recommended that the trial continue to completion. Final results are anticipated in 2012.</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addition, a randomized Phase 2 study (AFFIRM) of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first-line mCRC in combination with FOLFOX [folinic acid (leucovorin), 5-fluorouracil, and oxaliplatin] is fully enrolled.</w:t>
      </w:r>
    </w:p>
    <w:p>
      <w:pPr>
        <w:spacing w:after="0"/>
        <w:rPr>
          <w:sz w:val="20"/>
          <w:szCs w:val="20"/>
          <w:color w:val="auto"/>
        </w:rPr>
      </w:pPr>
      <w:r>
        <w:rPr>
          <w:rFonts w:ascii="Arial" w:cs="Arial" w:eastAsia="Arial" w:hAnsi="Arial"/>
          <w:sz w:val="14"/>
          <w:szCs w:val="14"/>
          <w:color w:val="auto"/>
        </w:rPr>
        <w:t>Initial data from this study are anticipated in the second half of 2011.</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ZALTRAP</w:t>
      </w:r>
      <w:r>
        <w:rPr>
          <w:rFonts w:ascii="Arial" w:cs="Arial" w:eastAsia="Arial" w:hAnsi="Arial"/>
          <w:sz w:val="19"/>
          <w:szCs w:val="19"/>
          <w:b w:val="1"/>
          <w:bCs w:val="1"/>
          <w:color w:val="auto"/>
          <w:vertAlign w:val="superscript"/>
        </w:rPr>
        <w:t>TM</w:t>
      </w:r>
      <w:r>
        <w:rPr>
          <w:rFonts w:ascii="Arial" w:cs="Arial" w:eastAsia="Arial" w:hAnsi="Arial"/>
          <w:sz w:val="14"/>
          <w:szCs w:val="14"/>
          <w:b w:val="1"/>
          <w:bCs w:val="1"/>
          <w:color w:val="auto"/>
        </w:rPr>
        <w:t xml:space="preserve"> Collaboration with Sanofi</w:t>
      </w:r>
    </w:p>
    <w:p>
      <w:pPr>
        <w:spacing w:after="0" w:line="179" w:lineRule="exact"/>
        <w:rPr>
          <w:sz w:val="20"/>
          <w:szCs w:val="20"/>
          <w:color w:val="auto"/>
        </w:rPr>
      </w:pPr>
    </w:p>
    <w:p>
      <w:pPr>
        <w:jc w:val="both"/>
        <w:ind w:firstLine="230"/>
        <w:spacing w:after="0" w:line="205" w:lineRule="auto"/>
        <w:rPr>
          <w:sz w:val="20"/>
          <w:szCs w:val="20"/>
          <w:color w:val="auto"/>
        </w:rPr>
      </w:pPr>
      <w:r>
        <w:rPr>
          <w:rFonts w:ascii="Arial" w:cs="Arial" w:eastAsia="Arial" w:hAnsi="Arial"/>
          <w:sz w:val="14"/>
          <w:szCs w:val="14"/>
          <w:color w:val="auto"/>
        </w:rPr>
        <w:t>We and Sanofi globally collaborate on the development and commercialization of ZALTRAP</w:t>
      </w:r>
      <w:r>
        <w:rPr>
          <w:rFonts w:ascii="Arial" w:cs="Arial" w:eastAsia="Arial" w:hAnsi="Arial"/>
          <w:sz w:val="19"/>
          <w:szCs w:val="19"/>
          <w:color w:val="auto"/>
          <w:vertAlign w:val="superscript"/>
        </w:rPr>
        <w:t>TM</w:t>
      </w:r>
      <w:r>
        <w:rPr>
          <w:rFonts w:ascii="Arial" w:cs="Arial" w:eastAsia="Arial" w:hAnsi="Arial"/>
          <w:sz w:val="14"/>
          <w:szCs w:val="14"/>
          <w:color w:val="auto"/>
        </w:rPr>
        <w:t>. Under the terms of our September 2003 collaboration agreement, as amended, we and Sanofi will share co-promotion rights and profits on sales, if any, of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outside of Japan for disease indications included in our collaboration. In Japan, we are entitled to a royalty of approximately 35% on annual sales of ZALTRAP</w:t>
      </w:r>
      <w:r>
        <w:rPr>
          <w:rFonts w:ascii="Arial" w:cs="Arial" w:eastAsia="Arial" w:hAnsi="Arial"/>
          <w:sz w:val="19"/>
          <w:szCs w:val="19"/>
          <w:color w:val="auto"/>
          <w:vertAlign w:val="superscript"/>
        </w:rPr>
        <w:t>TM</w:t>
      </w:r>
      <w:r>
        <w:rPr>
          <w:rFonts w:ascii="Arial" w:cs="Arial" w:eastAsia="Arial" w:hAnsi="Arial"/>
          <w:sz w:val="14"/>
          <w:szCs w:val="14"/>
          <w:color w:val="auto"/>
        </w:rPr>
        <w:t>, subject to certain potential adjustments. We may also receive up to $400 million in milestone payments upon receipt of specified marketing approvals, including up to $360 million related to the receipt of marketing approvals for up to eight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oncology and other indications in the U.S. or the European Union and up to $40 million related to the receipt of marketing approvals for up to five oncology indications in Japan.</w:t>
      </w:r>
    </w:p>
    <w:p>
      <w:pPr>
        <w:spacing w:after="0" w:line="213" w:lineRule="exact"/>
        <w:rPr>
          <w:sz w:val="20"/>
          <w:szCs w:val="20"/>
          <w:color w:val="auto"/>
        </w:rPr>
      </w:pPr>
    </w:p>
    <w:p>
      <w:pPr>
        <w:jc w:val="both"/>
        <w:ind w:firstLine="274"/>
        <w:spacing w:after="0" w:line="208" w:lineRule="auto"/>
        <w:rPr>
          <w:sz w:val="20"/>
          <w:szCs w:val="20"/>
          <w:color w:val="auto"/>
        </w:rPr>
      </w:pPr>
      <w:r>
        <w:rPr>
          <w:rFonts w:ascii="Arial" w:cs="Arial" w:eastAsia="Arial" w:hAnsi="Arial"/>
          <w:sz w:val="14"/>
          <w:szCs w:val="14"/>
          <w:color w:val="auto"/>
        </w:rPr>
        <w:t>Under the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collaboration agreement, as amended, agreed upon worldwide development expenses incurred by both companies during the term of the agreement will be funded by Sanofi. If the collaboration becomes profitable, we will be obligated to reimburse Sanofi out of our share of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profits for 50% of the development expenses that they funded. The reimbursement payment in any quarter will equal 5% of the then outstanding repayment obligation, but never more than our share of the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profits in the quarter unless we elect to reimburse Sanofi at a faster rate.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3. 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(rilonacept) – Inflammatory Diseases</w:t>
      </w:r>
    </w:p>
    <w:p>
      <w:pPr>
        <w:spacing w:after="0" w:line="1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4"/>
          <w:szCs w:val="14"/>
          <w:color w:val="auto"/>
        </w:rPr>
        <w:t>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being developed for the prevention of gout flares in patients initiating uric acid-lowering therapy. Gout, a disease in which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allopurinol, is prescribed to eliminate the urate crystals and prevent them from reforming. Paradoxically, the initiation of uric acid-lowering therapy often triggers an increase in the frequency of gout attacks in the first several months of treatment, which may lead to discontinuation of therapy. The break-up of urate crystals can result in stimulation of inflammatory mediators, including IL-1, resulting in acute flares of joint pain and inflammation. These painful flares generally persist for at least five days.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21" w:name="page22"/>
    <w:bookmarkEnd w:id="21"/>
    <w:p>
      <w:pPr>
        <w:jc w:val="both"/>
        <w:ind w:firstLine="340"/>
        <w:spacing w:after="0" w:line="261" w:lineRule="auto"/>
        <w:rPr>
          <w:sz w:val="20"/>
          <w:szCs w:val="20"/>
          <w:color w:val="auto"/>
        </w:rPr>
      </w:pPr>
      <w:r>
        <w:rPr>
          <w:rFonts w:ascii="Arial" w:cs="Arial" w:eastAsia="Arial" w:hAnsi="Arial"/>
          <w:sz w:val="13"/>
          <w:szCs w:val="13"/>
          <w:color w:val="auto"/>
        </w:rPr>
        <w:t>We conducted a Phase 3 clinical development program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gout patients initiating uric acid-lowering therapy. The program consisted of three studies: PRE-SURGE 1 (</w:t>
      </w:r>
      <w:r>
        <w:rPr>
          <w:rFonts w:ascii="Arial" w:cs="Arial" w:eastAsia="Arial" w:hAnsi="Arial"/>
          <w:sz w:val="13"/>
          <w:szCs w:val="13"/>
          <w:u w:val="single" w:color="auto"/>
          <w:color w:val="auto"/>
        </w:rPr>
        <w:t>PRE</w:t>
      </w:r>
      <w:r>
        <w:rPr>
          <w:rFonts w:ascii="Arial" w:cs="Arial" w:eastAsia="Arial" w:hAnsi="Arial"/>
          <w:sz w:val="13"/>
          <w:szCs w:val="13"/>
          <w:color w:val="auto"/>
        </w:rPr>
        <w:t xml:space="preserve">vention </w:t>
      </w:r>
      <w:r>
        <w:rPr>
          <w:rFonts w:ascii="Arial" w:cs="Arial" w:eastAsia="Arial" w:hAnsi="Arial"/>
          <w:sz w:val="13"/>
          <w:szCs w:val="13"/>
          <w:u w:val="single" w:color="auto"/>
          <w:color w:val="auto"/>
        </w:rPr>
        <w:t>S</w:t>
      </w:r>
      <w:r>
        <w:rPr>
          <w:rFonts w:ascii="Arial" w:cs="Arial" w:eastAsia="Arial" w:hAnsi="Arial"/>
          <w:sz w:val="13"/>
          <w:szCs w:val="13"/>
          <w:color w:val="auto"/>
        </w:rPr>
        <w:t xml:space="preserve">tudy against </w:t>
      </w:r>
      <w:r>
        <w:rPr>
          <w:rFonts w:ascii="Arial" w:cs="Arial" w:eastAsia="Arial" w:hAnsi="Arial"/>
          <w:sz w:val="13"/>
          <w:szCs w:val="13"/>
          <w:u w:val="single" w:color="auto"/>
          <w:color w:val="auto"/>
        </w:rPr>
        <w:t>UR</w:t>
      </w:r>
      <w:r>
        <w:rPr>
          <w:rFonts w:ascii="Arial" w:cs="Arial" w:eastAsia="Arial" w:hAnsi="Arial"/>
          <w:sz w:val="13"/>
          <w:szCs w:val="13"/>
          <w:color w:val="auto"/>
        </w:rPr>
        <w:t xml:space="preserve">ate-lowering drug-induced </w:t>
      </w:r>
      <w:r>
        <w:rPr>
          <w:rFonts w:ascii="Arial" w:cs="Arial" w:eastAsia="Arial" w:hAnsi="Arial"/>
          <w:sz w:val="13"/>
          <w:szCs w:val="13"/>
          <w:u w:val="single" w:color="auto"/>
          <w:color w:val="auto"/>
        </w:rPr>
        <w:t>G</w:t>
      </w:r>
      <w:r>
        <w:rPr>
          <w:rFonts w:ascii="Arial" w:cs="Arial" w:eastAsia="Arial" w:hAnsi="Arial"/>
          <w:sz w:val="13"/>
          <w:szCs w:val="13"/>
          <w:color w:val="auto"/>
        </w:rPr>
        <w:t xml:space="preserve">out </w:t>
      </w:r>
      <w:r>
        <w:rPr>
          <w:rFonts w:ascii="Arial" w:cs="Arial" w:eastAsia="Arial" w:hAnsi="Arial"/>
          <w:sz w:val="13"/>
          <w:szCs w:val="13"/>
          <w:u w:val="single" w:color="auto"/>
          <w:color w:val="auto"/>
        </w:rPr>
        <w:t>E</w:t>
      </w:r>
      <w:r>
        <w:rPr>
          <w:rFonts w:ascii="Arial" w:cs="Arial" w:eastAsia="Arial" w:hAnsi="Arial"/>
          <w:sz w:val="13"/>
          <w:szCs w:val="13"/>
          <w:color w:val="auto"/>
        </w:rPr>
        <w:t>xacerbations), PRE-SURGE 2, and RE-SURGE (</w:t>
      </w:r>
      <w:r>
        <w:rPr>
          <w:rFonts w:ascii="Arial" w:cs="Arial" w:eastAsia="Arial" w:hAnsi="Arial"/>
          <w:sz w:val="13"/>
          <w:szCs w:val="13"/>
          <w:u w:val="single" w:color="auto"/>
          <w:color w:val="auto"/>
        </w:rPr>
        <w:t>RE</w:t>
      </w:r>
      <w:r>
        <w:rPr>
          <w:rFonts w:ascii="Arial" w:cs="Arial" w:eastAsia="Arial" w:hAnsi="Arial"/>
          <w:sz w:val="13"/>
          <w:szCs w:val="13"/>
          <w:color w:val="auto"/>
        </w:rPr>
        <w:t xml:space="preserve">view of </w:t>
      </w:r>
      <w:r>
        <w:rPr>
          <w:rFonts w:ascii="Arial" w:cs="Arial" w:eastAsia="Arial" w:hAnsi="Arial"/>
          <w:sz w:val="13"/>
          <w:szCs w:val="13"/>
          <w:u w:val="single" w:color="auto"/>
          <w:color w:val="auto"/>
        </w:rPr>
        <w:t>S</w:t>
      </w:r>
      <w:r>
        <w:rPr>
          <w:rFonts w:ascii="Arial" w:cs="Arial" w:eastAsia="Arial" w:hAnsi="Arial"/>
          <w:sz w:val="13"/>
          <w:szCs w:val="13"/>
          <w:color w:val="auto"/>
        </w:rPr>
        <w:t xml:space="preserve">afety </w:t>
      </w:r>
      <w:r>
        <w:rPr>
          <w:rFonts w:ascii="Arial" w:cs="Arial" w:eastAsia="Arial" w:hAnsi="Arial"/>
          <w:sz w:val="13"/>
          <w:szCs w:val="13"/>
          <w:u w:val="single" w:color="auto"/>
          <w:color w:val="auto"/>
        </w:rPr>
        <w:t>U</w:t>
      </w:r>
      <w:r>
        <w:rPr>
          <w:rFonts w:ascii="Arial" w:cs="Arial" w:eastAsia="Arial" w:hAnsi="Arial"/>
          <w:sz w:val="13"/>
          <w:szCs w:val="13"/>
          <w:color w:val="auto"/>
        </w:rPr>
        <w:t xml:space="preserve">tilizing </w:t>
      </w:r>
      <w:r>
        <w:rPr>
          <w:rFonts w:ascii="Arial" w:cs="Arial" w:eastAsia="Arial" w:hAnsi="Arial"/>
          <w:sz w:val="13"/>
          <w:szCs w:val="13"/>
          <w:u w:val="single" w:color="auto"/>
          <w:color w:val="auto"/>
        </w:rPr>
        <w:t>R</w:t>
      </w:r>
      <w:r>
        <w:rPr>
          <w:rFonts w:ascii="Arial" w:cs="Arial" w:eastAsia="Arial" w:hAnsi="Arial"/>
          <w:sz w:val="13"/>
          <w:szCs w:val="13"/>
          <w:color w:val="auto"/>
        </w:rPr>
        <w:t xml:space="preserve">ilonacept in </w:t>
      </w:r>
      <w:r>
        <w:rPr>
          <w:rFonts w:ascii="Arial" w:cs="Arial" w:eastAsia="Arial" w:hAnsi="Arial"/>
          <w:sz w:val="13"/>
          <w:szCs w:val="13"/>
          <w:u w:val="single" w:color="auto"/>
          <w:color w:val="auto"/>
        </w:rPr>
        <w:t>G</w:t>
      </w:r>
      <w:r>
        <w:rPr>
          <w:rFonts w:ascii="Arial" w:cs="Arial" w:eastAsia="Arial" w:hAnsi="Arial"/>
          <w:sz w:val="13"/>
          <w:szCs w:val="13"/>
          <w:color w:val="auto"/>
        </w:rPr>
        <w:t xml:space="preserve">out </w:t>
      </w:r>
      <w:r>
        <w:rPr>
          <w:rFonts w:ascii="Arial" w:cs="Arial" w:eastAsia="Arial" w:hAnsi="Arial"/>
          <w:sz w:val="13"/>
          <w:szCs w:val="13"/>
          <w:u w:val="single" w:color="auto"/>
          <w:color w:val="auto"/>
        </w:rPr>
        <w:t>E</w:t>
      </w:r>
      <w:r>
        <w:rPr>
          <w:rFonts w:ascii="Arial" w:cs="Arial" w:eastAsia="Arial" w:hAnsi="Arial"/>
          <w:sz w:val="13"/>
          <w:szCs w:val="13"/>
          <w:color w:val="auto"/>
        </w:rPr>
        <w:t>xacerbations).</w:t>
      </w:r>
    </w:p>
    <w:p>
      <w:pPr>
        <w:spacing w:after="0" w:line="195" w:lineRule="exact"/>
        <w:rPr>
          <w:sz w:val="20"/>
          <w:szCs w:val="20"/>
          <w:color w:val="auto"/>
        </w:rPr>
      </w:pPr>
    </w:p>
    <w:p>
      <w:pPr>
        <w:jc w:val="both"/>
        <w:ind w:firstLine="252"/>
        <w:spacing w:after="0" w:line="226" w:lineRule="auto"/>
        <w:rPr>
          <w:sz w:val="20"/>
          <w:szCs w:val="20"/>
          <w:color w:val="auto"/>
        </w:rPr>
      </w:pPr>
      <w:r>
        <w:rPr>
          <w:rFonts w:ascii="Arial" w:cs="Arial" w:eastAsia="Arial" w:hAnsi="Arial"/>
          <w:sz w:val="14"/>
          <w:szCs w:val="14"/>
          <w:color w:val="auto"/>
        </w:rPr>
        <w:t>In June 2010, we announced that results from PRE-SURGE 1, a North America-based double-blind, placebo-controlled study, showed that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prevented gout attacks, as measured by the primary study endpoint of the number of gout flares per patient over the 16 week treatment period.</w:t>
      </w:r>
    </w:p>
    <w:p>
      <w:pPr>
        <w:spacing w:after="0" w:line="213" w:lineRule="exact"/>
        <w:rPr>
          <w:sz w:val="20"/>
          <w:szCs w:val="20"/>
          <w:color w:val="auto"/>
        </w:rPr>
      </w:pPr>
    </w:p>
    <w:p>
      <w:pPr>
        <w:jc w:val="both"/>
        <w:ind w:firstLine="307"/>
        <w:spacing w:after="0" w:line="214" w:lineRule="auto"/>
        <w:rPr>
          <w:sz w:val="20"/>
          <w:szCs w:val="20"/>
          <w:color w:val="auto"/>
        </w:rPr>
      </w:pPr>
      <w:r>
        <w:rPr>
          <w:rFonts w:ascii="Arial" w:cs="Arial" w:eastAsia="Arial" w:hAnsi="Arial"/>
          <w:sz w:val="14"/>
          <w:szCs w:val="14"/>
          <w:color w:val="auto"/>
        </w:rPr>
        <w:t>In addition, all secondary endpoints of the study were highly positive (p&lt;0.001 vs. placebo). Among these endpoints, treatment with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reduced the proportion of patients who experienced two or more flares during the study period by up to 88%. Treatment with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also reduced the proportion of patients who experienced at least one gout flare during the study period by up to 65%.</w:t>
      </w:r>
    </w:p>
    <w:p>
      <w:pPr>
        <w:spacing w:after="0" w:line="215" w:lineRule="exact"/>
        <w:rPr>
          <w:sz w:val="20"/>
          <w:szCs w:val="20"/>
          <w:color w:val="auto"/>
        </w:rPr>
      </w:pPr>
    </w:p>
    <w:p>
      <w:pPr>
        <w:jc w:val="both"/>
        <w:ind w:firstLine="274"/>
        <w:spacing w:after="0" w:line="249" w:lineRule="auto"/>
        <w:rPr>
          <w:sz w:val="20"/>
          <w:szCs w:val="20"/>
          <w:color w:val="auto"/>
        </w:rPr>
      </w:pPr>
      <w:r>
        <w:rPr>
          <w:rFonts w:ascii="Arial" w:cs="Arial" w:eastAsia="Arial" w:hAnsi="Arial"/>
          <w:sz w:val="13"/>
          <w:szCs w:val="13"/>
          <w:color w:val="auto"/>
        </w:rPr>
        <w:t>In February 2011, we reported the results of PRE-SURGE 2 and RE-SURGE. In the PRE-SURGE 2 efficacy study in gout patients initiating allopurinol therapy, which was identical to PRE-SURGE 1 in design and analysis, 248 patients were randomized.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met the primary and all secondary study endpoints. The primary endpoint was the number of gout flares per patient over the 16-week treatment period. Patients who received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at a weekly, self-administered, subcutaneous dose of either 160 mg or 80 mg had a 72% decrease in mean number of gout flares compared to the placebo group (p&lt;0.0001). Among secondary endpoints, treatment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reduced the proportion of patients who experienced two or more flares during the study period by up to 82%. In addition, treatment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reduced the proportion of patients who experienced at least one gout flare during the study period by up to 63%.</w:t>
      </w:r>
    </w:p>
    <w:p>
      <w:pPr>
        <w:spacing w:after="0" w:line="129" w:lineRule="exact"/>
        <w:rPr>
          <w:sz w:val="20"/>
          <w:szCs w:val="20"/>
          <w:color w:val="auto"/>
        </w:rPr>
      </w:pPr>
    </w:p>
    <w:p>
      <w:pPr>
        <w:jc w:val="both"/>
        <w:ind w:firstLine="219"/>
        <w:spacing w:after="0" w:line="261" w:lineRule="auto"/>
        <w:rPr>
          <w:sz w:val="20"/>
          <w:szCs w:val="20"/>
          <w:color w:val="auto"/>
        </w:rPr>
      </w:pPr>
      <w:r>
        <w:rPr>
          <w:rFonts w:ascii="Arial" w:cs="Arial" w:eastAsia="Arial" w:hAnsi="Arial"/>
          <w:sz w:val="13"/>
          <w:szCs w:val="13"/>
          <w:color w:val="auto"/>
        </w:rPr>
        <w:t>We also announced that in the RE-SURGE study, which evaluated the safety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versus placebo over 16 weeks,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generally well tolerated, and the safety profile was consistent with that reported in the PRE-SURGE 1 and PRE-SURGE 2 studies. In the overall gout program, the most frequently reported adverse events were injection site reaction and headache.</w:t>
      </w:r>
    </w:p>
    <w:p>
      <w:pPr>
        <w:spacing w:after="0" w:line="195" w:lineRule="exact"/>
        <w:rPr>
          <w:sz w:val="20"/>
          <w:szCs w:val="20"/>
          <w:color w:val="auto"/>
        </w:rPr>
      </w:pPr>
    </w:p>
    <w:p>
      <w:pPr>
        <w:jc w:val="both"/>
        <w:ind w:firstLine="252"/>
        <w:spacing w:after="0" w:line="226" w:lineRule="auto"/>
        <w:rPr>
          <w:sz w:val="20"/>
          <w:szCs w:val="20"/>
          <w:color w:val="auto"/>
        </w:rPr>
      </w:pPr>
      <w:r>
        <w:rPr>
          <w:rFonts w:ascii="Arial" w:cs="Arial" w:eastAsia="Arial" w:hAnsi="Arial"/>
          <w:sz w:val="14"/>
          <w:szCs w:val="14"/>
          <w:color w:val="auto"/>
        </w:rPr>
        <w:t>In the RE-SURGE study,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also met all secondary endpoints, which evaluated efficacy, over the 16 week treatment period (p&lt;0.0001). These included the number of gout flares per patient, the proportion of patients who experienced two or more flares, and the proportion of patients who experienced at least one gout flare during the study period.</w:t>
      </w:r>
    </w:p>
    <w:p>
      <w:pPr>
        <w:spacing w:after="0" w:line="213" w:lineRule="exact"/>
        <w:rPr>
          <w:sz w:val="20"/>
          <w:szCs w:val="20"/>
          <w:color w:val="auto"/>
        </w:rPr>
      </w:pPr>
    </w:p>
    <w:p>
      <w:pPr>
        <w:jc w:val="both"/>
        <w:ind w:firstLine="219"/>
        <w:spacing w:after="0" w:line="239" w:lineRule="auto"/>
        <w:rPr>
          <w:sz w:val="20"/>
          <w:szCs w:val="20"/>
          <w:color w:val="auto"/>
        </w:rPr>
      </w:pPr>
      <w:r>
        <w:rPr>
          <w:rFonts w:ascii="Arial" w:cs="Arial" w:eastAsia="Arial" w:hAnsi="Arial"/>
          <w:sz w:val="14"/>
          <w:szCs w:val="14"/>
          <w:color w:val="auto"/>
        </w:rPr>
        <w:t>Based on the results of the three Phase 3 studies, we plan to submit in the second half of 2011 a supplemental BLA for U.S. regulatory approval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therapy. We own worldwide rights to ARCALYST</w:t>
      </w: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 Sarilumab (REGN88; IL-6R Antibody) for inflammatory diseases</w:t>
      </w:r>
    </w:p>
    <w:p>
      <w:pPr>
        <w:spacing w:after="0" w:line="232" w:lineRule="exact"/>
        <w:rPr>
          <w:sz w:val="20"/>
          <w:szCs w:val="20"/>
          <w:color w:val="auto"/>
        </w:rPr>
      </w:pPr>
    </w:p>
    <w:p>
      <w:pPr>
        <w:jc w:val="both"/>
        <w:ind w:firstLine="285"/>
        <w:spacing w:after="0" w:line="226" w:lineRule="auto"/>
        <w:rPr>
          <w:sz w:val="20"/>
          <w:szCs w:val="20"/>
          <w:color w:val="auto"/>
        </w:rPr>
      </w:pPr>
      <w:r>
        <w:rPr>
          <w:rFonts w:ascii="Arial" w:cs="Arial" w:eastAsia="Arial" w:hAnsi="Arial"/>
          <w:sz w:val="14"/>
          <w:szCs w:val="14"/>
          <w:color w:val="auto"/>
        </w:rPr>
        <w:t>IL-6 is a key cytokine involved in the pathogenesis of rheumatoid arthritis, causing inflammation and joint destruction. A therapeutic antibody to IL-6R, Actemra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(tocilizumab), a registered trademark of Genentech, has been approved for the treatment of rheumatoid arthritis.</w:t>
      </w:r>
    </w:p>
    <w:p>
      <w:pPr>
        <w:spacing w:after="0" w:line="213" w:lineRule="exact"/>
        <w:rPr>
          <w:sz w:val="20"/>
          <w:szCs w:val="20"/>
          <w:color w:val="auto"/>
        </w:rPr>
      </w:pPr>
    </w:p>
    <w:p>
      <w:pPr>
        <w:jc w:val="both"/>
        <w:ind w:firstLine="307"/>
        <w:spacing w:after="0" w:line="247" w:lineRule="auto"/>
        <w:rPr>
          <w:sz w:val="20"/>
          <w:szCs w:val="20"/>
          <w:color w:val="auto"/>
        </w:rPr>
      </w:pPr>
      <w:r>
        <w:rPr>
          <w:rFonts w:ascii="Arial" w:cs="Arial" w:eastAsia="Arial" w:hAnsi="Arial"/>
          <w:sz w:val="14"/>
          <w:szCs w:val="14"/>
          <w:color w:val="auto"/>
        </w:rPr>
        <w:t xml:space="preserve">Sarilumab is a fully human monoclonal antibody to IL-6R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In July 2011, we and Sanofi announced that in the Phase 2b MOBILITY trial in rheumatoid arthritis (RA), patients treated with sarilumab in combination with a standard RA treatment, methotrexate (MTX), achieved a significant and clinically meaningful improvement in signs and symptoms of moderate-to-severe RA compared to patients treated with MTX alone. The MOBILITY study is a 306-patient, dose-ranging, multi-national, randomized, multi-arm, double-blind, placebo-controlled study, that compared five different dose regimens of sarilumab in combination with MTX to placebo plus MTX. The primary endpoint of the study was the proportion of patients achieving at least a 20% improvement in RA symptoms (ACR20) after 12 weeks.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22" w:name="page23"/>
    <w:bookmarkEnd w:id="22"/>
    <w:p>
      <w:pPr>
        <w:jc w:val="both"/>
        <w:ind w:firstLine="219"/>
        <w:spacing w:after="0" w:line="269" w:lineRule="auto"/>
        <w:rPr>
          <w:sz w:val="20"/>
          <w:szCs w:val="20"/>
          <w:color w:val="auto"/>
        </w:rPr>
      </w:pPr>
      <w:r>
        <w:rPr>
          <w:rFonts w:ascii="Arial" w:cs="Arial" w:eastAsia="Arial" w:hAnsi="Arial"/>
          <w:sz w:val="14"/>
          <w:szCs w:val="14"/>
          <w:color w:val="auto"/>
        </w:rPr>
        <w:t>In the MOBILITY trial, there was a dose response observed in patients receiving sarilumab in combination with MTX. An ACR20 response after 12 weeks was seen in 49.0% of patients receiving the lowest sarilumab dose regimen and 72.0% of patients receiving the highest dose regimen compared to 46.2% of patients receiving placebo and MTX (p=0.02, corrected for multiplicity, for the highest sarilumab dose regimen). The most common adverse events (&gt;5%) reported more frequently in active treatment arms included infections (non-serious), neutropenia, and liver function test abnormalities. The types and frequencies of adverse events were consistent with those previously reported with IL-6 inhibition. The incidence of serious adverse events among the five sarilumab treatment groups and the placebo group was comparable.</w:t>
      </w:r>
    </w:p>
    <w:p>
      <w:pPr>
        <w:spacing w:after="0" w:line="195"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Sarilumab also demonstrated significant benefit compared to placebo in secondary endpoints, including ACR 50, ACR 70, and DAS 28 scores, additional measures of clinical activity used in RA trials.</w:t>
      </w:r>
    </w:p>
    <w:p>
      <w:pPr>
        <w:spacing w:after="0" w:line="180" w:lineRule="exact"/>
        <w:rPr>
          <w:sz w:val="20"/>
          <w:szCs w:val="20"/>
          <w:color w:val="auto"/>
        </w:rPr>
      </w:pPr>
    </w:p>
    <w:p>
      <w:pPr>
        <w:jc w:val="both"/>
        <w:ind w:firstLine="263"/>
        <w:spacing w:after="0" w:line="276" w:lineRule="auto"/>
        <w:rPr>
          <w:sz w:val="20"/>
          <w:szCs w:val="20"/>
          <w:color w:val="auto"/>
        </w:rPr>
      </w:pPr>
      <w:r>
        <w:rPr>
          <w:rFonts w:ascii="Arial" w:cs="Arial" w:eastAsia="Arial" w:hAnsi="Arial"/>
          <w:sz w:val="14"/>
          <w:szCs w:val="14"/>
          <w:color w:val="auto"/>
        </w:rPr>
        <w:t>In July 2011, we and Sanofi announced that in the phase 2b ALIGN trial in ankylosing spondylitis (AS) sarilumab did not demonstrate significant improvements in the signs and symptoms of active AS compared to placebo in patients who had inadequate response to NSAIDs. Sarilumab was generally well tolerated. The most common adverse events reported more frequently in active treatment arms included infections and neutropenia.</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Sarilumab is being developed in collaboration with Sanofi.</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REGN727 (PCSK9 Antibody) for LDL cholesterol reduction</w:t>
      </w:r>
    </w:p>
    <w:p>
      <w:pPr>
        <w:spacing w:after="0" w:line="234" w:lineRule="exact"/>
        <w:rPr>
          <w:sz w:val="20"/>
          <w:szCs w:val="20"/>
          <w:color w:val="auto"/>
        </w:rPr>
      </w:pPr>
    </w:p>
    <w:p>
      <w:pPr>
        <w:jc w:val="both"/>
        <w:ind w:firstLine="219"/>
        <w:spacing w:after="0" w:line="247" w:lineRule="auto"/>
        <w:rPr>
          <w:sz w:val="20"/>
          <w:szCs w:val="20"/>
          <w:color w:val="auto"/>
        </w:rPr>
      </w:pPr>
      <w:r>
        <w:rPr>
          <w:rFonts w:ascii="Arial" w:cs="Arial" w:eastAsia="Arial" w:hAnsi="Arial"/>
          <w:sz w:val="14"/>
          <w:szCs w:val="14"/>
          <w:color w:val="auto"/>
        </w:rPr>
        <w:t xml:space="preserve">Elevated LDL cholesterol (“bad cholesterol”) level is a validated risk factor leading to cardiovascular disease. Statins are a class of drugs that lower LDL cholesterol by upregulating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4"/>
          <w:szCs w:val="14"/>
          <w:i w:val="1"/>
          <w:iCs w:val="1"/>
          <w:color w:val="auto"/>
        </w:rPr>
        <w:t>New England Journal of Medicine</w:t>
      </w:r>
      <w:r>
        <w:rPr>
          <w:rFonts w:ascii="Arial" w:cs="Arial" w:eastAsia="Arial" w:hAnsi="Arial"/>
          <w:sz w:val="14"/>
          <w:szCs w:val="14"/>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to generate a fully human monoclonal antibody inhibitor of PCSK9, called REGN727, that is intended to robustly lower LDL cholesterol.</w:t>
      </w:r>
    </w:p>
    <w:p>
      <w:pPr>
        <w:spacing w:after="0" w:line="209" w:lineRule="exact"/>
        <w:rPr>
          <w:sz w:val="20"/>
          <w:szCs w:val="20"/>
          <w:color w:val="auto"/>
        </w:rPr>
      </w:pPr>
    </w:p>
    <w:p>
      <w:pPr>
        <w:jc w:val="both"/>
        <w:ind w:firstLine="307"/>
        <w:spacing w:after="0" w:line="269" w:lineRule="auto"/>
        <w:rPr>
          <w:sz w:val="20"/>
          <w:szCs w:val="20"/>
          <w:color w:val="auto"/>
        </w:rPr>
      </w:pPr>
      <w:r>
        <w:rPr>
          <w:rFonts w:ascii="Arial" w:cs="Arial" w:eastAsia="Arial" w:hAnsi="Arial"/>
          <w:sz w:val="14"/>
          <w:szCs w:val="14"/>
          <w:color w:val="auto"/>
        </w:rPr>
        <w:t>In May 2010, we announced that in an interim efficacy analysis of a dose-escalating, randomized, double-blind, placebo-controlled, Phase 1 trial in healthy volunteers, REGN727 achieved substantial, dose dependent decreases of LDL cholesterol. Each dosing cohort consisted of six treated and two placebo patients. In July 2010, we presented additional data from this Phase 1 program. At the highest intravenous dose tested, a single dose of REGN727 achieved a greater than 60% maximum mean reduction of LDL cholesterol from baseline that lasted for more than one month. At the highest subcutaneous dose tested, a single dose of REGN727 achieved a greater than 60% maximum mean reduction of LDL cholesterol from baseline that lasted for more than two weeks. No serious adverse events and no dose limiting toxicities have been reported.</w:t>
      </w:r>
    </w:p>
    <w:p>
      <w:pPr>
        <w:spacing w:after="0" w:line="195"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In July 2010, we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at that time, in eleven patients, a single dose of REGN727 achieved an approximately 40% maximum mean additional reduction of LDL cholesterol from baseline. No serious adverse events and no dose limiting toxicities were reported.</w:t>
      </w:r>
    </w:p>
    <w:p>
      <w:pPr>
        <w:spacing w:after="0" w:line="194" w:lineRule="exact"/>
        <w:rPr>
          <w:sz w:val="20"/>
          <w:szCs w:val="20"/>
          <w:color w:val="auto"/>
        </w:rPr>
      </w:pPr>
    </w:p>
    <w:p>
      <w:pPr>
        <w:jc w:val="both"/>
        <w:ind w:firstLine="252"/>
        <w:spacing w:after="0" w:line="298" w:lineRule="auto"/>
        <w:rPr>
          <w:sz w:val="20"/>
          <w:szCs w:val="20"/>
          <w:color w:val="auto"/>
        </w:rPr>
      </w:pPr>
      <w:r>
        <w:rPr>
          <w:rFonts w:ascii="Arial" w:cs="Arial" w:eastAsia="Arial" w:hAnsi="Arial"/>
          <w:sz w:val="13"/>
          <w:szCs w:val="13"/>
          <w:color w:val="auto"/>
        </w:rPr>
        <w:t>During 2011, three Phase 2 studies with subcutaneous regimens of REGN727 have been initiated: (1) a randomized, double-blind, multi-dose, placebo controlled, 75-patient trial in patients with heterozygous familial hypercholesterolemia (heFH), (2) a randomized, double-blind, multi-dose, placebo controlled, 90-patient trial in combination with atorvastatin in patients with primary hypercholesterolemia, and (3) a randomized, double-blind, multi-dose, placebo controlled, 180-patient trial in combination with atorvastatin in patients with primary hypercholesterolemia and on stable doses of atorvastatin. The primary endpoint of each Phase 2 study is the change in LDL cholesterol from baseline compared to placebo over the study period.</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REGN727 is being developed in collaboration with Sanofi.</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6. REGN668 (IL-4R Antibody) for allergic and immune conditions</w:t>
      </w:r>
    </w:p>
    <w:p>
      <w:pPr>
        <w:spacing w:after="0" w:line="23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23" w:name="page24"/>
    <w:bookmarkEnd w:id="23"/>
    <w:p>
      <w:pPr>
        <w:jc w:val="both"/>
        <w:ind w:firstLine="296"/>
        <w:spacing w:after="0" w:line="198" w:lineRule="auto"/>
        <w:rPr>
          <w:sz w:val="20"/>
          <w:szCs w:val="20"/>
          <w:color w:val="auto"/>
        </w:rPr>
      </w:pPr>
      <w:r>
        <w:rPr>
          <w:rFonts w:ascii="Arial" w:cs="Arial" w:eastAsia="Arial" w:hAnsi="Arial"/>
          <w:sz w:val="14"/>
          <w:szCs w:val="14"/>
          <w:color w:val="auto"/>
        </w:rPr>
        <w:t xml:space="preserve">REGN668 is a fully human monoclonal antibody generated using our </w:t>
      </w:r>
      <w:r>
        <w:rPr>
          <w:rFonts w:ascii="Arial" w:cs="Arial" w:eastAsia="Arial" w:hAnsi="Arial"/>
          <w:sz w:val="14"/>
          <w:szCs w:val="14"/>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14"/>
          <w:szCs w:val="14"/>
          <w:color w:val="auto"/>
        </w:rPr>
        <w:t xml:space="preserve"> technology that is designed to bind to IL-4R. REGN668 is in a Phase 1b study in patients with atopic dermatitis and a Phase 2 study in eosinophilic asthma. REGN668 is being developed in collaboration with Sanofi.</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7. REGN421 (Dll4 Antibody) for advanced malignancies</w:t>
      </w:r>
    </w:p>
    <w:p>
      <w:pPr>
        <w:spacing w:after="0" w:line="234" w:lineRule="exact"/>
        <w:rPr>
          <w:sz w:val="20"/>
          <w:szCs w:val="20"/>
          <w:color w:val="auto"/>
        </w:rPr>
      </w:pPr>
    </w:p>
    <w:p>
      <w:pPr>
        <w:jc w:val="both"/>
        <w:ind w:firstLine="241"/>
        <w:spacing w:after="0" w:line="294" w:lineRule="auto"/>
        <w:rPr>
          <w:sz w:val="20"/>
          <w:szCs w:val="20"/>
          <w:color w:val="auto"/>
        </w:rPr>
      </w:pPr>
      <w:r>
        <w:rPr>
          <w:rFonts w:ascii="Arial" w:cs="Arial" w:eastAsia="Arial" w:hAnsi="Arial"/>
          <w:sz w:val="13"/>
          <w:szCs w:val="13"/>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3"/>
          <w:szCs w:val="13"/>
          <w:i w:val="1"/>
          <w:iCs w:val="1"/>
          <w:color w:val="auto"/>
        </w:rPr>
        <w:t>Nature</w:t>
      </w:r>
      <w:r>
        <w:rPr>
          <w:rFonts w:ascii="Arial" w:cs="Arial" w:eastAsia="Arial" w:hAnsi="Arial"/>
          <w:sz w:val="13"/>
          <w:szCs w:val="13"/>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80" w:lineRule="exact"/>
        <w:rPr>
          <w:sz w:val="20"/>
          <w:szCs w:val="20"/>
          <w:color w:val="auto"/>
        </w:rPr>
      </w:pPr>
    </w:p>
    <w:p>
      <w:pPr>
        <w:jc w:val="both"/>
        <w:ind w:firstLine="219"/>
        <w:spacing w:after="0" w:line="226" w:lineRule="auto"/>
        <w:rPr>
          <w:sz w:val="20"/>
          <w:szCs w:val="20"/>
          <w:color w:val="auto"/>
        </w:rPr>
      </w:pPr>
      <w:r>
        <w:rPr>
          <w:rFonts w:ascii="Arial" w:cs="Arial" w:eastAsia="Arial" w:hAnsi="Arial"/>
          <w:sz w:val="14"/>
          <w:szCs w:val="14"/>
          <w:color w:val="auto"/>
        </w:rPr>
        <w:t xml:space="preserve">REGN421 is a fully human monoclonal antibody to Dll4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and is in Phase 1 clinical development. REGN421 is being developed in collaboration with Sanofi.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8. REGN910 (ANG2 Antibody) for oncology</w:t>
      </w:r>
    </w:p>
    <w:p>
      <w:pPr>
        <w:spacing w:after="0" w:line="234" w:lineRule="exact"/>
        <w:rPr>
          <w:sz w:val="20"/>
          <w:szCs w:val="20"/>
          <w:color w:val="auto"/>
        </w:rPr>
      </w:pPr>
    </w:p>
    <w:p>
      <w:pPr>
        <w:jc w:val="both"/>
        <w:ind w:firstLine="219"/>
        <w:spacing w:after="0" w:line="243" w:lineRule="auto"/>
        <w:rPr>
          <w:sz w:val="20"/>
          <w:szCs w:val="20"/>
          <w:color w:val="auto"/>
        </w:rPr>
      </w:pPr>
      <w:r>
        <w:rPr>
          <w:rFonts w:ascii="Arial" w:cs="Arial" w:eastAsia="Arial" w:hAnsi="Arial"/>
          <w:sz w:val="14"/>
          <w:szCs w:val="14"/>
          <w:color w:val="auto"/>
        </w:rPr>
        <w:t xml:space="preserve">In the fourth quarter of 2010, we initiated a Phase 1 study in an oncology setting of REGN910, an antibody that specifically blocks ANG2. The angiopoietins, which were discovered at Regeneron, are ligands for the endothelial cell receptor Tie2 and are essential for vascular development and angiogenesis. Unlike other family members, ANG2 is strongly upregulated by endothelial cells at sites of angiogenesis and vascular remodeling, including tumors. REGN910 is a fully human monoclonal antibody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which is being developed for cancer indications. REGN910 is being developed in collaboration with Sanofi.</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9. REGN475 (NGF Antibody) for pain</w:t>
      </w:r>
    </w:p>
    <w:p>
      <w:pPr>
        <w:spacing w:after="0" w:line="232" w:lineRule="exact"/>
        <w:rPr>
          <w:sz w:val="20"/>
          <w:szCs w:val="20"/>
          <w:color w:val="auto"/>
        </w:rPr>
      </w:pPr>
    </w:p>
    <w:p>
      <w:pPr>
        <w:jc w:val="both"/>
        <w:ind w:firstLine="230"/>
        <w:spacing w:after="0" w:line="261" w:lineRule="auto"/>
        <w:rPr>
          <w:sz w:val="20"/>
          <w:szCs w:val="20"/>
          <w:color w:val="auto"/>
        </w:rPr>
      </w:pPr>
      <w:r>
        <w:rPr>
          <w:rFonts w:ascii="Arial" w:cs="Arial" w:eastAsia="Arial" w:hAnsi="Arial"/>
          <w:sz w:val="13"/>
          <w:szCs w:val="13"/>
          <w:color w:val="auto"/>
        </w:rPr>
        <w:t xml:space="preserve">REGN475 is a fully human monoclonal antibody to NGF, generated using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w:t>
      </w:r>
    </w:p>
    <w:p>
      <w:pPr>
        <w:spacing w:after="0" w:line="197" w:lineRule="exact"/>
        <w:rPr>
          <w:sz w:val="20"/>
          <w:szCs w:val="20"/>
          <w:color w:val="auto"/>
        </w:rPr>
      </w:pPr>
    </w:p>
    <w:p>
      <w:pPr>
        <w:jc w:val="both"/>
        <w:ind w:firstLine="252"/>
        <w:spacing w:after="0" w:line="291" w:lineRule="auto"/>
        <w:rPr>
          <w:sz w:val="20"/>
          <w:szCs w:val="20"/>
          <w:color w:val="auto"/>
        </w:rPr>
      </w:pPr>
      <w:r>
        <w:rPr>
          <w:rFonts w:ascii="Arial" w:cs="Arial" w:eastAsia="Arial" w:hAnsi="Arial"/>
          <w:sz w:val="14"/>
          <w:szCs w:val="14"/>
          <w:color w:val="auto"/>
        </w:rPr>
        <w:t>In May 2010, we announced positive results from an interim analysis of a randomized, double-blind, four-arm, placebo-controlled Phase 2 trial in 217 patients with osteoarthritis of the knee. In July 2010, we presented additional results from this trial through 16 weeks.</w:t>
      </w:r>
    </w:p>
    <w:p>
      <w:pPr>
        <w:spacing w:after="0" w:line="180" w:lineRule="exact"/>
        <w:rPr>
          <w:sz w:val="20"/>
          <w:szCs w:val="20"/>
          <w:color w:val="auto"/>
        </w:rPr>
      </w:pPr>
    </w:p>
    <w:p>
      <w:pPr>
        <w:jc w:val="both"/>
        <w:ind w:firstLine="263"/>
        <w:spacing w:after="0" w:line="294" w:lineRule="auto"/>
        <w:rPr>
          <w:sz w:val="20"/>
          <w:szCs w:val="20"/>
          <w:color w:val="auto"/>
        </w:rPr>
      </w:pPr>
      <w:r>
        <w:rPr>
          <w:rFonts w:ascii="Arial" w:cs="Arial" w:eastAsia="Arial" w:hAnsi="Arial"/>
          <w:sz w:val="13"/>
          <w:szCs w:val="13"/>
          <w:color w:val="auto"/>
        </w:rPr>
        <w:t>In December 2010, we were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on clinical hold. On September 13, 2011, the FDA’s Arthritis Advisory Committee will meet to discuss possible safety issues related to anti-NGF compounds. The FDA will ask the Committee to determine whether reports of joint destruction represent a safety signal for the class and whether the risk-benefit balance for these compounds favors continued development as analgesics. There are currently no ongoing trials with REGN475 that are either enrolling or treating patients. REGN475 is being developed in collaboration with Sanofi.</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REGN728</w:t>
      </w:r>
    </w:p>
    <w:p>
      <w:pPr>
        <w:spacing w:after="0" w:line="232" w:lineRule="exact"/>
        <w:rPr>
          <w:sz w:val="20"/>
          <w:szCs w:val="20"/>
          <w:color w:val="auto"/>
        </w:rPr>
      </w:pPr>
    </w:p>
    <w:p>
      <w:pPr>
        <w:jc w:val="both"/>
        <w:ind w:firstLine="241"/>
        <w:spacing w:after="0" w:line="226" w:lineRule="auto"/>
        <w:rPr>
          <w:sz w:val="20"/>
          <w:szCs w:val="20"/>
          <w:color w:val="auto"/>
        </w:rPr>
      </w:pPr>
      <w:r>
        <w:rPr>
          <w:rFonts w:ascii="Arial" w:cs="Arial" w:eastAsia="Arial" w:hAnsi="Arial"/>
          <w:sz w:val="14"/>
          <w:szCs w:val="14"/>
          <w:color w:val="auto"/>
        </w:rPr>
        <w:t xml:space="preserve">In the fourth quarter of 2010, clinical trials began with REGN728, a fully human monoclonal antibody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against an undisclosed target. REGN728 is being developed in collaboration with Sanofi.</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11. REGN846</w:t>
      </w:r>
    </w:p>
    <w:p>
      <w:pPr>
        <w:spacing w:after="0" w:line="232" w:lineRule="exact"/>
        <w:rPr>
          <w:sz w:val="20"/>
          <w:szCs w:val="20"/>
          <w:color w:val="auto"/>
        </w:rPr>
      </w:pPr>
    </w:p>
    <w:p>
      <w:pPr>
        <w:jc w:val="both"/>
        <w:ind w:firstLine="274"/>
        <w:spacing w:after="0" w:line="267" w:lineRule="auto"/>
        <w:rPr>
          <w:sz w:val="20"/>
          <w:szCs w:val="20"/>
          <w:color w:val="auto"/>
        </w:rPr>
      </w:pPr>
      <w:r>
        <w:rPr>
          <w:rFonts w:ascii="Arial" w:cs="Arial" w:eastAsia="Arial" w:hAnsi="Arial"/>
          <w:sz w:val="13"/>
          <w:szCs w:val="13"/>
          <w:color w:val="auto"/>
        </w:rPr>
        <w:t xml:space="preserve">In the fourth quarter of 2010, we and Sanofi initiated clinical trials with REGN846, a fully human monoclonal antibody generated using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against an undisclosed target. In July 2011, Sanofi elected not to continue co-development of REGN846, and Regeneron now has sole global rights to REGN846. Under the terms of our agreement, Sanofi remains obligated to fund REGN846 clinical costs through conclusion of a planned proof-of-concept trial and is entitled to receive a mid-single digit royalty on any future sales of REGN846.</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Research and Development Technologies:</w:t>
      </w:r>
    </w:p>
    <w:p>
      <w:pPr>
        <w:spacing w:after="0" w:line="238"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3"/>
          <w:szCs w:val="13"/>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85" w:lineRule="exact"/>
        <w:rPr>
          <w:sz w:val="20"/>
          <w:szCs w:val="20"/>
          <w:color w:val="auto"/>
        </w:rPr>
      </w:pPr>
    </w:p>
    <w:p>
      <w:pPr>
        <w:jc w:val="both"/>
        <w:ind w:firstLine="274"/>
        <w:spacing w:after="0" w:line="248" w:lineRule="auto"/>
        <w:rPr>
          <w:sz w:val="20"/>
          <w:szCs w:val="20"/>
          <w:color w:val="auto"/>
        </w:rPr>
      </w:pPr>
      <w:r>
        <w:rPr>
          <w:rFonts w:ascii="Arial" w:cs="Arial" w:eastAsia="Arial" w:hAnsi="Arial"/>
          <w:sz w:val="13"/>
          <w:szCs w:val="13"/>
          <w:color w:val="auto"/>
        </w:rPr>
        <w:t>Our scientists have developed two different technologies to design protein therapeutics to block the action of specific cell surface or secreted proteins. The first technology, termed the “Trap” technology, was used to generate our first approved product, ARCALYST</w:t>
      </w:r>
      <w:r>
        <w:rPr>
          <w:rFonts w:ascii="Arial" w:cs="Arial" w:eastAsia="Arial" w:hAnsi="Arial"/>
          <w:sz w:val="17"/>
          <w:szCs w:val="17"/>
          <w:color w:val="auto"/>
          <w:vertAlign w:val="superscript"/>
        </w:rPr>
        <w:t>®</w:t>
      </w:r>
      <w:r>
        <w:rPr>
          <w:rFonts w:ascii="Arial" w:cs="Arial" w:eastAsia="Arial" w:hAnsi="Arial"/>
          <w:sz w:val="13"/>
          <w:szCs w:val="13"/>
          <w:color w:val="auto"/>
        </w:rPr>
        <w:t>, as well as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color w:val="auto"/>
        </w:rPr>
        <w:t xml:space="preserve"> is our second technology platform; it is used for discovering, developing, and producing fully human monoclonal antibodies that can address both secreted and cell-surface targets.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VelociSuite</w:t>
      </w:r>
      <w:r>
        <w:rPr>
          <w:rFonts w:ascii="Arial" w:cs="Arial" w:eastAsia="Arial" w:hAnsi="Arial"/>
          <w:sz w:val="19"/>
          <w:szCs w:val="19"/>
          <w:b w:val="1"/>
          <w:bCs w:val="1"/>
          <w:i w:val="1"/>
          <w:iCs w:val="1"/>
          <w:color w:val="auto"/>
          <w:vertAlign w:val="superscript"/>
        </w:rPr>
        <w:t>TM</w:t>
      </w:r>
    </w:p>
    <w:p>
      <w:pPr>
        <w:spacing w:after="0" w:line="176" w:lineRule="exact"/>
        <w:rPr>
          <w:sz w:val="20"/>
          <w:szCs w:val="20"/>
          <w:color w:val="auto"/>
        </w:rPr>
      </w:pPr>
    </w:p>
    <w:p>
      <w:pPr>
        <w:jc w:val="both"/>
        <w:ind w:firstLine="384"/>
        <w:spacing w:after="0" w:line="236" w:lineRule="auto"/>
        <w:rPr>
          <w:sz w:val="20"/>
          <w:szCs w:val="20"/>
          <w:color w:val="auto"/>
        </w:rPr>
      </w:pP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consists of</w:t>
      </w:r>
      <w:r>
        <w:rPr>
          <w:rFonts w:ascii="Arial" w:cs="Arial" w:eastAsia="Arial" w:hAnsi="Arial"/>
          <w:sz w:val="13"/>
          <w:szCs w:val="13"/>
          <w:i w:val="1"/>
          <w:iCs w:val="1"/>
          <w:color w:val="auto"/>
        </w:rPr>
        <w:t xml:space="preserve"> VelocImmune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VelociGene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VelociMouse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and VelociMab</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The</w:t>
      </w:r>
      <w:r>
        <w:rPr>
          <w:rFonts w:ascii="Arial" w:cs="Arial" w:eastAsia="Arial" w:hAnsi="Arial"/>
          <w:sz w:val="13"/>
          <w:szCs w:val="13"/>
          <w:i w:val="1"/>
          <w:iCs w:val="1"/>
          <w:color w:val="auto"/>
        </w:rPr>
        <w:t xml:space="preserve"> VelocImmune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mouse platform is utilized to produce fully human monoclonal antibodies.</w:t>
      </w:r>
      <w:r>
        <w:rPr>
          <w:rFonts w:ascii="Arial" w:cs="Arial" w:eastAsia="Arial" w:hAnsi="Arial"/>
          <w:sz w:val="13"/>
          <w:szCs w:val="13"/>
          <w:i w:val="1"/>
          <w:iCs w:val="1"/>
          <w:color w:val="auto"/>
        </w:rPr>
        <w:t xml:space="preserve"> VelocImmune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was generated by exploiting our</w:t>
      </w:r>
      <w:r>
        <w:rPr>
          <w:rFonts w:ascii="Arial" w:cs="Arial" w:eastAsia="Arial" w:hAnsi="Arial"/>
          <w:sz w:val="13"/>
          <w:szCs w:val="13"/>
          <w:i w:val="1"/>
          <w:iCs w:val="1"/>
          <w:color w:val="auto"/>
        </w:rPr>
        <w:t xml:space="preserve"> VelociGene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 (see below), in a process in which six megabases of mouse immune gene loci were replaced, or “humanized,” with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corresponding human immune gene loci.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mice can be used to generate efficiently fully human monoclonal antibodies to targets of therapeutic interest.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and our entire </w:t>
      </w:r>
      <w:r>
        <w:rPr>
          <w:rFonts w:ascii="Arial" w:cs="Arial" w:eastAsia="Arial" w:hAnsi="Arial"/>
          <w:sz w:val="13"/>
          <w:szCs w:val="13"/>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offer the potential to increase the speed and efficiency through which human monoclonal antibody therapeutics may be discovered and validated, thereby improving the overall efficiency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of our early stage drug development activities. We are utilizing the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to produce our next generation of drug candidates for preclinical and clinical development.</w:t>
      </w:r>
    </w:p>
    <w:p>
      <w:pPr>
        <w:spacing w:after="0" w:line="136" w:lineRule="exact"/>
        <w:rPr>
          <w:sz w:val="20"/>
          <w:szCs w:val="20"/>
          <w:color w:val="auto"/>
        </w:rPr>
      </w:pPr>
    </w:p>
    <w:p>
      <w:pPr>
        <w:jc w:val="both"/>
        <w:ind w:firstLine="219"/>
        <w:spacing w:after="0" w:line="223"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offers the opportunity to humanize targets by replacing the mouse gene with the human homolog. Thus,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allows scientists to rapidly identify the physical and biological effects of deleting or over-expressing the target gene, as well as to characterize and test potential therapeutic molecules.</w:t>
      </w:r>
    </w:p>
    <w:p>
      <w:pPr>
        <w:spacing w:after="0" w:line="215" w:lineRule="exact"/>
        <w:rPr>
          <w:sz w:val="20"/>
          <w:szCs w:val="20"/>
          <w:color w:val="auto"/>
        </w:rPr>
      </w:pPr>
    </w:p>
    <w:p>
      <w:pPr>
        <w:jc w:val="both"/>
        <w:ind w:firstLine="285"/>
        <w:spacing w:after="0" w:line="261"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i w:val="1"/>
          <w:iCs w:val="1"/>
          <w:color w:val="auto"/>
        </w:rPr>
        <w:t>VelociMouse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 xml:space="preserve">developed using our </w:t>
      </w:r>
      <w:r>
        <w:rPr>
          <w:rFonts w:ascii="Arial" w:cs="Arial" w:eastAsia="Arial" w:hAnsi="Arial"/>
          <w:sz w:val="14"/>
          <w:szCs w:val="14"/>
          <w:i w:val="1"/>
          <w:iCs w:val="1"/>
          <w:color w:val="auto"/>
        </w:rPr>
        <w:t>VelociMouse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are suitable for direct phenotyping or other studies. We have also developed our </w:t>
      </w:r>
      <w:r>
        <w:rPr>
          <w:rFonts w:ascii="Arial" w:cs="Arial" w:eastAsia="Arial" w:hAnsi="Arial"/>
          <w:sz w:val="14"/>
          <w:szCs w:val="14"/>
          <w:i w:val="1"/>
          <w:iCs w:val="1"/>
          <w:color w:val="auto"/>
        </w:rPr>
        <w:t>VelociMab</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platform for the rapid screening of antibodies and rapid generation of expression cell lines for our Traps and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human monoclonal antibodies.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Antibody Collaboration and License Agreements</w:t>
      </w:r>
    </w:p>
    <w:p>
      <w:pPr>
        <w:spacing w:after="0" w:line="234" w:lineRule="exact"/>
        <w:rPr>
          <w:sz w:val="20"/>
          <w:szCs w:val="20"/>
          <w:color w:val="auto"/>
        </w:rPr>
      </w:pPr>
    </w:p>
    <w:p>
      <w:pPr>
        <w:jc w:val="both"/>
        <w:ind w:firstLine="230"/>
        <w:spacing w:after="0" w:line="296" w:lineRule="auto"/>
        <w:rPr>
          <w:sz w:val="20"/>
          <w:szCs w:val="20"/>
          <w:color w:val="auto"/>
        </w:rPr>
      </w:pPr>
      <w:r>
        <w:rPr>
          <w:rFonts w:ascii="Arial" w:cs="Arial" w:eastAsia="Arial" w:hAnsi="Arial"/>
          <w:sz w:val="13"/>
          <w:szCs w:val="13"/>
          <w:b w:val="1"/>
          <w:bCs w:val="1"/>
          <w:color w:val="auto"/>
        </w:rPr>
        <w:t xml:space="preserve">Sanofi. </w:t>
      </w:r>
      <w:r>
        <w:rPr>
          <w:rFonts w:ascii="Arial" w:cs="Arial" w:eastAsia="Arial" w:hAnsi="Arial"/>
          <w:sz w:val="13"/>
          <w:szCs w:val="13"/>
          <w:color w:val="auto"/>
        </w:rPr>
        <w:t>In November 2007, we and Sanofi entered into a global, strategic collaboration to discover, develop, and commercialize fully human monoclonal antibodies. The collaboration is governed</w:t>
      </w:r>
      <w:r>
        <w:rPr>
          <w:rFonts w:ascii="Arial" w:cs="Arial" w:eastAsia="Arial" w:hAnsi="Arial"/>
          <w:sz w:val="13"/>
          <w:szCs w:val="13"/>
          <w:b w:val="1"/>
          <w:bCs w:val="1"/>
          <w:color w:val="auto"/>
        </w:rPr>
        <w:t xml:space="preserve"> </w:t>
      </w:r>
      <w:r>
        <w:rPr>
          <w:rFonts w:ascii="Arial" w:cs="Arial" w:eastAsia="Arial" w:hAnsi="Arial"/>
          <w:sz w:val="13"/>
          <w:szCs w:val="13"/>
          <w:color w:val="auto"/>
        </w:rPr>
        <w:t>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179"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4"/>
          <w:szCs w:val="14"/>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19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Sanofi will lead commercialization activities for products developed under the license agreement, subject to our right to co-promote such products. The parties will equally share profits and losses from sales within the U.S. The parties will share profits outside the U.S. on a sliding scale based on sales starting at 65% (Sanofi)/35% (us) and ending at 55% (Sanofi)/45% (us), and will share losses outside the U.S. at 55% (Sanofi)/45% (us). In addition to profit sharing, we are entitled to receive up to $250 million in sales milestone payments, with milestone payments commencing after aggregate annual sales outside the U.S. exceed $1.0 billion on a rolling 12-month basis.</w:t>
      </w:r>
    </w:p>
    <w:p>
      <w:pPr>
        <w:spacing w:after="0" w:line="19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In November 2009, we and Sanofi amended these agreements to expand and extend our antibody collaboration. The goal of the expanded collaboration is to advance an average of four to five new antibody product candidates into clinical development each year, for an anticipated total of 30-40 candidates from 2010 through 2017.</w:t>
      </w:r>
    </w:p>
    <w:p>
      <w:pPr>
        <w:spacing w:after="0" w:line="180"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4"/>
          <w:szCs w:val="14"/>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is also obligated to fund up to $30 million of agreed-upon costs we incur to expand our manufacturing capacity at our Rensselaer, New York facilities.</w:t>
      </w:r>
    </w:p>
    <w:p>
      <w:pPr>
        <w:spacing w:after="0" w:line="19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In 2010, as we scaled up our capacity to conduct antibody discovery activities, Sanofi funded $137.7 million of our preclinical research under the expanded collaboration. The balance between that amount and $160 million, or $22.3 million, has been added to the funding otherwise available to us in 2011-2012 under the amended discovery agreement.</w:t>
      </w:r>
    </w:p>
    <w:p>
      <w:pPr>
        <w:spacing w:after="0" w:line="180"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From the collaboration's inception in November 2007 through June 30, 2011, Sanofi has funded a total of $395.5 million of our costs under the discovery agreement and a total of $330.0 million of our development costs under the license agreement, or a total of $725.5 million in funding for our antibody research and development activities during this period.</w:t>
      </w:r>
    </w:p>
    <w:p>
      <w:pPr>
        <w:spacing w:after="0" w:line="178" w:lineRule="exact"/>
        <w:rPr>
          <w:sz w:val="20"/>
          <w:szCs w:val="20"/>
          <w:color w:val="auto"/>
        </w:rPr>
      </w:pPr>
    </w:p>
    <w:p>
      <w:pPr>
        <w:jc w:val="both"/>
        <w:ind w:firstLine="219"/>
        <w:spacing w:after="0" w:line="267" w:lineRule="auto"/>
        <w:rPr>
          <w:sz w:val="20"/>
          <w:szCs w:val="20"/>
          <w:color w:val="auto"/>
        </w:rPr>
      </w:pPr>
      <w:r>
        <w:rPr>
          <w:rFonts w:ascii="Arial" w:cs="Arial" w:eastAsia="Arial" w:hAnsi="Arial"/>
          <w:sz w:val="13"/>
          <w:szCs w:val="13"/>
          <w:color w:val="auto"/>
        </w:rPr>
        <w:t xml:space="preserve">In August 2008, we entered into an agreement with Sanofi to use our </w:t>
      </w:r>
      <w:r>
        <w:rPr>
          <w:rFonts w:ascii="Arial" w:cs="Arial" w:eastAsia="Arial" w:hAnsi="Arial"/>
          <w:sz w:val="13"/>
          <w:szCs w:val="13"/>
          <w:i w:val="1"/>
          <w:iCs w:val="1"/>
          <w:color w:val="auto"/>
        </w:rPr>
        <w:t>VelociGene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platform to supply Sanofi with genetically modified mammalian models of gene function and disease. Under this agreement, Sanofi is required to pay us a minimum of $21.5 million for the term of the agreement, which extends through December 2012, for knock-out and transgenic models of gene function for target genes identified by Sanofi. Sanofi will use these models for its internal research programs that are outside of the scope of our antibody collaboration.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26" w:name="page27"/>
    <w:bookmarkEnd w:id="26"/>
    <w:p>
      <w:pPr>
        <w:jc w:val="both"/>
        <w:ind w:firstLine="219"/>
        <w:spacing w:after="0" w:line="283" w:lineRule="auto"/>
        <w:rPr>
          <w:sz w:val="20"/>
          <w:szCs w:val="20"/>
          <w:color w:val="auto"/>
        </w:rPr>
      </w:pPr>
      <w:r>
        <w:rPr>
          <w:rFonts w:ascii="Arial" w:cs="Arial" w:eastAsia="Arial" w:hAnsi="Arial"/>
          <w:sz w:val="13"/>
          <w:szCs w:val="13"/>
          <w:b w:val="1"/>
          <w:bCs w:val="1"/>
          <w:color w:val="auto"/>
        </w:rPr>
        <w:t xml:space="preserve">Astellas Pharma Inc. </w:t>
      </w:r>
      <w:r>
        <w:rPr>
          <w:rFonts w:ascii="Arial" w:cs="Arial" w:eastAsia="Arial" w:hAnsi="Arial"/>
          <w:sz w:val="13"/>
          <w:szCs w:val="13"/>
          <w:color w:val="auto"/>
        </w:rPr>
        <w:t>In March 2007, we entered into a six-year, non-exclusive license agreement with Astellas Pharma Inc. to allow Astellas to utilize our</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technology in its internal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research programs to discover human monoclonal antibodies. Under the terms of the agreement, Astellas made a $20.0 million annual, non-refundable payment to us in each of the second quarters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mid-single-digit royalty on any future sales of antibody products discovered by Astellas using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technology.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Royalty Agreement with Novartis Pharma AG</w:t>
      </w:r>
    </w:p>
    <w:p>
      <w:pPr>
        <w:spacing w:after="0" w:line="238"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4"/>
          <w:szCs w:val="14"/>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While our royalties under this agreement could be significant if canakinumab is approved and successfully commercialized for additional disease indications, to date these royalties have been minimal. We are unable to predict whether canakinumab will be approved for gout or any other indication in addition to CAPS, or whether, even if approved, canakinumab for such indication(s) will be successfully commercialized. Accordingly, we are unable to predict whether these royalties will ever contribute materially to our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Institutes of Health Grant</w:t>
      </w:r>
    </w:p>
    <w:p>
      <w:pPr>
        <w:spacing w:after="0" w:line="238" w:lineRule="exact"/>
        <w:rPr>
          <w:sz w:val="20"/>
          <w:szCs w:val="20"/>
          <w:color w:val="auto"/>
        </w:rPr>
      </w:pPr>
    </w:p>
    <w:p>
      <w:pPr>
        <w:jc w:val="both"/>
        <w:ind w:firstLine="241"/>
        <w:spacing w:after="0" w:line="307" w:lineRule="auto"/>
        <w:rPr>
          <w:sz w:val="20"/>
          <w:szCs w:val="20"/>
          <w:color w:val="auto"/>
        </w:rPr>
      </w:pPr>
      <w:r>
        <w:rPr>
          <w:rFonts w:ascii="Arial" w:cs="Arial" w:eastAsia="Arial" w:hAnsi="Arial"/>
          <w:sz w:val="13"/>
          <w:szCs w:val="13"/>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Under the NIH grant, as amended, $23.7 million has been received or is receivable from the grant’s inception as of June 30, 2011 and we are entitled to receive an additional $1.6 million through the remaining term of the grant.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Programs</w:t>
      </w:r>
    </w:p>
    <w:p>
      <w:pPr>
        <w:spacing w:after="0" w:line="238"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General:</w:t>
      </w:r>
    </w:p>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4"/>
          <w:szCs w:val="14"/>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or any of our other product candidates. Before significant revenues from the commercialization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5" w:right="219" w:bottom="1440" w:gutter="0" w:footer="0" w:header="0"/>
        </w:sectPr>
      </w:pPr>
    </w:p>
    <w:bookmarkStart w:id="27" w:name="page28"/>
    <w:bookmarkEnd w:id="27"/>
    <w:p>
      <w:pPr>
        <w:jc w:val="both"/>
        <w:ind w:firstLine="241"/>
        <w:spacing w:after="0" w:line="237" w:lineRule="auto"/>
        <w:rPr>
          <w:sz w:val="20"/>
          <w:szCs w:val="20"/>
          <w:color w:val="auto"/>
        </w:rPr>
      </w:pPr>
      <w:r>
        <w:rPr>
          <w:rFonts w:ascii="Arial" w:cs="Arial" w:eastAsia="Arial" w:hAnsi="Arial"/>
          <w:sz w:val="13"/>
          <w:szCs w:val="13"/>
          <w:color w:val="auto"/>
        </w:rPr>
        <w:t>From inception on January 8, 1988 through June 30, 2011, we had a cumulative loss of $1.2 billion, principally related to our research and development activities. We expect to continue to incur substantial expenses related to our research and development activities, a significant portion of which we expect to be reimbursed by our collaborators. We submitted a BLA to the FDA in February 2011 for marketing approval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 in the U.S. In April 2011, the FDA accepted the BLA for filing and granted our request for Priority Review. Under Priority Review, the target date for an FDA decision on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BLA is August 20, 2011. In June 2011, Bayer HealthCare submitted regulatory applications for marketing approval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 in the European Union and in Japan. We plan to submit a BLA to the FDA in the second half of 2011 for marketing approval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CRVO in the U.S., and Bayer HealthCare is planning to submit regulatory applications for marketing approval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CRVO in Europe in 2012. We also plan to submit a supplemental BLA to the FDA in the second half of 2011 for marketing approval in the U.S.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We and Sanofi plan to submit regulatory applications for marketing approval of ZALTRAP™ for the treatment of patients with previously treated mCRC to the FDA and the EMA in the second half of 2011.</w:t>
      </w:r>
    </w:p>
    <w:p>
      <w:pPr>
        <w:spacing w:after="0" w:line="216"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4"/>
          <w:szCs w:val="14"/>
          <w:color w:val="auto"/>
        </w:rPr>
        <w:t>We expect to incur substantial costs to prepare for potential commercialization of these late-stage product candidates and, if one or more of these product candidates receive regulatory approval, to fund the launch of the product(s). Thus, we expect to continue to incur substantial operating losses over at least the next few years related primarily to our research and development and commercialization activities. Also, our research and development activities outside our collaborations, the costs of which are not reimbursed, may expand and require additional resources. Our losses may fluctuate from quarter to quarter and will depend on, among other factors, the scope and progress of our research and development efforts, the progress of our efforts to commercialize our late-stage product candidates, the timing of certain expenses, and the amount of reimbursement that we receive from collaborators. We cannot predict whether or when our late-stage product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will receive regulatory approval or, if such approval is received, whether we will be able to successfully commercialize such product(s), or if we do commercialize such product(s), whether or when they may become profitable.</w:t>
      </w:r>
    </w:p>
    <w:p>
      <w:pPr>
        <w:spacing w:after="0" w:line="20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The planning, execution, and results of our clinical programs are significant factors that can affect our operating and financial results. In our clinical programs, key events in 2011 to date were, and plans for the next 12 months are, as follows:</w:t>
      </w:r>
    </w:p>
    <w:p>
      <w:pPr>
        <w:sectPr>
          <w:pgSz w:w="11900" w:h="16838" w:orient="portrait"/>
          <w:cols w:equalWidth="0" w:num="1">
            <w:col w:w="11460"/>
          </w:cols>
          <w:pgMar w:left="220" w:top="549" w:right="219" w:bottom="1440" w:gutter="0" w:footer="0" w:header="0"/>
        </w:sectPr>
      </w:pPr>
    </w:p>
    <w:p>
      <w:pPr>
        <w:spacing w:after="0" w:line="363" w:lineRule="exact"/>
        <w:rPr>
          <w:sz w:val="20"/>
          <w:szCs w:val="20"/>
          <w:color w:val="auto"/>
        </w:rPr>
      </w:pPr>
    </w:p>
    <w:tbl>
      <w:tblPr>
        <w:tblLayout w:type="fixed"/>
        <w:tblInd w:w="300" w:type="dxa"/>
        <w:tblCellMar>
          <w:top w:w="0" w:type="dxa"/>
          <w:left w:w="0" w:type="dxa"/>
          <w:bottom w:w="0" w:type="dxa"/>
          <w:right w:w="0" w:type="dxa"/>
        </w:tblCellMar>
      </w:tblPr>
      <w:tr>
        <w:trPr>
          <w:trHeight w:val="19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Clinical Program</w:t>
            </w:r>
          </w:p>
        </w:tc>
        <w:tc>
          <w:tcPr>
            <w:tcW w:w="3420" w:type="dxa"/>
            <w:vAlign w:val="bottom"/>
          </w:tcPr>
          <w:p>
            <w:pPr>
              <w:ind w:left="1100"/>
              <w:spacing w:after="0"/>
              <w:rPr>
                <w:sz w:val="20"/>
                <w:szCs w:val="20"/>
                <w:color w:val="auto"/>
              </w:rPr>
            </w:pPr>
            <w:r>
              <w:rPr>
                <w:rFonts w:ascii="Arial" w:cs="Arial" w:eastAsia="Arial" w:hAnsi="Arial"/>
                <w:sz w:val="14"/>
                <w:szCs w:val="14"/>
                <w:b w:val="1"/>
                <w:bCs w:val="1"/>
                <w:color w:val="auto"/>
              </w:rPr>
              <w:t>2011 Events to Date</w:t>
            </w:r>
          </w:p>
        </w:tc>
      </w:tr>
      <w:tr>
        <w:trPr>
          <w:trHeight w:val="165"/>
        </w:trPr>
        <w:tc>
          <w:tcPr>
            <w:tcW w:w="20" w:type="dxa"/>
            <w:vAlign w:val="bottom"/>
          </w:tcPr>
          <w:p>
            <w:pPr>
              <w:spacing w:after="0"/>
              <w:rPr>
                <w:sz w:val="14"/>
                <w:szCs w:val="14"/>
                <w:color w:val="auto"/>
              </w:rPr>
            </w:pPr>
          </w:p>
        </w:tc>
        <w:tc>
          <w:tcPr>
            <w:tcW w:w="3520" w:type="dxa"/>
            <w:vAlign w:val="bottom"/>
            <w:tcBorders>
              <w:top w:val="single" w:sz="8" w:color="auto"/>
            </w:tcBorders>
          </w:tcPr>
          <w:p>
            <w:pPr>
              <w:spacing w:after="0" w:line="165" w:lineRule="exact"/>
              <w:rPr>
                <w:sz w:val="20"/>
                <w:szCs w:val="20"/>
                <w:color w:val="auto"/>
              </w:rPr>
            </w:pPr>
            <w:r>
              <w:rPr>
                <w:rFonts w:ascii="Arial" w:cs="Arial" w:eastAsia="Arial" w:hAnsi="Arial"/>
                <w:sz w:val="14"/>
                <w:szCs w:val="14"/>
                <w:color w:val="auto"/>
              </w:rPr>
              <w:t>EYLEA</w:t>
            </w:r>
            <w:r>
              <w:rPr>
                <w:rFonts w:ascii="Arial" w:cs="Arial" w:eastAsia="Arial" w:hAnsi="Arial"/>
                <w:sz w:val="19"/>
                <w:szCs w:val="19"/>
                <w:color w:val="auto"/>
                <w:vertAlign w:val="superscript"/>
              </w:rPr>
              <w:t>TM</w:t>
            </w:r>
          </w:p>
        </w:tc>
        <w:tc>
          <w:tcPr>
            <w:tcW w:w="180" w:type="dxa"/>
            <w:vAlign w:val="bottom"/>
          </w:tcPr>
          <w:p>
            <w:pPr>
              <w:spacing w:after="0"/>
              <w:rPr>
                <w:sz w:val="14"/>
                <w:szCs w:val="14"/>
                <w:color w:val="auto"/>
              </w:rPr>
            </w:pPr>
          </w:p>
        </w:tc>
        <w:tc>
          <w:tcPr>
            <w:tcW w:w="342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Submitted a BLA to the U.S. FDA for the</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treatment of wet AMD</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FDA accepted BLA for wet AMD and granted</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our request for Priority Review</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FDA Advisory Committee unanimously</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recommended FDA approval of BLA for the</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treatment of wet AMD</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Bayer Healthcare submitted regulatory</w:t>
            </w: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applications for marketing approval for</w:t>
            </w:r>
          </w:p>
        </w:tc>
      </w:tr>
      <w:tr>
        <w:trPr>
          <w:trHeight w:val="177"/>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line="177" w:lineRule="exact"/>
              <w:rPr>
                <w:sz w:val="20"/>
                <w:szCs w:val="20"/>
                <w:color w:val="auto"/>
              </w:rPr>
            </w:pPr>
            <w:r>
              <w:rPr>
                <w:rFonts w:ascii="Arial" w:cs="Arial" w:eastAsia="Arial" w:hAnsi="Arial"/>
                <w:sz w:val="14"/>
                <w:szCs w:val="14"/>
                <w:color w:val="auto"/>
                <w:w w:val="98"/>
              </w:rPr>
              <w:t>EYLEA</w:t>
            </w:r>
            <w:r>
              <w:rPr>
                <w:rFonts w:ascii="Arial" w:cs="Arial" w:eastAsia="Arial" w:hAnsi="Arial"/>
                <w:sz w:val="19"/>
                <w:szCs w:val="19"/>
                <w:color w:val="auto"/>
                <w:w w:val="98"/>
                <w:vertAlign w:val="superscript"/>
              </w:rPr>
              <w:t>TM</w:t>
            </w:r>
            <w:r>
              <w:rPr>
                <w:rFonts w:ascii="Arial" w:cs="Arial" w:eastAsia="Arial" w:hAnsi="Arial"/>
                <w:sz w:val="14"/>
                <w:szCs w:val="14"/>
                <w:color w:val="auto"/>
                <w:w w:val="98"/>
              </w:rPr>
              <w:t xml:space="preserve"> for the treatment of wet AMD in the</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European Union and in Japan</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w w:val="93"/>
              </w:rPr>
              <w:t>Reported positive six-month results in the Phase</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3 GALILEO trial in CRVO</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w w:val="98"/>
              </w:rPr>
              <w:t>Initiated Phase 3 trials in DME in the U.S. and</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outside the U.S.</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w w:val="93"/>
              </w:rPr>
              <w:t>Bayer Healthcare initiated a Phase 3 trial in Asia</w:t>
            </w: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in CNV of the retina as a result of pathologic</w:t>
            </w:r>
          </w:p>
        </w:tc>
      </w:tr>
      <w:tr>
        <w:trPr>
          <w:trHeight w:val="181"/>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ind w:left="600"/>
              <w:spacing w:after="0"/>
              <w:rPr>
                <w:sz w:val="20"/>
                <w:szCs w:val="20"/>
                <w:color w:val="auto"/>
              </w:rPr>
            </w:pPr>
            <w:r>
              <w:rPr>
                <w:rFonts w:ascii="Arial" w:cs="Arial" w:eastAsia="Arial" w:hAnsi="Arial"/>
                <w:sz w:val="14"/>
                <w:szCs w:val="14"/>
                <w:color w:val="auto"/>
              </w:rPr>
              <w:t>myopia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126365</wp:posOffset>
            </wp:positionV>
            <wp:extent cx="690308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3085" cy="698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-1975485</wp:posOffset>
            </wp:positionV>
            <wp:extent cx="53340" cy="53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-1752600</wp:posOffset>
            </wp:positionV>
            <wp:extent cx="53340" cy="53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-1529715</wp:posOffset>
            </wp:positionV>
            <wp:extent cx="53340" cy="53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-1195070</wp:posOffset>
            </wp:positionV>
            <wp:extent cx="53340" cy="53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-749300</wp:posOffset>
            </wp:positionV>
            <wp:extent cx="53340" cy="53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-526415</wp:posOffset>
            </wp:positionV>
            <wp:extent cx="53340" cy="53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-303530</wp:posOffset>
            </wp:positionV>
            <wp:extent cx="53340" cy="53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2011-12 Plans</w:t>
      </w:r>
    </w:p>
    <w:p>
      <w:pPr>
        <w:spacing w:after="0" w:line="36"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23495</wp:posOffset>
            </wp:positionV>
            <wp:extent cx="225679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56790" cy="6985"/>
                    </a:xfrm>
                    <a:prstGeom prst="rect">
                      <a:avLst/>
                    </a:prstGeom>
                    <a:noFill/>
                  </pic:spPr>
                </pic:pic>
              </a:graphicData>
            </a:graphic>
          </wp:anchor>
        </w:drawing>
      </w:r>
    </w:p>
    <w:p>
      <w:pPr>
        <w:spacing w:after="0" w:line="19" w:lineRule="exact"/>
        <w:rPr>
          <w:sz w:val="20"/>
          <w:szCs w:val="20"/>
          <w:color w:val="auto"/>
        </w:rPr>
      </w:pPr>
    </w:p>
    <w:p>
      <w:pPr>
        <w:ind w:right="420"/>
        <w:spacing w:after="0" w:line="226" w:lineRule="auto"/>
        <w:rPr>
          <w:sz w:val="20"/>
          <w:szCs w:val="20"/>
          <w:color w:val="auto"/>
        </w:rPr>
      </w:pPr>
      <w:r>
        <w:rPr>
          <w:rFonts w:ascii="Arial" w:cs="Arial" w:eastAsia="Arial" w:hAnsi="Arial"/>
          <w:sz w:val="14"/>
          <w:szCs w:val="14"/>
          <w:color w:val="auto"/>
        </w:rPr>
        <w:t>Target date for FDA decision on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BLA is August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-191135</wp:posOffset>
            </wp:positionV>
            <wp:extent cx="53340" cy="53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right="300"/>
        <w:spacing w:after="0" w:line="261" w:lineRule="auto"/>
        <w:rPr>
          <w:sz w:val="20"/>
          <w:szCs w:val="20"/>
          <w:color w:val="auto"/>
        </w:rPr>
      </w:pPr>
      <w:r>
        <w:rPr>
          <w:rFonts w:ascii="Arial" w:cs="Arial" w:eastAsia="Arial" w:hAnsi="Arial"/>
          <w:sz w:val="14"/>
          <w:szCs w:val="14"/>
          <w:color w:val="auto"/>
        </w:rPr>
        <w:t>Report two-year data from VIEW 1 and VIEW 2 in wet AMD in the second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-191135</wp:posOffset>
            </wp:positionV>
            <wp:extent cx="53340" cy="53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right="520"/>
        <w:spacing w:after="0" w:line="295" w:lineRule="auto"/>
        <w:rPr>
          <w:sz w:val="20"/>
          <w:szCs w:val="20"/>
          <w:color w:val="auto"/>
        </w:rPr>
      </w:pPr>
      <w:r>
        <w:rPr>
          <w:rFonts w:ascii="Arial" w:cs="Arial" w:eastAsia="Arial" w:hAnsi="Arial"/>
          <w:sz w:val="13"/>
          <w:szCs w:val="13"/>
          <w:color w:val="auto"/>
        </w:rPr>
        <w:t>Report one-year data from COPERNICUS and GALILEO in CRVO in the second half of 2011 Submit a BLA to the FDA for the treatment of CRVO in the second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-435610</wp:posOffset>
            </wp:positionV>
            <wp:extent cx="53340" cy="53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-106680</wp:posOffset>
            </wp:positionH>
            <wp:positionV relativeFrom="paragraph">
              <wp:posOffset>-212725</wp:posOffset>
            </wp:positionV>
            <wp:extent cx="53340" cy="53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922" w:lineRule="exact"/>
        <w:rPr>
          <w:sz w:val="20"/>
          <w:szCs w:val="20"/>
          <w:color w:val="auto"/>
        </w:rPr>
      </w:pPr>
    </w:p>
    <w:p>
      <w:pPr>
        <w:sectPr>
          <w:pgSz w:w="11900" w:h="16838" w:orient="portrait"/>
          <w:cols w:equalWidth="0" w:num="2">
            <w:col w:w="7500" w:space="720"/>
            <w:col w:w="3240"/>
          </w:cols>
          <w:pgMar w:left="220" w:top="549" w:right="21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729170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type w:val="continuous"/>
        </w:sectPr>
      </w:pPr>
    </w:p>
    <w:bookmarkStart w:id="28" w:name="page29"/>
    <w:bookmarkEnd w:id="28"/>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Clinical Program</w:t>
            </w:r>
          </w:p>
        </w:tc>
        <w:tc>
          <w:tcPr>
            <w:tcW w:w="3440" w:type="dxa"/>
            <w:vAlign w:val="bottom"/>
          </w:tcPr>
          <w:p>
            <w:pPr>
              <w:ind w:left="1120"/>
              <w:spacing w:after="0"/>
              <w:rPr>
                <w:sz w:val="20"/>
                <w:szCs w:val="20"/>
                <w:color w:val="auto"/>
              </w:rPr>
            </w:pPr>
            <w:r>
              <w:rPr>
                <w:rFonts w:ascii="Arial" w:cs="Arial" w:eastAsia="Arial" w:hAnsi="Arial"/>
                <w:sz w:val="14"/>
                <w:szCs w:val="14"/>
                <w:b w:val="1"/>
                <w:bCs w:val="1"/>
                <w:color w:val="auto"/>
              </w:rPr>
              <w:t>2011 Events to Date</w:t>
            </w:r>
          </w:p>
        </w:tc>
      </w:tr>
      <w:tr>
        <w:trPr>
          <w:trHeight w:val="24"/>
        </w:trPr>
        <w:tc>
          <w:tcPr>
            <w:tcW w:w="2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3500" w:type="dxa"/>
            <w:vAlign w:val="bottom"/>
          </w:tcPr>
          <w:p>
            <w:pPr>
              <w:spacing w:after="0" w:line="159" w:lineRule="exact"/>
              <w:rPr>
                <w:sz w:val="20"/>
                <w:szCs w:val="20"/>
                <w:color w:val="auto"/>
              </w:rPr>
            </w:pPr>
            <w:r>
              <w:rPr>
                <w:rFonts w:ascii="Arial" w:cs="Arial" w:eastAsia="Arial" w:hAnsi="Arial"/>
                <w:sz w:val="14"/>
                <w:szCs w:val="14"/>
                <w:color w:val="auto"/>
              </w:rPr>
              <w:t>ZALTRAP</w:t>
            </w:r>
            <w:r>
              <w:rPr>
                <w:rFonts w:ascii="Arial" w:cs="Arial" w:eastAsia="Arial" w:hAnsi="Arial"/>
                <w:sz w:val="18"/>
                <w:szCs w:val="18"/>
                <w:color w:val="auto"/>
                <w:vertAlign w:val="superscript"/>
              </w:rPr>
              <w:t>TM</w:t>
            </w:r>
          </w:p>
        </w:tc>
        <w:tc>
          <w:tcPr>
            <w:tcW w:w="180" w:type="dxa"/>
            <w:vAlign w:val="bottom"/>
          </w:tcPr>
          <w:p>
            <w:pPr>
              <w:spacing w:after="0"/>
              <w:rPr>
                <w:sz w:val="13"/>
                <w:szCs w:val="13"/>
                <w:color w:val="auto"/>
              </w:rPr>
            </w:pPr>
          </w:p>
        </w:tc>
        <w:tc>
          <w:tcPr>
            <w:tcW w:w="3440" w:type="dxa"/>
            <w:vAlign w:val="bottom"/>
          </w:tcPr>
          <w:p>
            <w:pPr>
              <w:ind w:left="600"/>
              <w:spacing w:after="0" w:line="159" w:lineRule="exact"/>
              <w:rPr>
                <w:sz w:val="20"/>
                <w:szCs w:val="20"/>
                <w:color w:val="auto"/>
              </w:rPr>
            </w:pPr>
            <w:r>
              <w:rPr>
                <w:rFonts w:ascii="Arial" w:cs="Arial" w:eastAsia="Arial" w:hAnsi="Arial"/>
                <w:sz w:val="14"/>
                <w:szCs w:val="14"/>
                <w:color w:val="auto"/>
              </w:rPr>
              <w:t>Presented positive results from the Phase 3</w:t>
            </w:r>
          </w:p>
        </w:tc>
      </w:t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rPr>
                <w:sz w:val="20"/>
                <w:szCs w:val="20"/>
                <w:color w:val="auto"/>
              </w:rPr>
            </w:pPr>
            <w:r>
              <w:rPr>
                <w:rFonts w:ascii="Arial" w:cs="Arial" w:eastAsia="Arial" w:hAnsi="Arial"/>
                <w:sz w:val="14"/>
                <w:szCs w:val="14"/>
                <w:color w:val="auto"/>
              </w:rPr>
              <w:t>VELOUR trial in previously treated metastatic</w:t>
            </w:r>
          </w:p>
        </w:tc>
      </w:t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rPr>
                <w:sz w:val="20"/>
                <w:szCs w:val="20"/>
                <w:color w:val="auto"/>
              </w:rPr>
            </w:pPr>
            <w:r>
              <w:rPr>
                <w:rFonts w:ascii="Arial" w:cs="Arial" w:eastAsia="Arial" w:hAnsi="Arial"/>
                <w:sz w:val="14"/>
                <w:szCs w:val="14"/>
                <w:color w:val="auto"/>
              </w:rPr>
              <w:t>colorectal cancer (mCRC) patients</w:t>
            </w:r>
          </w:p>
        </w:tc>
      </w:t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rPr>
                <w:sz w:val="20"/>
                <w:szCs w:val="20"/>
                <w:color w:val="auto"/>
              </w:rPr>
            </w:pPr>
            <w:r>
              <w:rPr>
                <w:rFonts w:ascii="Arial" w:cs="Arial" w:eastAsia="Arial" w:hAnsi="Arial"/>
                <w:sz w:val="14"/>
                <w:szCs w:val="14"/>
                <w:color w:val="auto"/>
                <w:w w:val="98"/>
              </w:rPr>
              <w:t>IDMC reviewed interim results for the Phase 3</w:t>
            </w:r>
          </w:p>
        </w:tc>
      </w:t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rPr>
                <w:sz w:val="20"/>
                <w:szCs w:val="20"/>
                <w:color w:val="auto"/>
              </w:rPr>
            </w:pPr>
            <w:r>
              <w:rPr>
                <w:rFonts w:ascii="Arial" w:cs="Arial" w:eastAsia="Arial" w:hAnsi="Arial"/>
                <w:sz w:val="14"/>
                <w:szCs w:val="14"/>
                <w:color w:val="auto"/>
              </w:rPr>
              <w:t>VENICE trial in prostate cancer and</w:t>
            </w:r>
          </w:p>
        </w:tc>
      </w:t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rPr>
                <w:sz w:val="20"/>
                <w:szCs w:val="20"/>
                <w:color w:val="auto"/>
              </w:rPr>
            </w:pPr>
            <w:r>
              <w:rPr>
                <w:rFonts w:ascii="Arial" w:cs="Arial" w:eastAsia="Arial" w:hAnsi="Arial"/>
                <w:sz w:val="14"/>
                <w:szCs w:val="14"/>
                <w:color w:val="auto"/>
              </w:rPr>
              <w:t>recommended study continue to completion</w:t>
            </w: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rPr>
                <w:sz w:val="20"/>
                <w:szCs w:val="20"/>
                <w:color w:val="auto"/>
              </w:rPr>
            </w:pPr>
            <w:r>
              <w:rPr>
                <w:rFonts w:ascii="Arial" w:cs="Arial" w:eastAsia="Arial" w:hAnsi="Arial"/>
                <w:sz w:val="14"/>
                <w:szCs w:val="14"/>
                <w:color w:val="auto"/>
                <w:w w:val="95"/>
              </w:rPr>
              <w:t>Reported results for the VITAL trial in non-small</w:t>
            </w:r>
          </w:p>
        </w:tc>
      </w:tr>
      <w:tr>
        <w:trPr>
          <w:trHeight w:val="177"/>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line="177" w:lineRule="exact"/>
              <w:rPr>
                <w:sz w:val="20"/>
                <w:szCs w:val="20"/>
                <w:color w:val="auto"/>
              </w:rPr>
            </w:pPr>
            <w:r>
              <w:rPr>
                <w:rFonts w:ascii="Arial" w:cs="Arial" w:eastAsia="Arial" w:hAnsi="Arial"/>
                <w:sz w:val="14"/>
                <w:szCs w:val="14"/>
                <w:color w:val="auto"/>
              </w:rPr>
              <w:t>cell lung cancer.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did not meet</w:t>
            </w:r>
          </w:p>
        </w:tc>
      </w:tr>
      <w:tr>
        <w:trPr>
          <w:trHeight w:val="181"/>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Pr>
          <w:p>
            <w:pPr>
              <w:ind w:left="600"/>
              <w:spacing w:after="0"/>
              <w:rPr>
                <w:sz w:val="20"/>
                <w:szCs w:val="20"/>
                <w:color w:val="auto"/>
              </w:rPr>
            </w:pPr>
            <w:r>
              <w:rPr>
                <w:rFonts w:ascii="Arial" w:cs="Arial" w:eastAsia="Arial" w:hAnsi="Arial"/>
                <w:sz w:val="14"/>
                <w:szCs w:val="14"/>
                <w:color w:val="auto"/>
              </w:rPr>
              <w:t>primary study endpoint.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126365</wp:posOffset>
            </wp:positionV>
            <wp:extent cx="690308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03085" cy="698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-972185</wp:posOffset>
            </wp:positionV>
            <wp:extent cx="53340" cy="5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-637540</wp:posOffset>
            </wp:positionV>
            <wp:extent cx="53340" cy="53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-303530</wp:posOffset>
            </wp:positionV>
            <wp:extent cx="53340" cy="53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Arial" w:cs="Arial" w:eastAsia="Arial" w:hAnsi="Arial"/>
          <w:sz w:val="14"/>
          <w:szCs w:val="14"/>
          <w:b w:val="1"/>
          <w:bCs w:val="1"/>
          <w:color w:val="auto"/>
        </w:rPr>
        <w:t>2011-12 Plans</w:t>
      </w:r>
    </w:p>
    <w:p>
      <w:pPr>
        <w:spacing w:after="0" w:line="36" w:lineRule="exact"/>
        <w:rPr>
          <w:sz w:val="20"/>
          <w:szCs w:val="20"/>
          <w:color w:val="auto"/>
        </w:rPr>
      </w:pPr>
    </w:p>
    <w:p>
      <w:pPr>
        <w:jc w:val="center"/>
        <w:ind w:right="920"/>
        <w:spacing w:after="0"/>
        <w:rPr>
          <w:sz w:val="20"/>
          <w:szCs w:val="20"/>
          <w:color w:val="auto"/>
        </w:rPr>
      </w:pPr>
      <w:r>
        <w:rPr>
          <w:rFonts w:ascii="Arial" w:cs="Arial" w:eastAsia="Arial" w:hAnsi="Arial"/>
          <w:sz w:val="14"/>
          <w:szCs w:val="14"/>
          <w:b w:val="1"/>
          <w:bCs w:val="1"/>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30480</wp:posOffset>
            </wp:positionV>
            <wp:extent cx="22567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56790" cy="6985"/>
                    </a:xfrm>
                    <a:prstGeom prst="rect">
                      <a:avLst/>
                    </a:prstGeom>
                    <a:noFill/>
                  </pic:spPr>
                </pic:pic>
              </a:graphicData>
            </a:graphic>
          </wp:anchor>
        </w:drawing>
      </w:r>
    </w:p>
    <w:p>
      <w:pPr>
        <w:spacing w:after="0" w:line="31" w:lineRule="exact"/>
        <w:rPr>
          <w:sz w:val="20"/>
          <w:szCs w:val="20"/>
          <w:color w:val="auto"/>
        </w:rPr>
      </w:pPr>
    </w:p>
    <w:p>
      <w:pPr>
        <w:ind w:right="600"/>
        <w:spacing w:after="0" w:line="265" w:lineRule="auto"/>
        <w:rPr>
          <w:sz w:val="20"/>
          <w:szCs w:val="20"/>
          <w:color w:val="auto"/>
        </w:rPr>
      </w:pPr>
      <w:r>
        <w:rPr>
          <w:rFonts w:ascii="Arial" w:cs="Arial" w:eastAsia="Arial" w:hAnsi="Arial"/>
          <w:sz w:val="14"/>
          <w:szCs w:val="14"/>
          <w:color w:val="auto"/>
        </w:rPr>
        <w:t>Submit a BLA to the FDA for the treatment of mCRC in the second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-191135</wp:posOffset>
            </wp:positionV>
            <wp:extent cx="53340" cy="53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right="420"/>
        <w:spacing w:after="0" w:line="323" w:lineRule="auto"/>
        <w:rPr>
          <w:sz w:val="20"/>
          <w:szCs w:val="20"/>
          <w:color w:val="auto"/>
        </w:rPr>
      </w:pPr>
      <w:r>
        <w:rPr>
          <w:rFonts w:ascii="Arial" w:cs="Arial" w:eastAsia="Arial" w:hAnsi="Arial"/>
          <w:sz w:val="13"/>
          <w:szCs w:val="13"/>
          <w:color w:val="auto"/>
        </w:rPr>
        <w:t>Report initial results in the Phase 2 AFFIRM trial in colorectal cancer in the second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-224790</wp:posOffset>
            </wp:positionV>
            <wp:extent cx="53340" cy="53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998" w:lineRule="exact"/>
        <w:rPr>
          <w:sz w:val="20"/>
          <w:szCs w:val="20"/>
          <w:color w:val="auto"/>
        </w:rPr>
      </w:pPr>
    </w:p>
    <w:p>
      <w:pPr>
        <w:sectPr>
          <w:pgSz w:w="11900" w:h="16838" w:orient="portrait"/>
          <w:cols w:equalWidth="0" w:num="2">
            <w:col w:w="7500" w:space="720"/>
            <w:col w:w="3260"/>
          </w:cols>
          <w:pgMar w:left="220" w:top="874" w:right="199" w:bottom="1440" w:gutter="0" w:footer="0" w:header="0"/>
        </w:sectPr>
      </w:pPr>
    </w:p>
    <w:p>
      <w:pPr>
        <w:ind w:left="300"/>
        <w:spacing w:after="0"/>
        <w:rPr>
          <w:sz w:val="20"/>
          <w:szCs w:val="20"/>
          <w:color w:val="auto"/>
        </w:rPr>
      </w:pPr>
      <w:r>
        <w:rPr>
          <w:rFonts w:ascii="Arial" w:cs="Arial" w:eastAsia="Arial" w:hAnsi="Arial"/>
          <w:sz w:val="14"/>
          <w:szCs w:val="14"/>
          <w:color w:val="auto"/>
        </w:rPr>
        <w:t>ARCALYST</w:t>
      </w:r>
      <w:r>
        <w:rPr>
          <w:rFonts w:ascii="Arial" w:cs="Arial" w:eastAsia="Arial" w:hAnsi="Arial"/>
          <w:sz w:val="19"/>
          <w:szCs w:val="19"/>
          <w:color w:val="auto"/>
          <w:vertAlign w:val="superscript"/>
        </w:rPr>
        <w:t xml:space="preserve">®                                                                </w:t>
      </w:r>
      <w:r>
        <w:rPr>
          <w:sz w:val="1"/>
          <w:szCs w:val="1"/>
          <w:color w:val="auto"/>
        </w:rPr>
        <w:drawing>
          <wp:inline distT="0" distB="0" distL="0" distR="0">
            <wp:extent cx="53340" cy="533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340" cy="53340"/>
                    </a:xfrm>
                    <a:prstGeom prst="rect">
                      <a:avLst/>
                    </a:prstGeom>
                    <a:noFill/>
                    <a:ln>
                      <a:noFill/>
                    </a:ln>
                  </pic:spPr>
                </pic:pic>
              </a:graphicData>
            </a:graphic>
          </wp:inline>
        </w:drawing>
      </w:r>
      <w:r>
        <w:rPr>
          <w:rFonts w:ascii="Arial" w:cs="Arial" w:eastAsia="Arial" w:hAnsi="Arial"/>
          <w:sz w:val="14"/>
          <w:szCs w:val="14"/>
          <w:color w:val="auto"/>
        </w:rPr>
        <w:t xml:space="preserve">  Reported positive results from two Phase 3</w:t>
      </w:r>
    </w:p>
    <w:p>
      <w:pPr>
        <w:ind w:left="4600"/>
        <w:spacing w:after="0"/>
        <w:rPr>
          <w:sz w:val="20"/>
          <w:szCs w:val="20"/>
          <w:color w:val="auto"/>
        </w:rPr>
      </w:pPr>
      <w:r>
        <w:rPr>
          <w:rFonts w:ascii="Arial" w:cs="Arial" w:eastAsia="Arial" w:hAnsi="Arial"/>
          <w:sz w:val="13"/>
          <w:szCs w:val="13"/>
          <w:color w:val="auto"/>
        </w:rPr>
        <w:t>studies for the prevention of gout flares (PRE-</w:t>
      </w:r>
    </w:p>
    <w:p>
      <w:pPr>
        <w:spacing w:after="0" w:line="20"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SURGE 2 and RESURGE)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135890</wp:posOffset>
            </wp:positionV>
            <wp:extent cx="690308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030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20"/>
        <w:spacing w:after="0" w:line="332" w:lineRule="auto"/>
        <w:rPr>
          <w:sz w:val="20"/>
          <w:szCs w:val="20"/>
          <w:color w:val="auto"/>
        </w:rPr>
      </w:pPr>
      <w:r>
        <w:rPr>
          <w:rFonts w:ascii="Arial" w:cs="Arial" w:eastAsia="Arial" w:hAnsi="Arial"/>
          <w:sz w:val="13"/>
          <w:szCs w:val="13"/>
          <w:color w:val="auto"/>
        </w:rPr>
        <w:t>Submit a supplemental BLA to the FDA for the prevention of gout flares in the second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-227965</wp:posOffset>
            </wp:positionV>
            <wp:extent cx="53340" cy="53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7500" w:space="720"/>
            <w:col w:w="3260"/>
          </w:cols>
          <w:pgMar w:left="220" w:top="874" w:right="199" w:bottom="1440" w:gutter="0" w:footer="0" w:header="0"/>
          <w:type w:val="continuous"/>
        </w:sectPr>
      </w:pPr>
    </w:p>
    <w:p>
      <w:pPr>
        <w:spacing w:after="0" w:line="17" w:lineRule="exact"/>
        <w:rPr>
          <w:sz w:val="20"/>
          <w:szCs w:val="20"/>
          <w:color w:val="auto"/>
        </w:rPr>
      </w:pPr>
    </w:p>
    <w:p>
      <w:pPr>
        <w:ind w:left="300"/>
        <w:spacing w:after="0"/>
        <w:tabs>
          <w:tab w:leader="none" w:pos="4410" w:val="left"/>
        </w:tabs>
        <w:rPr>
          <w:sz w:val="20"/>
          <w:szCs w:val="20"/>
          <w:color w:val="auto"/>
        </w:rPr>
      </w:pPr>
      <w:r>
        <w:rPr>
          <w:rFonts w:ascii="Arial" w:cs="Arial" w:eastAsia="Arial" w:hAnsi="Arial"/>
          <w:sz w:val="12"/>
          <w:szCs w:val="12"/>
          <w:color w:val="auto"/>
        </w:rPr>
        <w:t>Sarilumab</w:t>
      </w:r>
      <w:r>
        <w:rPr>
          <w:sz w:val="20"/>
          <w:szCs w:val="20"/>
          <w:color w:val="auto"/>
        </w:rPr>
        <w:tab/>
      </w:r>
      <w:r>
        <w:rPr>
          <w:sz w:val="1"/>
          <w:szCs w:val="1"/>
          <w:color w:val="auto"/>
        </w:rPr>
        <w:drawing>
          <wp:inline distT="0" distB="0" distL="0" distR="0">
            <wp:extent cx="53340" cy="53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340" cy="53340"/>
                    </a:xfrm>
                    <a:prstGeom prst="rect">
                      <a:avLst/>
                    </a:prstGeom>
                    <a:noFill/>
                    <a:ln>
                      <a:noFill/>
                    </a:ln>
                  </pic:spPr>
                </pic:pic>
              </a:graphicData>
            </a:graphic>
          </wp:inline>
        </w:drawing>
      </w:r>
      <w:r>
        <w:rPr>
          <w:rFonts w:ascii="Arial" w:cs="Arial" w:eastAsia="Arial" w:hAnsi="Arial"/>
          <w:sz w:val="12"/>
          <w:szCs w:val="12"/>
          <w:color w:val="auto"/>
        </w:rPr>
        <w:t xml:space="preserve">  Reported positive Phase 2b data in rheumatoid</w:t>
      </w:r>
    </w:p>
    <w:p>
      <w:pPr>
        <w:spacing w:after="0" w:line="43" w:lineRule="exact"/>
        <w:rPr>
          <w:sz w:val="20"/>
          <w:szCs w:val="20"/>
          <w:color w:val="auto"/>
        </w:rPr>
      </w:pPr>
    </w:p>
    <w:p>
      <w:pPr>
        <w:ind w:left="300"/>
        <w:spacing w:after="0"/>
        <w:tabs>
          <w:tab w:leader="none" w:pos="4580" w:val="left"/>
        </w:tabs>
        <w:rPr>
          <w:sz w:val="20"/>
          <w:szCs w:val="20"/>
          <w:color w:val="auto"/>
        </w:rPr>
      </w:pPr>
      <w:r>
        <w:rPr>
          <w:rFonts w:ascii="Arial" w:cs="Arial" w:eastAsia="Arial" w:hAnsi="Arial"/>
          <w:sz w:val="14"/>
          <w:szCs w:val="14"/>
          <w:color w:val="auto"/>
        </w:rPr>
        <w:t>(IL-6R Antibody)</w:t>
      </w:r>
      <w:r>
        <w:rPr>
          <w:sz w:val="20"/>
          <w:szCs w:val="20"/>
          <w:color w:val="auto"/>
        </w:rPr>
        <w:tab/>
      </w:r>
      <w:r>
        <w:rPr>
          <w:rFonts w:ascii="Arial" w:cs="Arial" w:eastAsia="Arial" w:hAnsi="Arial"/>
          <w:sz w:val="14"/>
          <w:szCs w:val="14"/>
          <w:color w:val="auto"/>
        </w:rPr>
        <w:t>arthritis</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Reported that the Phase 2b trial in ankylosing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-64135</wp:posOffset>
            </wp:positionV>
            <wp:extent cx="53340" cy="53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6"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spondylitis did not meet its primary endpoint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142875</wp:posOffset>
            </wp:positionV>
            <wp:extent cx="690308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030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60"/>
        <w:spacing w:after="0" w:line="291" w:lineRule="auto"/>
        <w:rPr>
          <w:sz w:val="20"/>
          <w:szCs w:val="20"/>
          <w:color w:val="auto"/>
        </w:rPr>
      </w:pPr>
      <w:r>
        <w:rPr>
          <w:rFonts w:ascii="Arial" w:cs="Arial" w:eastAsia="Arial" w:hAnsi="Arial"/>
          <w:sz w:val="14"/>
          <w:szCs w:val="14"/>
          <w:color w:val="auto"/>
        </w:rPr>
        <w:t>Initiate the Phase 3 portion of the Phase 2/3 rheumatoid arthritis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-213360</wp:posOffset>
            </wp:positionV>
            <wp:extent cx="53340" cy="53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491" w:lineRule="exact"/>
        <w:rPr>
          <w:sz w:val="20"/>
          <w:szCs w:val="20"/>
          <w:color w:val="auto"/>
        </w:rPr>
      </w:pPr>
    </w:p>
    <w:p>
      <w:pPr>
        <w:sectPr>
          <w:pgSz w:w="11900" w:h="16838" w:orient="portrait"/>
          <w:cols w:equalWidth="0" w:num="2">
            <w:col w:w="7500" w:space="720"/>
            <w:col w:w="3260"/>
          </w:cols>
          <w:pgMar w:left="220" w:top="874" w:right="199" w:bottom="1440" w:gutter="0" w:footer="0" w:header="0"/>
          <w:type w:val="continuous"/>
        </w:sectPr>
      </w:pPr>
    </w:p>
    <w:p>
      <w:pPr>
        <w:spacing w:after="0" w:line="29" w:lineRule="exact"/>
        <w:rPr>
          <w:sz w:val="20"/>
          <w:szCs w:val="20"/>
          <w:color w:val="auto"/>
        </w:rPr>
      </w:pPr>
    </w:p>
    <w:p>
      <w:pPr>
        <w:ind w:left="300"/>
        <w:spacing w:after="0"/>
        <w:tabs>
          <w:tab w:leader="none" w:pos="4410" w:val="left"/>
        </w:tabs>
        <w:rPr>
          <w:sz w:val="20"/>
          <w:szCs w:val="20"/>
          <w:color w:val="auto"/>
        </w:rPr>
      </w:pPr>
      <w:r>
        <w:rPr>
          <w:rFonts w:ascii="Arial" w:cs="Arial" w:eastAsia="Arial" w:hAnsi="Arial"/>
          <w:sz w:val="14"/>
          <w:szCs w:val="14"/>
          <w:color w:val="auto"/>
        </w:rPr>
        <w:t>REGN727</w:t>
      </w:r>
      <w:r>
        <w:rPr>
          <w:sz w:val="20"/>
          <w:szCs w:val="20"/>
          <w:color w:val="auto"/>
        </w:rPr>
        <w:tab/>
      </w:r>
      <w:r>
        <w:rPr>
          <w:sz w:val="1"/>
          <w:szCs w:val="1"/>
          <w:color w:val="auto"/>
        </w:rPr>
        <w:drawing>
          <wp:inline distT="0" distB="0" distL="0" distR="0">
            <wp:extent cx="53340" cy="53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340" cy="53340"/>
                    </a:xfrm>
                    <a:prstGeom prst="rect">
                      <a:avLst/>
                    </a:prstGeom>
                    <a:noFill/>
                    <a:ln>
                      <a:noFill/>
                    </a:ln>
                  </pic:spPr>
                </pic:pic>
              </a:graphicData>
            </a:graphic>
          </wp:inline>
        </w:drawing>
      </w:r>
      <w:r>
        <w:rPr>
          <w:rFonts w:ascii="Arial" w:cs="Arial" w:eastAsia="Arial" w:hAnsi="Arial"/>
          <w:sz w:val="14"/>
          <w:szCs w:val="14"/>
          <w:color w:val="auto"/>
        </w:rPr>
        <w:t xml:space="preserve">  Initiated Phase 2 studies for LDL cholesterol</w:t>
      </w:r>
    </w:p>
    <w:p>
      <w:pPr>
        <w:spacing w:after="0" w:line="20" w:lineRule="exact"/>
        <w:rPr>
          <w:sz w:val="20"/>
          <w:szCs w:val="20"/>
          <w:color w:val="auto"/>
        </w:rPr>
      </w:pPr>
    </w:p>
    <w:p>
      <w:pPr>
        <w:ind w:left="300"/>
        <w:spacing w:after="0"/>
        <w:tabs>
          <w:tab w:leader="none" w:pos="4580" w:val="left"/>
        </w:tabs>
        <w:rPr>
          <w:sz w:val="20"/>
          <w:szCs w:val="20"/>
          <w:color w:val="auto"/>
        </w:rPr>
      </w:pPr>
      <w:r>
        <w:rPr>
          <w:rFonts w:ascii="Arial" w:cs="Arial" w:eastAsia="Arial" w:hAnsi="Arial"/>
          <w:sz w:val="14"/>
          <w:szCs w:val="14"/>
          <w:color w:val="auto"/>
        </w:rPr>
        <w:t>(PCSK9 Antibody)</w:t>
      </w:r>
      <w:r>
        <w:rPr>
          <w:sz w:val="20"/>
          <w:szCs w:val="20"/>
          <w:color w:val="auto"/>
        </w:rPr>
        <w:tab/>
      </w:r>
      <w:r>
        <w:rPr>
          <w:rFonts w:ascii="Arial" w:cs="Arial" w:eastAsia="Arial" w:hAnsi="Arial"/>
          <w:sz w:val="13"/>
          <w:szCs w:val="13"/>
          <w:color w:val="auto"/>
        </w:rPr>
        <w:t>reduction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500"/>
        <w:spacing w:after="0" w:line="291" w:lineRule="auto"/>
        <w:rPr>
          <w:sz w:val="20"/>
          <w:szCs w:val="20"/>
          <w:color w:val="auto"/>
        </w:rPr>
      </w:pPr>
      <w:r>
        <w:rPr>
          <w:rFonts w:ascii="Arial" w:cs="Arial" w:eastAsia="Arial" w:hAnsi="Arial"/>
          <w:sz w:val="14"/>
          <w:szCs w:val="14"/>
          <w:color w:val="auto"/>
        </w:rPr>
        <w:t>Report initial data from the Phase 2 program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-213360</wp:posOffset>
            </wp:positionV>
            <wp:extent cx="53340" cy="53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500" w:space="720"/>
            <w:col w:w="3260"/>
          </w:cols>
          <w:pgMar w:left="220" w:top="874" w:right="19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300" w:type="dxa"/>
            <w:vAlign w:val="bottom"/>
          </w:tcPr>
          <w:p>
            <w:pPr>
              <w:spacing w:after="0"/>
              <w:rPr>
                <w:sz w:val="15"/>
                <w:szCs w:val="15"/>
                <w:color w:val="auto"/>
              </w:rPr>
            </w:pPr>
          </w:p>
        </w:tc>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REGN668</w:t>
            </w:r>
          </w:p>
        </w:tc>
        <w:tc>
          <w:tcPr>
            <w:tcW w:w="4760" w:type="dxa"/>
            <w:vAlign w:val="bottom"/>
            <w:tcBorders>
              <w:top w:val="single" w:sz="8" w:color="auto"/>
            </w:tcBorders>
          </w:tcPr>
          <w:p>
            <w:pPr>
              <w:ind w:left="1540"/>
              <w:spacing w:after="0"/>
              <w:rPr>
                <w:sz w:val="20"/>
                <w:szCs w:val="20"/>
                <w:color w:val="auto"/>
              </w:rPr>
            </w:pPr>
            <w:r>
              <w:rPr>
                <w:rFonts w:ascii="Arial" w:cs="Arial" w:eastAsia="Arial" w:hAnsi="Arial"/>
                <w:sz w:val="14"/>
                <w:szCs w:val="14"/>
                <w:color w:val="auto"/>
              </w:rPr>
              <w:t>Initiated Phase 1b study in atopic dermatitis and</w:t>
            </w:r>
          </w:p>
        </w:tc>
        <w:tc>
          <w:tcPr>
            <w:tcW w:w="336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rPr>
              <w:t>Initiate Phase 2 program in atopic dermatitis</w:t>
            </w:r>
          </w:p>
        </w:tc>
        <w:tc>
          <w:tcPr>
            <w:tcW w:w="300" w:type="dxa"/>
            <w:vAlign w:val="bottom"/>
          </w:tcPr>
          <w:p>
            <w:pPr>
              <w:spacing w:after="0"/>
              <w:rPr>
                <w:sz w:val="15"/>
                <w:szCs w:val="15"/>
                <w:color w:val="auto"/>
              </w:rPr>
            </w:pPr>
          </w:p>
        </w:tc>
      </w:tr>
      <w:tr>
        <w:trPr>
          <w:trHeight w:val="176"/>
        </w:trPr>
        <w:tc>
          <w:tcPr>
            <w:tcW w:w="30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(IL-4R Antibody)</w:t>
            </w:r>
          </w:p>
        </w:tc>
        <w:tc>
          <w:tcPr>
            <w:tcW w:w="4760" w:type="dxa"/>
            <w:vAlign w:val="bottom"/>
          </w:tcPr>
          <w:p>
            <w:pPr>
              <w:ind w:left="1540"/>
              <w:spacing w:after="0"/>
              <w:rPr>
                <w:sz w:val="20"/>
                <w:szCs w:val="20"/>
                <w:color w:val="auto"/>
              </w:rPr>
            </w:pPr>
            <w:r>
              <w:rPr>
                <w:rFonts w:ascii="Arial" w:cs="Arial" w:eastAsia="Arial" w:hAnsi="Arial"/>
                <w:sz w:val="14"/>
                <w:szCs w:val="14"/>
                <w:color w:val="auto"/>
              </w:rPr>
              <w:t>Phase 2 proof of concept study in eosinophilic</w:t>
            </w: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1"/>
        </w:trPr>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760" w:type="dxa"/>
            <w:vAlign w:val="bottom"/>
          </w:tcPr>
          <w:p>
            <w:pPr>
              <w:ind w:left="1540"/>
              <w:spacing w:after="0"/>
              <w:rPr>
                <w:sz w:val="20"/>
                <w:szCs w:val="20"/>
                <w:color w:val="auto"/>
              </w:rPr>
            </w:pPr>
            <w:r>
              <w:rPr>
                <w:rFonts w:ascii="Arial" w:cs="Arial" w:eastAsia="Arial" w:hAnsi="Arial"/>
                <w:sz w:val="14"/>
                <w:szCs w:val="14"/>
                <w:color w:val="auto"/>
              </w:rPr>
              <w:t>asthma</w:t>
            </w: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9"/>
        </w:trPr>
        <w:tc>
          <w:tcPr>
            <w:tcW w:w="300" w:type="dxa"/>
            <w:vAlign w:val="bottom"/>
          </w:tcPr>
          <w:p>
            <w:pPr>
              <w:spacing w:after="0"/>
              <w:rPr>
                <w:sz w:val="17"/>
                <w:szCs w:val="17"/>
                <w:color w:val="auto"/>
              </w:rPr>
            </w:pPr>
          </w:p>
        </w:tc>
        <w:tc>
          <w:tcPr>
            <w:tcW w:w="2760" w:type="dxa"/>
            <w:vAlign w:val="bottom"/>
            <w:gridSpan w:val="2"/>
          </w:tcPr>
          <w:p>
            <w:pPr>
              <w:spacing w:after="0"/>
              <w:rPr>
                <w:sz w:val="17"/>
                <w:szCs w:val="17"/>
                <w:color w:val="auto"/>
              </w:rPr>
            </w:pPr>
          </w:p>
        </w:tc>
        <w:tc>
          <w:tcPr>
            <w:tcW w:w="47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59"/>
        </w:trPr>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REGN421</w:t>
            </w:r>
          </w:p>
        </w:tc>
        <w:tc>
          <w:tcPr>
            <w:tcW w:w="4760" w:type="dxa"/>
            <w:vAlign w:val="bottom"/>
            <w:tcBorders>
              <w:top w:val="single" w:sz="8" w:color="auto"/>
            </w:tcBorders>
          </w:tcPr>
          <w:p>
            <w:pPr>
              <w:ind w:left="1540"/>
              <w:spacing w:after="0" w:line="159" w:lineRule="exact"/>
              <w:rPr>
                <w:sz w:val="20"/>
                <w:szCs w:val="20"/>
                <w:color w:val="auto"/>
              </w:rPr>
            </w:pPr>
            <w:r>
              <w:rPr>
                <w:rFonts w:ascii="Arial" w:cs="Arial" w:eastAsia="Arial" w:hAnsi="Arial"/>
                <w:sz w:val="14"/>
                <w:szCs w:val="14"/>
                <w:color w:val="auto"/>
              </w:rPr>
              <w:t>Continued patient enrollment in Phase 1 program</w:t>
            </w:r>
          </w:p>
        </w:tc>
        <w:tc>
          <w:tcPr>
            <w:tcW w:w="3360" w:type="dxa"/>
            <w:vAlign w:val="bottom"/>
            <w:tcBorders>
              <w:top w:val="single" w:sz="8" w:color="auto"/>
            </w:tcBorders>
          </w:tcPr>
          <w:p>
            <w:pPr>
              <w:ind w:left="400"/>
              <w:spacing w:after="0" w:line="159" w:lineRule="exact"/>
              <w:rPr>
                <w:sz w:val="20"/>
                <w:szCs w:val="20"/>
                <w:color w:val="auto"/>
              </w:rPr>
            </w:pPr>
            <w:r>
              <w:rPr>
                <w:rFonts w:ascii="Arial" w:cs="Arial" w:eastAsia="Arial" w:hAnsi="Arial"/>
                <w:sz w:val="14"/>
                <w:szCs w:val="14"/>
                <w:color w:val="auto"/>
              </w:rPr>
              <w:t>Initiate a Phase 1b program in advanced</w:t>
            </w:r>
          </w:p>
        </w:tc>
        <w:tc>
          <w:tcPr>
            <w:tcW w:w="300" w:type="dxa"/>
            <w:vAlign w:val="bottom"/>
          </w:tcPr>
          <w:p>
            <w:pPr>
              <w:spacing w:after="0"/>
              <w:rPr>
                <w:sz w:val="13"/>
                <w:szCs w:val="13"/>
                <w:color w:val="auto"/>
              </w:rPr>
            </w:pPr>
          </w:p>
        </w:tc>
      </w:tr>
      <w:tr>
        <w:trPr>
          <w:trHeight w:val="181"/>
        </w:trPr>
        <w:tc>
          <w:tcPr>
            <w:tcW w:w="30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(Dll4 Antibody)</w:t>
            </w:r>
          </w:p>
        </w:tc>
        <w:tc>
          <w:tcPr>
            <w:tcW w:w="4760" w:type="dxa"/>
            <w:vAlign w:val="bottom"/>
          </w:tcPr>
          <w:p>
            <w:pPr>
              <w:spacing w:after="0"/>
              <w:rPr>
                <w:sz w:val="15"/>
                <w:szCs w:val="15"/>
                <w:color w:val="auto"/>
              </w:rPr>
            </w:pPr>
          </w:p>
        </w:tc>
        <w:tc>
          <w:tcPr>
            <w:tcW w:w="3360" w:type="dxa"/>
            <w:vAlign w:val="bottom"/>
          </w:tcPr>
          <w:p>
            <w:pPr>
              <w:ind w:left="400"/>
              <w:spacing w:after="0"/>
              <w:rPr>
                <w:sz w:val="20"/>
                <w:szCs w:val="20"/>
                <w:color w:val="auto"/>
              </w:rPr>
            </w:pPr>
            <w:r>
              <w:rPr>
                <w:rFonts w:ascii="Arial" w:cs="Arial" w:eastAsia="Arial" w:hAnsi="Arial"/>
                <w:sz w:val="14"/>
                <w:szCs w:val="14"/>
                <w:color w:val="auto"/>
              </w:rPr>
              <w:t>malignancies</w:t>
            </w:r>
          </w:p>
        </w:tc>
        <w:tc>
          <w:tcPr>
            <w:tcW w:w="300" w:type="dxa"/>
            <w:vAlign w:val="bottom"/>
          </w:tcPr>
          <w:p>
            <w:pPr>
              <w:spacing w:after="0"/>
              <w:rPr>
                <w:sz w:val="15"/>
                <w:szCs w:val="15"/>
                <w:color w:val="auto"/>
              </w:rPr>
            </w:pPr>
          </w:p>
        </w:tc>
      </w:tr>
      <w:tr>
        <w:trPr>
          <w:trHeight w:val="199"/>
        </w:trPr>
        <w:tc>
          <w:tcPr>
            <w:tcW w:w="300" w:type="dxa"/>
            <w:vAlign w:val="bottom"/>
          </w:tcPr>
          <w:p>
            <w:pPr>
              <w:spacing w:after="0"/>
              <w:rPr>
                <w:sz w:val="17"/>
                <w:szCs w:val="17"/>
                <w:color w:val="auto"/>
              </w:rPr>
            </w:pPr>
          </w:p>
        </w:tc>
        <w:tc>
          <w:tcPr>
            <w:tcW w:w="2760" w:type="dxa"/>
            <w:vAlign w:val="bottom"/>
            <w:tcBorders>
              <w:bottom w:val="single" w:sz="8" w:color="auto"/>
            </w:tcBorders>
            <w:gridSpan w:val="2"/>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59"/>
        </w:trPr>
        <w:tc>
          <w:tcPr>
            <w:tcW w:w="300" w:type="dxa"/>
            <w:vAlign w:val="bottom"/>
          </w:tcPr>
          <w:p>
            <w:pPr>
              <w:spacing w:after="0"/>
              <w:rPr>
                <w:sz w:val="13"/>
                <w:szCs w:val="13"/>
                <w:color w:val="auto"/>
              </w:rPr>
            </w:pPr>
          </w:p>
        </w:tc>
        <w:tc>
          <w:tcPr>
            <w:tcW w:w="2760" w:type="dxa"/>
            <w:vAlign w:val="bottom"/>
            <w:gridSpan w:val="2"/>
          </w:tcPr>
          <w:p>
            <w:pPr>
              <w:spacing w:after="0" w:line="159" w:lineRule="exact"/>
              <w:rPr>
                <w:sz w:val="20"/>
                <w:szCs w:val="20"/>
                <w:color w:val="auto"/>
              </w:rPr>
            </w:pPr>
            <w:r>
              <w:rPr>
                <w:rFonts w:ascii="Arial" w:cs="Arial" w:eastAsia="Arial" w:hAnsi="Arial"/>
                <w:sz w:val="14"/>
                <w:szCs w:val="14"/>
                <w:color w:val="auto"/>
              </w:rPr>
              <w:t>REGN910</w:t>
            </w:r>
          </w:p>
        </w:tc>
        <w:tc>
          <w:tcPr>
            <w:tcW w:w="4760" w:type="dxa"/>
            <w:vAlign w:val="bottom"/>
          </w:tcPr>
          <w:p>
            <w:pPr>
              <w:ind w:left="1540"/>
              <w:spacing w:after="0" w:line="159" w:lineRule="exact"/>
              <w:rPr>
                <w:sz w:val="20"/>
                <w:szCs w:val="20"/>
                <w:color w:val="auto"/>
              </w:rPr>
            </w:pPr>
            <w:r>
              <w:rPr>
                <w:rFonts w:ascii="Arial" w:cs="Arial" w:eastAsia="Arial" w:hAnsi="Arial"/>
                <w:sz w:val="14"/>
                <w:szCs w:val="14"/>
                <w:color w:val="auto"/>
              </w:rPr>
              <w:t>Continued patient enrollment in Phase 1 program</w:t>
            </w:r>
          </w:p>
        </w:tc>
        <w:tc>
          <w:tcPr>
            <w:tcW w:w="33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81"/>
        </w:trPr>
        <w:tc>
          <w:tcPr>
            <w:tcW w:w="30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(ANG2 Antibody)</w:t>
            </w: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9"/>
        </w:trPr>
        <w:tc>
          <w:tcPr>
            <w:tcW w:w="300" w:type="dxa"/>
            <w:vAlign w:val="bottom"/>
          </w:tcPr>
          <w:p>
            <w:pPr>
              <w:spacing w:after="0"/>
              <w:rPr>
                <w:sz w:val="17"/>
                <w:szCs w:val="17"/>
                <w:color w:val="auto"/>
              </w:rPr>
            </w:pPr>
          </w:p>
        </w:tc>
        <w:tc>
          <w:tcPr>
            <w:tcW w:w="2760" w:type="dxa"/>
            <w:vAlign w:val="bottom"/>
            <w:tcBorders>
              <w:bottom w:val="single" w:sz="8" w:color="auto"/>
            </w:tcBorders>
            <w:gridSpan w:val="2"/>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59"/>
        </w:trPr>
        <w:tc>
          <w:tcPr>
            <w:tcW w:w="300" w:type="dxa"/>
            <w:vAlign w:val="bottom"/>
          </w:tcPr>
          <w:p>
            <w:pPr>
              <w:spacing w:after="0"/>
              <w:rPr>
                <w:sz w:val="13"/>
                <w:szCs w:val="13"/>
                <w:color w:val="auto"/>
              </w:rPr>
            </w:pPr>
          </w:p>
        </w:tc>
        <w:tc>
          <w:tcPr>
            <w:tcW w:w="2760" w:type="dxa"/>
            <w:vAlign w:val="bottom"/>
            <w:gridSpan w:val="2"/>
          </w:tcPr>
          <w:p>
            <w:pPr>
              <w:spacing w:after="0" w:line="159" w:lineRule="exact"/>
              <w:rPr>
                <w:sz w:val="20"/>
                <w:szCs w:val="20"/>
                <w:color w:val="auto"/>
              </w:rPr>
            </w:pPr>
            <w:r>
              <w:rPr>
                <w:rFonts w:ascii="Arial" w:cs="Arial" w:eastAsia="Arial" w:hAnsi="Arial"/>
                <w:sz w:val="14"/>
                <w:szCs w:val="14"/>
                <w:color w:val="auto"/>
              </w:rPr>
              <w:t>REGN475</w:t>
            </w:r>
          </w:p>
        </w:tc>
        <w:tc>
          <w:tcPr>
            <w:tcW w:w="4760" w:type="dxa"/>
            <w:vAlign w:val="bottom"/>
          </w:tcPr>
          <w:p>
            <w:pPr>
              <w:ind w:left="1540"/>
              <w:spacing w:after="0" w:line="159" w:lineRule="exact"/>
              <w:rPr>
                <w:sz w:val="20"/>
                <w:szCs w:val="20"/>
                <w:color w:val="auto"/>
              </w:rPr>
            </w:pPr>
            <w:r>
              <w:rPr>
                <w:rFonts w:ascii="Arial" w:cs="Arial" w:eastAsia="Arial" w:hAnsi="Arial"/>
                <w:sz w:val="14"/>
                <w:szCs w:val="14"/>
                <w:color w:val="auto"/>
              </w:rPr>
              <w:t>On clinical hold</w:t>
            </w:r>
          </w:p>
        </w:tc>
        <w:tc>
          <w:tcPr>
            <w:tcW w:w="33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81"/>
        </w:trPr>
        <w:tc>
          <w:tcPr>
            <w:tcW w:w="30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(NGF Antibody)</w:t>
            </w: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9"/>
        </w:trPr>
        <w:tc>
          <w:tcPr>
            <w:tcW w:w="300" w:type="dxa"/>
            <w:vAlign w:val="bottom"/>
          </w:tcPr>
          <w:p>
            <w:pPr>
              <w:spacing w:after="0"/>
              <w:rPr>
                <w:sz w:val="17"/>
                <w:szCs w:val="17"/>
                <w:color w:val="auto"/>
              </w:rPr>
            </w:pPr>
          </w:p>
        </w:tc>
        <w:tc>
          <w:tcPr>
            <w:tcW w:w="2760" w:type="dxa"/>
            <w:vAlign w:val="bottom"/>
            <w:tcBorders>
              <w:bottom w:val="single" w:sz="8" w:color="auto"/>
            </w:tcBorders>
            <w:gridSpan w:val="2"/>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59"/>
        </w:trPr>
        <w:tc>
          <w:tcPr>
            <w:tcW w:w="300" w:type="dxa"/>
            <w:vAlign w:val="bottom"/>
          </w:tcPr>
          <w:p>
            <w:pPr>
              <w:spacing w:after="0"/>
              <w:rPr>
                <w:sz w:val="13"/>
                <w:szCs w:val="13"/>
                <w:color w:val="auto"/>
              </w:rPr>
            </w:pPr>
          </w:p>
        </w:tc>
        <w:tc>
          <w:tcPr>
            <w:tcW w:w="2760" w:type="dxa"/>
            <w:vAlign w:val="bottom"/>
            <w:gridSpan w:val="2"/>
          </w:tcPr>
          <w:p>
            <w:pPr>
              <w:spacing w:after="0" w:line="159" w:lineRule="exact"/>
              <w:rPr>
                <w:sz w:val="20"/>
                <w:szCs w:val="20"/>
                <w:color w:val="auto"/>
              </w:rPr>
            </w:pPr>
            <w:r>
              <w:rPr>
                <w:rFonts w:ascii="Arial" w:cs="Arial" w:eastAsia="Arial" w:hAnsi="Arial"/>
                <w:sz w:val="14"/>
                <w:szCs w:val="14"/>
                <w:color w:val="auto"/>
              </w:rPr>
              <w:t>REGN728</w:t>
            </w:r>
          </w:p>
        </w:tc>
        <w:tc>
          <w:tcPr>
            <w:tcW w:w="4760" w:type="dxa"/>
            <w:vAlign w:val="bottom"/>
          </w:tcPr>
          <w:p>
            <w:pPr>
              <w:ind w:left="1540"/>
              <w:spacing w:after="0" w:line="159" w:lineRule="exact"/>
              <w:rPr>
                <w:sz w:val="20"/>
                <w:szCs w:val="20"/>
                <w:color w:val="auto"/>
              </w:rPr>
            </w:pPr>
            <w:r>
              <w:rPr>
                <w:rFonts w:ascii="Arial" w:cs="Arial" w:eastAsia="Arial" w:hAnsi="Arial"/>
                <w:sz w:val="14"/>
                <w:szCs w:val="14"/>
                <w:color w:val="auto"/>
              </w:rPr>
              <w:t>Continued patient enrollment in Phase 1 program</w:t>
            </w:r>
          </w:p>
        </w:tc>
        <w:tc>
          <w:tcPr>
            <w:tcW w:w="33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81"/>
        </w:trPr>
        <w:tc>
          <w:tcPr>
            <w:tcW w:w="30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(target not disclosed)</w:t>
            </w:r>
          </w:p>
        </w:tc>
        <w:tc>
          <w:tcPr>
            <w:tcW w:w="47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9"/>
        </w:trPr>
        <w:tc>
          <w:tcPr>
            <w:tcW w:w="300" w:type="dxa"/>
            <w:vAlign w:val="bottom"/>
          </w:tcPr>
          <w:p>
            <w:pPr>
              <w:spacing w:after="0"/>
              <w:rPr>
                <w:sz w:val="17"/>
                <w:szCs w:val="17"/>
                <w:color w:val="auto"/>
              </w:rPr>
            </w:pPr>
          </w:p>
        </w:tc>
        <w:tc>
          <w:tcPr>
            <w:tcW w:w="2760" w:type="dxa"/>
            <w:vAlign w:val="bottom"/>
            <w:tcBorders>
              <w:bottom w:val="single" w:sz="8" w:color="auto"/>
            </w:tcBorders>
            <w:gridSpan w:val="2"/>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59"/>
        </w:trPr>
        <w:tc>
          <w:tcPr>
            <w:tcW w:w="300" w:type="dxa"/>
            <w:vAlign w:val="bottom"/>
          </w:tcPr>
          <w:p>
            <w:pPr>
              <w:spacing w:after="0"/>
              <w:rPr>
                <w:sz w:val="13"/>
                <w:szCs w:val="13"/>
                <w:color w:val="auto"/>
              </w:rPr>
            </w:pPr>
          </w:p>
        </w:tc>
        <w:tc>
          <w:tcPr>
            <w:tcW w:w="2760" w:type="dxa"/>
            <w:vAlign w:val="bottom"/>
            <w:gridSpan w:val="2"/>
          </w:tcPr>
          <w:p>
            <w:pPr>
              <w:spacing w:after="0" w:line="159" w:lineRule="exact"/>
              <w:rPr>
                <w:sz w:val="20"/>
                <w:szCs w:val="20"/>
                <w:color w:val="auto"/>
              </w:rPr>
            </w:pPr>
            <w:r>
              <w:rPr>
                <w:rFonts w:ascii="Arial" w:cs="Arial" w:eastAsia="Arial" w:hAnsi="Arial"/>
                <w:sz w:val="14"/>
                <w:szCs w:val="14"/>
                <w:color w:val="auto"/>
              </w:rPr>
              <w:t>REGN846</w:t>
            </w:r>
          </w:p>
        </w:tc>
        <w:tc>
          <w:tcPr>
            <w:tcW w:w="4760" w:type="dxa"/>
            <w:vAlign w:val="bottom"/>
          </w:tcPr>
          <w:p>
            <w:pPr>
              <w:ind w:left="1540"/>
              <w:spacing w:after="0" w:line="159" w:lineRule="exact"/>
              <w:rPr>
                <w:sz w:val="20"/>
                <w:szCs w:val="20"/>
                <w:color w:val="auto"/>
              </w:rPr>
            </w:pPr>
            <w:r>
              <w:rPr>
                <w:rFonts w:ascii="Arial" w:cs="Arial" w:eastAsia="Arial" w:hAnsi="Arial"/>
                <w:sz w:val="14"/>
                <w:szCs w:val="14"/>
                <w:color w:val="auto"/>
              </w:rPr>
              <w:t>Continued patient enrollment in Phase 1 program</w:t>
            </w:r>
          </w:p>
        </w:tc>
        <w:tc>
          <w:tcPr>
            <w:tcW w:w="33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81"/>
        </w:trPr>
        <w:tc>
          <w:tcPr>
            <w:tcW w:w="30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(target not disclosed)</w:t>
            </w:r>
          </w:p>
        </w:tc>
        <w:tc>
          <w:tcPr>
            <w:tcW w:w="4760" w:type="dxa"/>
            <w:vAlign w:val="bottom"/>
          </w:tcPr>
          <w:p>
            <w:pPr>
              <w:ind w:left="1540"/>
              <w:spacing w:after="0"/>
              <w:rPr>
                <w:sz w:val="20"/>
                <w:szCs w:val="20"/>
                <w:color w:val="auto"/>
              </w:rPr>
            </w:pPr>
            <w:r>
              <w:rPr>
                <w:rFonts w:ascii="Arial" w:cs="Arial" w:eastAsia="Arial" w:hAnsi="Arial"/>
                <w:sz w:val="14"/>
                <w:szCs w:val="14"/>
                <w:color w:val="auto"/>
              </w:rPr>
              <w:t>Sanofi elected not to co-develop REGN846</w:t>
            </w: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9"/>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362"/>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60" w:type="dxa"/>
            <w:vAlign w:val="bottom"/>
          </w:tcPr>
          <w:p>
            <w:pPr>
              <w:ind w:left="2580"/>
              <w:spacing w:after="0"/>
              <w:rPr>
                <w:sz w:val="20"/>
                <w:szCs w:val="20"/>
                <w:color w:val="auto"/>
              </w:rPr>
            </w:pPr>
            <w:r>
              <w:rPr>
                <w:rFonts w:ascii="Arial" w:cs="Arial" w:eastAsia="Arial" w:hAnsi="Arial"/>
                <w:sz w:val="14"/>
                <w:szCs w:val="14"/>
                <w:color w:val="auto"/>
              </w:rPr>
              <w:t>29</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4"/>
        </w:trPr>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-2647950</wp:posOffset>
            </wp:positionV>
            <wp:extent cx="53340" cy="53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-2647950</wp:posOffset>
            </wp:positionV>
            <wp:extent cx="53340" cy="53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-2181225</wp:posOffset>
            </wp:positionV>
            <wp:extent cx="53340" cy="53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-2181225</wp:posOffset>
            </wp:positionV>
            <wp:extent cx="53340" cy="53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-1826260</wp:posOffset>
            </wp:positionV>
            <wp:extent cx="53340" cy="53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-1470660</wp:posOffset>
            </wp:positionV>
            <wp:extent cx="53340" cy="53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-1115695</wp:posOffset>
            </wp:positionV>
            <wp:extent cx="53340" cy="53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-760095</wp:posOffset>
            </wp:positionV>
            <wp:extent cx="53340" cy="53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-648970</wp:posOffset>
            </wp:positionV>
            <wp:extent cx="53340" cy="53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ectPr>
          <w:pgSz w:w="11900" w:h="16838" w:orient="portrait"/>
          <w:cols w:equalWidth="0" w:num="1">
            <w:col w:w="11480"/>
          </w:cols>
          <w:pgMar w:left="220" w:top="874" w:right="1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Three Months Ended June 30, 2011 and 2010</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234" w:lineRule="exact"/>
        <w:rPr>
          <w:sz w:val="20"/>
          <w:szCs w:val="20"/>
          <w:color w:val="auto"/>
        </w:rPr>
      </w:pPr>
    </w:p>
    <w:p>
      <w:pPr>
        <w:jc w:val="both"/>
        <w:ind w:right="20" w:firstLine="219"/>
        <w:spacing w:after="0" w:line="380" w:lineRule="auto"/>
        <w:rPr>
          <w:sz w:val="20"/>
          <w:szCs w:val="20"/>
          <w:color w:val="auto"/>
        </w:rPr>
      </w:pPr>
      <w:r>
        <w:rPr>
          <w:rFonts w:ascii="Arial" w:cs="Arial" w:eastAsia="Arial" w:hAnsi="Arial"/>
          <w:sz w:val="12"/>
          <w:szCs w:val="12"/>
          <w:color w:val="auto"/>
        </w:rPr>
        <w:t>Regeneron reported a net loss of $62.5 million, or $0.69 per share (basic and diluted), for the second quarter of 2011, compared to a net loss of $25.5 million, or $0.31 per share (basic and diluted), for the second quarter of 2010. The increase in our net loss in 2011 was principally due to higher research and development expenses and higher selling, general, and administrative expenses.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80" w:type="dxa"/>
            <w:vAlign w:val="bottom"/>
          </w:tcPr>
          <w:p>
            <w:pPr>
              <w:spacing w:after="0"/>
              <w:rPr>
                <w:sz w:val="20"/>
                <w:szCs w:val="20"/>
                <w:color w:val="auto"/>
              </w:rPr>
            </w:pPr>
            <w:r>
              <w:rPr>
                <w:rFonts w:ascii="Arial" w:cs="Arial" w:eastAsia="Arial" w:hAnsi="Arial"/>
                <w:sz w:val="14"/>
                <w:szCs w:val="14"/>
                <w:b w:val="1"/>
                <w:bCs w:val="1"/>
                <w:i w:val="1"/>
                <w:iCs w:val="1"/>
                <w:color w:val="auto"/>
              </w:rPr>
              <w:t>Revenues</w:t>
            </w: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7580" w:type="dxa"/>
            <w:vAlign w:val="bottom"/>
          </w:tcPr>
          <w:p>
            <w:pPr>
              <w:ind w:left="220"/>
              <w:spacing w:after="0"/>
              <w:rPr>
                <w:sz w:val="20"/>
                <w:szCs w:val="20"/>
                <w:color w:val="auto"/>
              </w:rPr>
            </w:pPr>
            <w:r>
              <w:rPr>
                <w:rFonts w:ascii="Arial" w:cs="Arial" w:eastAsia="Arial" w:hAnsi="Arial"/>
                <w:sz w:val="14"/>
                <w:szCs w:val="14"/>
                <w:color w:val="auto"/>
              </w:rPr>
              <w:t>Revenues for the three months ended June 30, 2011 and 2010 consist of the following:</w:t>
            </w: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580" w:type="dxa"/>
            <w:vAlign w:val="bottom"/>
            <w:tcBorders>
              <w:bottom w:val="single" w:sz="8" w:color="C0C0C0"/>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4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5"/>
        </w:trPr>
        <w:tc>
          <w:tcPr>
            <w:tcW w:w="7580" w:type="dxa"/>
            <w:vAlign w:val="bottom"/>
            <w:shd w:val="clear" w:color="auto" w:fill="C0C0C0"/>
          </w:tcPr>
          <w:p>
            <w:pPr>
              <w:spacing w:after="0"/>
              <w:rPr>
                <w:sz w:val="20"/>
                <w:szCs w:val="20"/>
                <w:color w:val="auto"/>
              </w:rPr>
            </w:pPr>
            <w:r>
              <w:rPr>
                <w:rFonts w:ascii="Arial" w:cs="Arial" w:eastAsia="Arial" w:hAnsi="Arial"/>
                <w:sz w:val="14"/>
                <w:szCs w:val="14"/>
                <w:color w:val="auto"/>
              </w:rPr>
              <w:t>Collaboration revenue</w:t>
            </w:r>
          </w:p>
        </w:tc>
        <w:tc>
          <w:tcPr>
            <w:tcW w:w="244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80" w:type="dxa"/>
            <w:vAlign w:val="bottom"/>
          </w:tcPr>
          <w:p>
            <w:pPr>
              <w:ind w:left="260"/>
              <w:spacing w:after="0"/>
              <w:rPr>
                <w:sz w:val="20"/>
                <w:szCs w:val="20"/>
                <w:color w:val="auto"/>
              </w:rPr>
            </w:pPr>
            <w:r>
              <w:rPr>
                <w:rFonts w:ascii="Arial" w:cs="Arial" w:eastAsia="Arial" w:hAnsi="Arial"/>
                <w:sz w:val="14"/>
                <w:szCs w:val="14"/>
                <w:color w:val="auto"/>
              </w:rPr>
              <w:t>Sanofi</w:t>
            </w:r>
          </w:p>
        </w:tc>
        <w:tc>
          <w:tcPr>
            <w:tcW w:w="2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84.5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204"/>
        </w:trPr>
        <w:tc>
          <w:tcPr>
            <w:tcW w:w="7580" w:type="dxa"/>
            <w:vAlign w:val="bottom"/>
            <w:shd w:val="clear" w:color="auto" w:fill="C0C0C0"/>
          </w:tcPr>
          <w:p>
            <w:pPr>
              <w:ind w:left="260"/>
              <w:spacing w:after="0"/>
              <w:rPr>
                <w:sz w:val="20"/>
                <w:szCs w:val="20"/>
                <w:color w:val="auto"/>
              </w:rPr>
            </w:pPr>
            <w:r>
              <w:rPr>
                <w:rFonts w:ascii="Arial" w:cs="Arial" w:eastAsia="Arial" w:hAnsi="Arial"/>
                <w:sz w:val="14"/>
                <w:szCs w:val="14"/>
                <w:color w:val="auto"/>
              </w:rPr>
              <w:t>Bayer HealthCare</w:t>
            </w:r>
          </w:p>
        </w:tc>
        <w:tc>
          <w:tcPr>
            <w:tcW w:w="24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500"/>
              <w:spacing w:after="0"/>
              <w:rPr>
                <w:sz w:val="20"/>
                <w:szCs w:val="20"/>
                <w:color w:val="auto"/>
              </w:rPr>
            </w:pPr>
            <w:r>
              <w:rPr>
                <w:rFonts w:ascii="Arial" w:cs="Arial" w:eastAsia="Arial" w:hAnsi="Arial"/>
                <w:sz w:val="14"/>
                <w:szCs w:val="14"/>
                <w:color w:val="auto"/>
              </w:rPr>
              <w:t>Total collaboration revenue</w:t>
            </w: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58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04"/>
        </w:trPr>
        <w:tc>
          <w:tcPr>
            <w:tcW w:w="7580" w:type="dxa"/>
            <w:vAlign w:val="bottom"/>
            <w:shd w:val="clear" w:color="auto" w:fill="C0C0C0"/>
          </w:tcPr>
          <w:p>
            <w:pPr>
              <w:spacing w:after="0"/>
              <w:rPr>
                <w:sz w:val="20"/>
                <w:szCs w:val="20"/>
                <w:color w:val="auto"/>
              </w:rPr>
            </w:pPr>
            <w:r>
              <w:rPr>
                <w:rFonts w:ascii="Arial" w:cs="Arial" w:eastAsia="Arial" w:hAnsi="Arial"/>
                <w:sz w:val="14"/>
                <w:szCs w:val="14"/>
                <w:color w:val="auto"/>
              </w:rPr>
              <w:t>Technology licensing revenue</w:t>
            </w:r>
          </w:p>
        </w:tc>
        <w:tc>
          <w:tcPr>
            <w:tcW w:w="24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20"/>
                <w:szCs w:val="20"/>
                <w:color w:val="auto"/>
              </w:rPr>
            </w:pPr>
            <w:r>
              <w:rPr>
                <w:rFonts w:ascii="Arial" w:cs="Arial" w:eastAsia="Arial" w:hAnsi="Arial"/>
                <w:sz w:val="14"/>
                <w:szCs w:val="14"/>
                <w:color w:val="auto"/>
              </w:rPr>
              <w:t>Net product sales</w:t>
            </w: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7"/>
        </w:trPr>
        <w:tc>
          <w:tcPr>
            <w:tcW w:w="7580" w:type="dxa"/>
            <w:vAlign w:val="bottom"/>
            <w:shd w:val="clear" w:color="auto" w:fill="C0C0C0"/>
          </w:tcPr>
          <w:p>
            <w:pPr>
              <w:spacing w:after="0"/>
              <w:rPr>
                <w:sz w:val="20"/>
                <w:szCs w:val="20"/>
                <w:color w:val="auto"/>
              </w:rPr>
            </w:pPr>
            <w:r>
              <w:rPr>
                <w:rFonts w:ascii="Arial" w:cs="Arial" w:eastAsia="Arial" w:hAnsi="Arial"/>
                <w:sz w:val="14"/>
                <w:szCs w:val="14"/>
                <w:color w:val="auto"/>
              </w:rPr>
              <w:t>Contract research and other revenue</w:t>
            </w:r>
          </w:p>
        </w:tc>
        <w:tc>
          <w:tcPr>
            <w:tcW w:w="24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8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2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107.8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3"/>
        </w:trPr>
        <w:tc>
          <w:tcPr>
            <w:tcW w:w="7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Sanofi Collaboration Revenue</w:t>
      </w:r>
    </w:p>
    <w:p>
      <w:pPr>
        <w:spacing w:after="0" w:line="234" w:lineRule="exact"/>
        <w:rPr>
          <w:sz w:val="20"/>
          <w:szCs w:val="20"/>
          <w:color w:val="auto"/>
        </w:rPr>
      </w:pPr>
    </w:p>
    <w:p>
      <w:pPr>
        <w:jc w:val="both"/>
        <w:ind w:firstLine="285"/>
        <w:spacing w:after="0" w:line="300" w:lineRule="auto"/>
        <w:rPr>
          <w:sz w:val="20"/>
          <w:szCs w:val="20"/>
          <w:color w:val="auto"/>
        </w:rPr>
      </w:pPr>
      <w:r>
        <w:rPr>
          <w:rFonts w:ascii="Arial" w:cs="Arial" w:eastAsia="Arial" w:hAnsi="Arial"/>
          <w:sz w:val="14"/>
          <w:szCs w:val="14"/>
          <w:color w:val="auto"/>
        </w:rPr>
        <w:t>The collaboration revenue we earned from Sanofi, as detailed below, consisted primarily of reimbursement for research and development expenses and recognition of revenue related to non-refundable up-front payments of $105.0 million related to the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collaboration and $85.0 million related to the antibody collaboration.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right"/>
              <w:ind w:right="69"/>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6"/>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Sanofi Collaboration Revenue</w:t>
            </w:r>
          </w:p>
        </w:tc>
        <w:tc>
          <w:tcPr>
            <w:tcW w:w="5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80" w:type="dxa"/>
            <w:vAlign w:val="bottom"/>
            <w:tcBorders>
              <w:bottom w:val="single" w:sz="8" w:color="C0C0C0"/>
            </w:tcBorders>
            <w:gridSpan w:val="2"/>
            <w:vMerge w:val="continue"/>
          </w:tcPr>
          <w:p>
            <w:pPr>
              <w:spacing w:after="0"/>
              <w:rPr>
                <w:sz w:val="15"/>
                <w:szCs w:val="15"/>
                <w:color w:val="auto"/>
              </w:rPr>
            </w:pPr>
          </w:p>
        </w:tc>
        <w:tc>
          <w:tcPr>
            <w:tcW w:w="306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0C0C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75"/>
        </w:trPr>
        <w:tc>
          <w:tcPr>
            <w:tcW w:w="68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9"/>
                <w:szCs w:val="9"/>
                <w:color w:val="auto"/>
              </w:rPr>
              <w:t>TM</w:t>
            </w:r>
            <w:r>
              <w:rPr>
                <w:rFonts w:ascii="Arial" w:cs="Arial" w:eastAsia="Arial" w:hAnsi="Arial"/>
                <w:sz w:val="14"/>
                <w:szCs w:val="14"/>
                <w:color w:val="auto"/>
              </w:rPr>
              <w:t>:</w:t>
            </w:r>
          </w:p>
        </w:tc>
        <w:tc>
          <w:tcPr>
            <w:tcW w:w="3060" w:type="dxa"/>
            <w:vAlign w:val="bottom"/>
            <w:tcBorders>
              <w:bottom w:val="single" w:sz="8" w:color="C0C0C0"/>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64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480" w:type="dxa"/>
            <w:vAlign w:val="bottom"/>
            <w:tcBorders>
              <w:bottom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80" w:type="dxa"/>
            <w:vAlign w:val="bottom"/>
            <w:gridSpan w:val="2"/>
          </w:tcPr>
          <w:p>
            <w:pPr>
              <w:ind w:left="260"/>
              <w:spacing w:after="0"/>
              <w:rPr>
                <w:sz w:val="20"/>
                <w:szCs w:val="20"/>
                <w:color w:val="auto"/>
              </w:rPr>
            </w:pPr>
            <w:r>
              <w:rPr>
                <w:rFonts w:ascii="Arial" w:cs="Arial" w:eastAsia="Arial" w:hAnsi="Arial"/>
                <w:sz w:val="14"/>
                <w:szCs w:val="14"/>
                <w:color w:val="auto"/>
              </w:rPr>
              <w:t>Regeneron expense reimbursement</w:t>
            </w:r>
          </w:p>
        </w:tc>
        <w:tc>
          <w:tcPr>
            <w:tcW w:w="3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5"/>
        </w:trPr>
        <w:tc>
          <w:tcPr>
            <w:tcW w:w="688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share of ZALTRAP</w:t>
            </w:r>
            <w:r>
              <w:rPr>
                <w:rFonts w:ascii="Arial" w:cs="Arial" w:eastAsia="Arial" w:hAnsi="Arial"/>
                <w:sz w:val="9"/>
                <w:szCs w:val="9"/>
                <w:color w:val="auto"/>
              </w:rPr>
              <w:t>TM</w:t>
            </w:r>
            <w:r>
              <w:rPr>
                <w:rFonts w:ascii="Arial" w:cs="Arial" w:eastAsia="Arial" w:hAnsi="Arial"/>
                <w:sz w:val="14"/>
                <w:szCs w:val="14"/>
                <w:color w:val="auto"/>
              </w:rPr>
              <w:t xml:space="preserve"> commercialization expenses</w:t>
            </w:r>
          </w:p>
        </w:tc>
        <w:tc>
          <w:tcPr>
            <w:tcW w:w="30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jc w:val="right"/>
              <w:ind w:right="9"/>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88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Recognition of deferred revenue related to up-front payments</w:t>
            </w:r>
          </w:p>
        </w:tc>
        <w:tc>
          <w:tcPr>
            <w:tcW w:w="306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5"/>
        </w:trPr>
        <w:tc>
          <w:tcPr>
            <w:tcW w:w="6880" w:type="dxa"/>
            <w:vAlign w:val="bottom"/>
            <w:gridSpan w:val="2"/>
            <w:shd w:val="clear" w:color="auto" w:fill="C0C0C0"/>
          </w:tcPr>
          <w:p>
            <w:pPr>
              <w:ind w:left="500"/>
              <w:spacing w:after="0"/>
              <w:rPr>
                <w:sz w:val="20"/>
                <w:szCs w:val="20"/>
                <w:color w:val="auto"/>
              </w:rPr>
            </w:pPr>
            <w:r>
              <w:rPr>
                <w:rFonts w:ascii="Arial" w:cs="Arial" w:eastAsia="Arial" w:hAnsi="Arial"/>
                <w:sz w:val="14"/>
                <w:szCs w:val="14"/>
                <w:color w:val="auto"/>
              </w:rPr>
              <w:t>Total ZALTRAP</w:t>
            </w:r>
            <w:r>
              <w:rPr>
                <w:rFonts w:ascii="Arial" w:cs="Arial" w:eastAsia="Arial" w:hAnsi="Arial"/>
                <w:sz w:val="9"/>
                <w:szCs w:val="9"/>
                <w:color w:val="auto"/>
              </w:rPr>
              <w:t>TM</w:t>
            </w:r>
          </w:p>
        </w:tc>
        <w:tc>
          <w:tcPr>
            <w:tcW w:w="3060" w:type="dxa"/>
            <w:vAlign w:val="bottom"/>
            <w:shd w:val="clear" w:color="auto" w:fill="C0C0C0"/>
          </w:tcPr>
          <w:p>
            <w:pPr>
              <w:spacing w:after="0"/>
              <w:rPr>
                <w:sz w:val="16"/>
                <w:szCs w:val="16"/>
                <w:color w:val="auto"/>
              </w:rPr>
            </w:pPr>
          </w:p>
        </w:tc>
        <w:tc>
          <w:tcPr>
            <w:tcW w:w="100" w:type="dxa"/>
            <w:vAlign w:val="bottom"/>
            <w:tcBorders>
              <w:bottom w:val="single" w:sz="8" w:color="auto"/>
            </w:tcBorders>
            <w:shd w:val="clear" w:color="auto" w:fill="C0C0C0"/>
          </w:tcPr>
          <w:p>
            <w:pPr>
              <w:spacing w:after="0"/>
              <w:rPr>
                <w:sz w:val="16"/>
                <w:szCs w:val="16"/>
                <w:color w:val="auto"/>
              </w:rPr>
            </w:pPr>
          </w:p>
        </w:tc>
        <w:tc>
          <w:tcPr>
            <w:tcW w:w="640" w:type="dxa"/>
            <w:vAlign w:val="bottom"/>
            <w:tcBorders>
              <w:bottom w:val="single" w:sz="8" w:color="auto"/>
            </w:tcBorders>
            <w:shd w:val="clear" w:color="auto" w:fill="C0C0C0"/>
          </w:tcPr>
          <w:p>
            <w:pPr>
              <w:jc w:val="right"/>
              <w:ind w:right="49"/>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0C0C0"/>
          </w:tcPr>
          <w:p>
            <w:pPr>
              <w:spacing w:after="0"/>
              <w:rPr>
                <w:sz w:val="16"/>
                <w:szCs w:val="16"/>
                <w:color w:val="auto"/>
              </w:rPr>
            </w:pPr>
          </w:p>
        </w:tc>
        <w:tc>
          <w:tcPr>
            <w:tcW w:w="140" w:type="dxa"/>
            <w:vAlign w:val="bottom"/>
            <w:tcBorders>
              <w:bottom w:val="single" w:sz="8" w:color="auto"/>
            </w:tcBorders>
            <w:shd w:val="clear" w:color="auto" w:fill="C0C0C0"/>
          </w:tcPr>
          <w:p>
            <w:pPr>
              <w:spacing w:after="0"/>
              <w:rPr>
                <w:sz w:val="16"/>
                <w:szCs w:val="16"/>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6880" w:type="dxa"/>
            <w:vAlign w:val="bottom"/>
            <w:gridSpan w:val="2"/>
          </w:tcPr>
          <w:p>
            <w:pPr>
              <w:spacing w:after="0"/>
              <w:rPr>
                <w:sz w:val="20"/>
                <w:szCs w:val="20"/>
                <w:color w:val="auto"/>
              </w:rPr>
            </w:pPr>
            <w:r>
              <w:rPr>
                <w:rFonts w:ascii="Arial" w:cs="Arial" w:eastAsia="Arial" w:hAnsi="Arial"/>
                <w:sz w:val="14"/>
                <w:szCs w:val="14"/>
                <w:color w:val="auto"/>
              </w:rPr>
              <w:t>Antibody:</w:t>
            </w: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8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expense reimbursement</w:t>
            </w:r>
          </w:p>
        </w:tc>
        <w:tc>
          <w:tcPr>
            <w:tcW w:w="30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4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76.6</w:t>
            </w: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85"/>
        </w:trPr>
        <w:tc>
          <w:tcPr>
            <w:tcW w:w="6880" w:type="dxa"/>
            <w:vAlign w:val="bottom"/>
            <w:gridSpan w:val="2"/>
          </w:tcPr>
          <w:p>
            <w:pPr>
              <w:ind w:left="260"/>
              <w:spacing w:after="0"/>
              <w:rPr>
                <w:sz w:val="20"/>
                <w:szCs w:val="20"/>
                <w:color w:val="auto"/>
              </w:rPr>
            </w:pPr>
            <w:r>
              <w:rPr>
                <w:rFonts w:ascii="Arial" w:cs="Arial" w:eastAsia="Arial" w:hAnsi="Arial"/>
                <w:sz w:val="14"/>
                <w:szCs w:val="14"/>
                <w:color w:val="auto"/>
              </w:rPr>
              <w:t>Recognition of deferred revenue related to up-front and other</w:t>
            </w: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80" w:type="dxa"/>
            <w:vAlign w:val="bottom"/>
            <w:gridSpan w:val="2"/>
          </w:tcPr>
          <w:p>
            <w:pPr>
              <w:ind w:left="500"/>
              <w:spacing w:after="0"/>
              <w:rPr>
                <w:sz w:val="20"/>
                <w:szCs w:val="20"/>
                <w:color w:val="auto"/>
              </w:rPr>
            </w:pPr>
            <w:r>
              <w:rPr>
                <w:rFonts w:ascii="Arial" w:cs="Arial" w:eastAsia="Arial" w:hAnsi="Arial"/>
                <w:sz w:val="14"/>
                <w:szCs w:val="14"/>
                <w:color w:val="auto"/>
              </w:rPr>
              <w:t>payments</w:t>
            </w: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5"/>
        </w:trPr>
        <w:tc>
          <w:tcPr>
            <w:tcW w:w="688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 xml:space="preserve">Recognition of revenue related to </w:t>
            </w:r>
            <w:r>
              <w:rPr>
                <w:rFonts w:ascii="Arial" w:cs="Arial" w:eastAsia="Arial" w:hAnsi="Arial"/>
                <w:sz w:val="14"/>
                <w:szCs w:val="14"/>
                <w:i w:val="1"/>
                <w:iCs w:val="1"/>
                <w:color w:val="auto"/>
              </w:rPr>
              <w:t>VelociGene</w:t>
            </w:r>
            <w:r>
              <w:rPr>
                <w:rFonts w:ascii="Arial" w:cs="Arial" w:eastAsia="Arial" w:hAnsi="Arial"/>
                <w:sz w:val="9"/>
                <w:szCs w:val="9"/>
                <w:color w:val="auto"/>
              </w:rPr>
              <w:t>®</w:t>
            </w:r>
            <w:r>
              <w:rPr>
                <w:rFonts w:ascii="Arial" w:cs="Arial" w:eastAsia="Arial" w:hAnsi="Arial"/>
                <w:sz w:val="14"/>
                <w:szCs w:val="14"/>
                <w:color w:val="auto"/>
              </w:rPr>
              <w:t xml:space="preserve"> agreement</w:t>
            </w:r>
          </w:p>
        </w:tc>
        <w:tc>
          <w:tcPr>
            <w:tcW w:w="30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40" w:type="dxa"/>
            <w:vAlign w:val="bottom"/>
            <w:tcBorders>
              <w:bottom w:val="single" w:sz="8" w:color="auto"/>
            </w:tcBorders>
            <w:shd w:val="clear" w:color="auto" w:fill="C0C0C0"/>
          </w:tcPr>
          <w:p>
            <w:pPr>
              <w:jc w:val="right"/>
              <w:ind w:right="49"/>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0C0C0"/>
          </w:tcPr>
          <w:p>
            <w:pPr>
              <w:spacing w:after="0"/>
              <w:rPr>
                <w:sz w:val="18"/>
                <w:szCs w:val="18"/>
                <w:color w:val="auto"/>
              </w:rPr>
            </w:pPr>
          </w:p>
        </w:tc>
        <w:tc>
          <w:tcPr>
            <w:tcW w:w="140" w:type="dxa"/>
            <w:vAlign w:val="bottom"/>
            <w:tcBorders>
              <w:bottom w:val="single" w:sz="8" w:color="auto"/>
            </w:tcBorders>
            <w:shd w:val="clear" w:color="auto" w:fill="C0C0C0"/>
          </w:tcPr>
          <w:p>
            <w:pPr>
              <w:spacing w:after="0"/>
              <w:rPr>
                <w:sz w:val="18"/>
                <w:szCs w:val="18"/>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2"/>
        </w:trPr>
        <w:tc>
          <w:tcPr>
            <w:tcW w:w="6880" w:type="dxa"/>
            <w:vAlign w:val="bottom"/>
            <w:tcBorders>
              <w:bottom w:val="single" w:sz="8" w:color="C0C0C0"/>
            </w:tcBorders>
            <w:gridSpan w:val="2"/>
          </w:tcPr>
          <w:p>
            <w:pPr>
              <w:ind w:left="500"/>
              <w:spacing w:after="0"/>
              <w:rPr>
                <w:sz w:val="20"/>
                <w:szCs w:val="20"/>
                <w:color w:val="auto"/>
              </w:rPr>
            </w:pPr>
            <w:r>
              <w:rPr>
                <w:rFonts w:ascii="Arial" w:cs="Arial" w:eastAsia="Arial" w:hAnsi="Arial"/>
                <w:sz w:val="14"/>
                <w:szCs w:val="14"/>
                <w:color w:val="auto"/>
              </w:rPr>
              <w:t>Total antibody</w:t>
            </w:r>
          </w:p>
        </w:tc>
        <w:tc>
          <w:tcPr>
            <w:tcW w:w="306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79.1</w:t>
            </w:r>
          </w:p>
        </w:tc>
        <w:tc>
          <w:tcPr>
            <w:tcW w:w="160" w:type="dxa"/>
            <w:vAlign w:val="bottom"/>
            <w:tcBorders>
              <w:bottom w:val="single" w:sz="8" w:color="C0C0C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97"/>
        </w:trPr>
        <w:tc>
          <w:tcPr>
            <w:tcW w:w="68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Total Sanofi collaboration revenue</w:t>
            </w:r>
          </w:p>
        </w:tc>
        <w:tc>
          <w:tcPr>
            <w:tcW w:w="306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0C0C0"/>
          </w:tcPr>
          <w:p>
            <w:pPr>
              <w:jc w:val="right"/>
              <w:ind w:right="49"/>
              <w:spacing w:after="0"/>
              <w:rPr>
                <w:sz w:val="20"/>
                <w:szCs w:val="20"/>
                <w:color w:val="auto"/>
              </w:rPr>
            </w:pPr>
            <w:r>
              <w:rPr>
                <w:rFonts w:ascii="Arial" w:cs="Arial" w:eastAsia="Arial" w:hAnsi="Arial"/>
                <w:sz w:val="14"/>
                <w:szCs w:val="14"/>
                <w:color w:val="auto"/>
              </w:rPr>
              <w:t>84.5</w:t>
            </w:r>
          </w:p>
        </w:tc>
        <w:tc>
          <w:tcPr>
            <w:tcW w:w="16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3"/>
          <w:szCs w:val="13"/>
          <w:color w:val="auto"/>
        </w:rPr>
        <w:t>Sanofi’s reimbursement of our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expenses increased in the second quarter of 2011 compared to same period in 2010, primarily due to higher costs related to manufacturing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clinical supplies. Effective in the second quarter of 2011, we and Sanofi began equally sharing pre-launch commercialization expenses related to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accordance with the companies’ collaboration agreement. Our share of these expenses was $1.3 million in the second quarter of 2011, which reduced our Sanofi collaboration revenue. As of June 30, 2011, $27.6 million of the original $105.0 million of up-front payments related to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was deferred and will be recognized as revenue in future periods.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30" w:name="page31"/>
    <w:bookmarkEnd w:id="30"/>
    <w:p>
      <w:pPr>
        <w:jc w:val="both"/>
        <w:ind w:firstLine="219"/>
        <w:spacing w:after="0" w:line="271" w:lineRule="auto"/>
        <w:rPr>
          <w:sz w:val="20"/>
          <w:szCs w:val="20"/>
          <w:color w:val="auto"/>
        </w:rPr>
      </w:pPr>
      <w:r>
        <w:rPr>
          <w:rFonts w:ascii="Arial" w:cs="Arial" w:eastAsia="Arial" w:hAnsi="Arial"/>
          <w:sz w:val="14"/>
          <w:szCs w:val="14"/>
          <w:color w:val="auto"/>
        </w:rPr>
        <w:t>In the second quarter of 2011, Sanofi’s reimbursement of our antibody expenses consisted of $40.7 million under the discovery agreement and $35.9 million of development costs under the license agreement, compared to $36.6 million and $39.8 million, respectively, in the second quarter of 2010. The higher reimbursement amount under the discovery agreement in the second quarter of 2011, compared to the same period in 2010, was primarily due to an increase in our antibody discovery activities. The lower reimbursement of development costs in the second quarter of 2011, compared to the same period in 2010, was primarily due to REGN475, which is currently on clinical hold.</w:t>
      </w:r>
    </w:p>
    <w:p>
      <w:pPr>
        <w:spacing w:after="0" w:line="194" w:lineRule="exact"/>
        <w:rPr>
          <w:sz w:val="20"/>
          <w:szCs w:val="20"/>
          <w:color w:val="auto"/>
        </w:rPr>
      </w:pPr>
    </w:p>
    <w:p>
      <w:pPr>
        <w:jc w:val="both"/>
        <w:ind w:firstLine="219"/>
        <w:spacing w:after="0" w:line="323" w:lineRule="auto"/>
        <w:rPr>
          <w:sz w:val="20"/>
          <w:szCs w:val="20"/>
          <w:color w:val="auto"/>
        </w:rPr>
      </w:pPr>
      <w:r>
        <w:rPr>
          <w:rFonts w:ascii="Arial" w:cs="Arial" w:eastAsia="Arial" w:hAnsi="Arial"/>
          <w:sz w:val="12"/>
          <w:szCs w:val="12"/>
          <w:color w:val="auto"/>
        </w:rPr>
        <w:t>Recognition of deferred revenue related to Sanofi’s $85.0 million up-front payment and other payments increased in the second quarter of 2011 compared to the same period in 2010. In connection with the November 2009 amendment of the discovery agreement, Sanofi is funding up to $30 million of agreed-upon costs to expand our manufacturing capacity at our Rensselaer, New York facilities. Revenue related to such funding from Sanofi is deferred and recognized as collaboration revenue prospectively over the performance period applicable to recognition of the original $85.0 million up-front payment. As of June 30, 2011, $25.5 million of such funding from Sanofi was received or receivable, compared to $14.3 million as of June 30, 2010; as a result, we recognized more deferred revenue in the second quarter of 2011 than in the same quarter of 2010. As of June 30, 2011, $77.8 million of the Sanofi payments was deferred and will be recognized as revenue in future periods.</w:t>
      </w:r>
    </w:p>
    <w:p>
      <w:pPr>
        <w:spacing w:after="0" w:line="167" w:lineRule="exact"/>
        <w:rPr>
          <w:sz w:val="20"/>
          <w:szCs w:val="20"/>
          <w:color w:val="auto"/>
        </w:rPr>
      </w:pPr>
    </w:p>
    <w:p>
      <w:pPr>
        <w:jc w:val="both"/>
        <w:ind w:firstLine="285"/>
        <w:spacing w:after="0" w:line="226" w:lineRule="auto"/>
        <w:rPr>
          <w:sz w:val="20"/>
          <w:szCs w:val="20"/>
          <w:color w:val="auto"/>
        </w:rPr>
      </w:pPr>
      <w:r>
        <w:rPr>
          <w:rFonts w:ascii="Arial" w:cs="Arial" w:eastAsia="Arial" w:hAnsi="Arial"/>
          <w:sz w:val="14"/>
          <w:szCs w:val="14"/>
          <w:color w:val="auto"/>
        </w:rPr>
        <w:t xml:space="preserve">In August 2008, we entered into a separate </w:t>
      </w:r>
      <w:r>
        <w:rPr>
          <w:rFonts w:ascii="Arial" w:cs="Arial" w:eastAsia="Arial" w:hAnsi="Arial"/>
          <w:sz w:val="14"/>
          <w:szCs w:val="14"/>
          <w:i w:val="1"/>
          <w:iCs w:val="1"/>
          <w:color w:val="auto"/>
        </w:rPr>
        <w:t>VelociGene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agreement with Sanofi. For both three months ended June 30, 2011 and 2010, we recognized $0.4 million in revenue related to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Bayer HealthCare Collaboration Revenue</w:t>
      </w:r>
    </w:p>
    <w:p>
      <w:pPr>
        <w:spacing w:after="0" w:line="232" w:lineRule="exact"/>
        <w:rPr>
          <w:sz w:val="20"/>
          <w:szCs w:val="20"/>
          <w:color w:val="auto"/>
        </w:rPr>
      </w:pPr>
    </w:p>
    <w:p>
      <w:pPr>
        <w:jc w:val="both"/>
        <w:ind w:firstLine="274"/>
        <w:spacing w:after="0" w:line="237" w:lineRule="auto"/>
        <w:rPr>
          <w:sz w:val="20"/>
          <w:szCs w:val="20"/>
          <w:color w:val="auto"/>
        </w:rPr>
      </w:pPr>
      <w:r>
        <w:rPr>
          <w:rFonts w:ascii="Arial" w:cs="Arial" w:eastAsia="Arial" w:hAnsi="Arial"/>
          <w:sz w:val="14"/>
          <w:szCs w:val="14"/>
          <w:color w:val="auto"/>
        </w:rPr>
        <w:t>The collaboration revenue we earned from Bayer HealthCare, as detailed below, consisted of cost sharing of Regeneron’s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66"/>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Bayer HealthCare Collaboration Revenue</w:t>
            </w:r>
          </w:p>
        </w:tc>
        <w:tc>
          <w:tcPr>
            <w:tcW w:w="45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36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4"/>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080" w:type="dxa"/>
            <w:vAlign w:val="bottom"/>
            <w:tcBorders>
              <w:bottom w:val="single" w:sz="8" w:color="C0C0C0"/>
            </w:tcBorders>
            <w:gridSpan w:val="2"/>
            <w:vMerge w:val="continue"/>
          </w:tcPr>
          <w:p>
            <w:pPr>
              <w:spacing w:after="0"/>
              <w:rPr>
                <w:sz w:val="15"/>
                <w:szCs w:val="15"/>
                <w:color w:val="auto"/>
              </w:rPr>
            </w:pPr>
          </w:p>
        </w:tc>
        <w:tc>
          <w:tcPr>
            <w:tcW w:w="300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2011</w:t>
            </w:r>
          </w:p>
        </w:tc>
        <w:tc>
          <w:tcPr>
            <w:tcW w:w="18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95"/>
        </w:trPr>
        <w:tc>
          <w:tcPr>
            <w:tcW w:w="708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Cost-sharing of Regeneron EYLEA</w:t>
            </w:r>
            <w:r>
              <w:rPr>
                <w:rFonts w:ascii="Arial" w:cs="Arial" w:eastAsia="Arial" w:hAnsi="Arial"/>
                <w:sz w:val="9"/>
                <w:szCs w:val="9"/>
                <w:color w:val="auto"/>
              </w:rPr>
              <w:t>TM</w:t>
            </w:r>
            <w:r>
              <w:rPr>
                <w:rFonts w:ascii="Arial" w:cs="Arial" w:eastAsia="Arial" w:hAnsi="Arial"/>
                <w:sz w:val="14"/>
                <w:szCs w:val="14"/>
                <w:color w:val="auto"/>
              </w:rPr>
              <w:t xml:space="preserve"> development expenses</w:t>
            </w:r>
          </w:p>
        </w:tc>
        <w:tc>
          <w:tcPr>
            <w:tcW w:w="312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0C0C0"/>
          </w:tcPr>
          <w:p>
            <w:pPr>
              <w:jc w:val="right"/>
              <w:ind w:right="180"/>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5"/>
        </w:trPr>
        <w:tc>
          <w:tcPr>
            <w:tcW w:w="7080" w:type="dxa"/>
            <w:vAlign w:val="bottom"/>
            <w:gridSpan w:val="2"/>
          </w:tcPr>
          <w:p>
            <w:pPr>
              <w:spacing w:after="0"/>
              <w:rPr>
                <w:sz w:val="20"/>
                <w:szCs w:val="20"/>
                <w:color w:val="auto"/>
              </w:rPr>
            </w:pPr>
            <w:r>
              <w:rPr>
                <w:rFonts w:ascii="Arial" w:cs="Arial" w:eastAsia="Arial" w:hAnsi="Arial"/>
                <w:sz w:val="14"/>
                <w:szCs w:val="14"/>
                <w:color w:val="auto"/>
              </w:rPr>
              <w:t>Recognition of deferred revenue related to up-front and other milestone</w:t>
            </w: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gridSpan w:val="2"/>
          </w:tcPr>
          <w:p>
            <w:pPr>
              <w:ind w:left="260"/>
              <w:spacing w:after="0"/>
              <w:rPr>
                <w:sz w:val="20"/>
                <w:szCs w:val="20"/>
                <w:color w:val="auto"/>
              </w:rPr>
            </w:pPr>
            <w:r>
              <w:rPr>
                <w:rFonts w:ascii="Arial" w:cs="Arial" w:eastAsia="Arial" w:hAnsi="Arial"/>
                <w:sz w:val="14"/>
                <w:szCs w:val="14"/>
                <w:color w:val="auto"/>
              </w:rPr>
              <w:t>payments</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560" w:type="dxa"/>
            <w:vAlign w:val="bottom"/>
            <w:shd w:val="clear" w:color="auto" w:fill="C0C0C0"/>
          </w:tcPr>
          <w:p>
            <w:pPr>
              <w:spacing w:after="0" w:line="20" w:lineRule="exact"/>
              <w:rPr>
                <w:sz w:val="1"/>
                <w:szCs w:val="1"/>
                <w:color w:val="auto"/>
              </w:rPr>
            </w:pPr>
          </w:p>
        </w:tc>
        <w:tc>
          <w:tcPr>
            <w:tcW w:w="4520" w:type="dxa"/>
            <w:vAlign w:val="bottom"/>
            <w:shd w:val="clear" w:color="auto" w:fill="C0C0C0"/>
          </w:tcPr>
          <w:p>
            <w:pPr>
              <w:spacing w:after="0" w:line="20" w:lineRule="exact"/>
              <w:rPr>
                <w:sz w:val="1"/>
                <w:szCs w:val="1"/>
                <w:color w:val="auto"/>
              </w:rPr>
            </w:pPr>
          </w:p>
        </w:tc>
        <w:tc>
          <w:tcPr>
            <w:tcW w:w="30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8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Total Bayer HealthCare collaboration revenue</w:t>
            </w:r>
          </w:p>
        </w:tc>
        <w:tc>
          <w:tcPr>
            <w:tcW w:w="312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0C0C0"/>
          </w:tcPr>
          <w:p>
            <w:pPr>
              <w:jc w:val="right"/>
              <w:ind w:right="180"/>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3"/>
        </w:trPr>
        <w:tc>
          <w:tcPr>
            <w:tcW w:w="2560" w:type="dxa"/>
            <w:vAlign w:val="bottom"/>
            <w:shd w:val="clear" w:color="auto" w:fill="C0C0C0"/>
          </w:tcPr>
          <w:p>
            <w:pPr>
              <w:spacing w:after="0" w:line="20" w:lineRule="exact"/>
              <w:rPr>
                <w:sz w:val="1"/>
                <w:szCs w:val="1"/>
                <w:color w:val="auto"/>
              </w:rPr>
            </w:pPr>
          </w:p>
        </w:tc>
        <w:tc>
          <w:tcPr>
            <w:tcW w:w="4520" w:type="dxa"/>
            <w:vAlign w:val="bottom"/>
            <w:shd w:val="clear" w:color="auto" w:fill="C0C0C0"/>
          </w:tcPr>
          <w:p>
            <w:pPr>
              <w:spacing w:after="0" w:line="20" w:lineRule="exact"/>
              <w:rPr>
                <w:sz w:val="1"/>
                <w:szCs w:val="1"/>
                <w:color w:val="auto"/>
              </w:rPr>
            </w:pPr>
          </w:p>
        </w:tc>
        <w:tc>
          <w:tcPr>
            <w:tcW w:w="30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241"/>
        <w:spacing w:after="0" w:line="243" w:lineRule="auto"/>
        <w:rPr>
          <w:sz w:val="20"/>
          <w:szCs w:val="20"/>
          <w:color w:val="auto"/>
        </w:rPr>
      </w:pPr>
      <w:r>
        <w:rPr>
          <w:rFonts w:ascii="Arial" w:cs="Arial" w:eastAsia="Arial" w:hAnsi="Arial"/>
          <w:sz w:val="14"/>
          <w:szCs w:val="14"/>
          <w:color w:val="auto"/>
        </w:rPr>
        <w:t>Cost-sharing of our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with Bayer HealthCare decreased in the second quarter of 2011 compared to the same period in 2010. In the second quarter of 2011, we incurred lower clinical development costs in connection with our Phase 3 VIEW 1 trial in wet AMD and our Phase 2 trial in DME. In connection with the recognition of deferred revenue related to the $75.0 million up-front payment and $20.0 million milestone payment received in August 2007, as of June 30, 2011, $42.0 million of these payments was deferred and will be recognized as revenue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Licensing Revenue</w:t>
      </w:r>
    </w:p>
    <w:p>
      <w:pPr>
        <w:spacing w:after="0" w:line="232" w:lineRule="exact"/>
        <w:rPr>
          <w:sz w:val="20"/>
          <w:szCs w:val="20"/>
          <w:color w:val="auto"/>
        </w:rPr>
      </w:pPr>
    </w:p>
    <w:p>
      <w:pPr>
        <w:jc w:val="both"/>
        <w:ind w:firstLine="230"/>
        <w:spacing w:after="0" w:line="238" w:lineRule="auto"/>
        <w:rPr>
          <w:sz w:val="20"/>
          <w:szCs w:val="20"/>
          <w:color w:val="auto"/>
        </w:rPr>
      </w:pPr>
      <w:r>
        <w:rPr>
          <w:rFonts w:ascii="Arial" w:cs="Arial" w:eastAsia="Arial" w:hAnsi="Arial"/>
          <w:sz w:val="14"/>
          <w:szCs w:val="14"/>
          <w:color w:val="auto"/>
        </w:rPr>
        <w:t xml:space="preserve">In connection with our </w:t>
      </w:r>
      <w:r>
        <w:rPr>
          <w:rFonts w:ascii="Arial" w:cs="Arial" w:eastAsia="Arial" w:hAnsi="Arial"/>
          <w:sz w:val="14"/>
          <w:szCs w:val="14"/>
          <w:i w:val="1"/>
          <w:iCs w:val="1"/>
          <w:color w:val="auto"/>
        </w:rPr>
        <w:t>VelocImmune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4"/>
          <w:szCs w:val="14"/>
          <w:i w:val="1"/>
          <w:iCs w:val="1"/>
          <w:color w:val="auto"/>
        </w:rPr>
        <w:t>VelocImmune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the second quarter of 2011, we recognized $5.2 million of technology licensing revenue related to the Astellas agreement. In the second quarter of 2010, we recognized $10.0 million of technology licensing revenue related to the Astellas and AstraZeneca agreements. As of June 30, 2011, $163.5 million of technology licensing payments received from Astellas was deferred and will be recognized as revenue in future periods.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color w:val="auto"/>
        </w:rPr>
        <w:t>Net Product Sales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 the three months ended June 30, 2011 and 2010, we recognized as revenue $5.0 million and $5.2 million, respectively,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Other Revenue</w:t>
      </w:r>
    </w:p>
    <w:p>
      <w:pPr>
        <w:spacing w:after="0" w:line="23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Contract research and other revenue for both the three months ended June 30, 2011 and 2010 included $1.2 million recognized in connection with our five-year grant from the NIH, which we were awarded in September 2006 as part of the NIH’s Knockout Mouse Project.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34" w:lineRule="exact"/>
        <w:rPr>
          <w:sz w:val="20"/>
          <w:szCs w:val="20"/>
          <w:color w:val="auto"/>
        </w:rPr>
      </w:pPr>
    </w:p>
    <w:p>
      <w:pPr>
        <w:jc w:val="both"/>
        <w:ind w:firstLine="296"/>
        <w:spacing w:after="0" w:line="276" w:lineRule="auto"/>
        <w:rPr>
          <w:sz w:val="20"/>
          <w:szCs w:val="20"/>
          <w:color w:val="auto"/>
        </w:rPr>
      </w:pPr>
      <w:r>
        <w:rPr>
          <w:rFonts w:ascii="Arial" w:cs="Arial" w:eastAsia="Arial" w:hAnsi="Arial"/>
          <w:sz w:val="14"/>
          <w:szCs w:val="14"/>
          <w:color w:val="auto"/>
        </w:rPr>
        <w:t>Total operating expenses increased to $168.1 million in the second quarter of 2011 from $139.6 million in the second quarter of 2010. Our average headcount in the second quarter of 2011 increased to 1,497 from 1,214 in the same period of 2010 principally as a result of our expanding research and development activities, which were primarily attributable to our antibody collaboration with Sanofi.</w:t>
      </w:r>
    </w:p>
    <w:p>
      <w:pPr>
        <w:spacing w:after="0" w:line="191"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Operating expenses in the second quarter of 2011 and 2010 included a total of $12.4 million and $8.7 million, respectively, of non-cash compensation expense related to employee stock option and restricted stock awards (Non-cash Compensation Expense), as detailed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289"/>
              <w:spacing w:after="0"/>
              <w:rPr>
                <w:sz w:val="20"/>
                <w:szCs w:val="20"/>
                <w:color w:val="auto"/>
              </w:rPr>
            </w:pPr>
            <w:r>
              <w:rPr>
                <w:rFonts w:ascii="Arial" w:cs="Arial" w:eastAsia="Arial" w:hAnsi="Arial"/>
                <w:sz w:val="14"/>
                <w:szCs w:val="14"/>
                <w:b w:val="1"/>
                <w:bCs w:val="1"/>
                <w:color w:val="auto"/>
                <w:w w:val="99"/>
              </w:rPr>
              <w:t>For the three months ended June 30, 2011</w:t>
            </w:r>
          </w:p>
        </w:tc>
      </w:tr>
      <w:tr>
        <w:trPr>
          <w:trHeight w:val="182"/>
        </w:trPr>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Expenses before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7"/>
        </w:trPr>
        <w:tc>
          <w:tcPr>
            <w:tcW w:w="5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inclusion of Non-cash</w:t>
            </w: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Non-cash</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6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4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Expenses as</w:t>
            </w:r>
          </w:p>
        </w:tc>
      </w:tr>
      <w:tr>
        <w:trPr>
          <w:trHeight w:val="215"/>
        </w:trPr>
        <w:tc>
          <w:tcPr>
            <w:tcW w:w="51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Expense</w:t>
            </w:r>
          </w:p>
        </w:tc>
        <w:tc>
          <w:tcPr>
            <w:tcW w:w="18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0"/>
              </w:rPr>
              <w:t>Expense</w:t>
            </w:r>
          </w:p>
        </w:tc>
        <w:tc>
          <w:tcPr>
            <w:tcW w:w="18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7"/>
              </w:rPr>
              <w:t>Reported</w:t>
            </w:r>
          </w:p>
        </w:tc>
      </w:tr>
      <w:tr>
        <w:trPr>
          <w:trHeight w:val="195"/>
        </w:trPr>
        <w:tc>
          <w:tcPr>
            <w:tcW w:w="5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3200" w:type="dxa"/>
            <w:vAlign w:val="bottom"/>
            <w:gridSpan w:val="2"/>
            <w:shd w:val="clear" w:color="auto" w:fill="C0C0C0"/>
          </w:tcPr>
          <w:p>
            <w:pPr>
              <w:ind w:left="30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135.4</w:t>
            </w:r>
          </w:p>
        </w:tc>
        <w:tc>
          <w:tcPr>
            <w:tcW w:w="1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0C0C0"/>
          </w:tcPr>
          <w:p>
            <w:pPr>
              <w:jc w:val="right"/>
              <w:ind w:right="180"/>
              <w:spacing w:after="0"/>
              <w:rPr>
                <w:sz w:val="20"/>
                <w:szCs w:val="20"/>
                <w:color w:val="auto"/>
              </w:rPr>
            </w:pPr>
            <w:r>
              <w:rPr>
                <w:rFonts w:ascii="Arial" w:cs="Arial" w:eastAsia="Arial" w:hAnsi="Arial"/>
                <w:sz w:val="14"/>
                <w:szCs w:val="14"/>
                <w:color w:val="auto"/>
              </w:rPr>
              <w:t>7.7</w:t>
            </w:r>
          </w:p>
        </w:tc>
        <w:tc>
          <w:tcPr>
            <w:tcW w:w="80" w:type="dxa"/>
            <w:vAlign w:val="bottom"/>
            <w:shd w:val="clear" w:color="auto" w:fill="C0C0C0"/>
          </w:tcPr>
          <w:p>
            <w:pPr>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143.1</w:t>
            </w:r>
          </w:p>
        </w:tc>
      </w:tr>
      <w:tr>
        <w:trPr>
          <w:trHeight w:val="191"/>
        </w:trPr>
        <w:tc>
          <w:tcPr>
            <w:tcW w:w="510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197"/>
        </w:trPr>
        <w:tc>
          <w:tcPr>
            <w:tcW w:w="5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308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r>
      <w:tr>
        <w:trPr>
          <w:trHeight w:val="197"/>
        </w:trPr>
        <w:tc>
          <w:tcPr>
            <w:tcW w:w="510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3200" w:type="dxa"/>
            <w:vAlign w:val="bottom"/>
            <w:gridSpan w:val="2"/>
          </w:tcPr>
          <w:p>
            <w:pPr>
              <w:ind w:left="308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155.7</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168.1</w:t>
            </w:r>
          </w:p>
        </w:tc>
      </w:tr>
      <w:tr>
        <w:trPr>
          <w:trHeight w:val="388"/>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160" w:type="dxa"/>
            <w:vAlign w:val="bottom"/>
            <w:tcBorders>
              <w:top w:val="single" w:sz="8" w:color="auto"/>
              <w:bottom w:val="single" w:sz="8" w:color="auto"/>
            </w:tcBorders>
            <w:gridSpan w:val="7"/>
          </w:tcPr>
          <w:p>
            <w:pPr>
              <w:jc w:val="right"/>
              <w:ind w:right="289"/>
              <w:spacing w:after="0"/>
              <w:rPr>
                <w:sz w:val="20"/>
                <w:szCs w:val="20"/>
                <w:color w:val="auto"/>
              </w:rPr>
            </w:pPr>
            <w:r>
              <w:rPr>
                <w:rFonts w:ascii="Arial" w:cs="Arial" w:eastAsia="Arial" w:hAnsi="Arial"/>
                <w:sz w:val="14"/>
                <w:szCs w:val="14"/>
                <w:b w:val="1"/>
                <w:bCs w:val="1"/>
                <w:color w:val="auto"/>
                <w:w w:val="99"/>
              </w:rPr>
              <w:t>For the three months ended June 30, 2010</w:t>
            </w:r>
          </w:p>
        </w:tc>
      </w:tr>
      <w:tr>
        <w:trPr>
          <w:trHeight w:val="182"/>
        </w:trPr>
        <w:tc>
          <w:tcPr>
            <w:tcW w:w="5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Expenses before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7"/>
        </w:trPr>
        <w:tc>
          <w:tcPr>
            <w:tcW w:w="5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inclusion of Non-cash</w:t>
            </w: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Non-cash</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66"/>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4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Expenses as</w:t>
            </w:r>
          </w:p>
        </w:tc>
      </w:tr>
      <w:tr>
        <w:trPr>
          <w:trHeight w:val="215"/>
        </w:trPr>
        <w:tc>
          <w:tcPr>
            <w:tcW w:w="51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Expense</w:t>
            </w:r>
          </w:p>
        </w:tc>
        <w:tc>
          <w:tcPr>
            <w:tcW w:w="18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0"/>
              </w:rPr>
              <w:t>Expense</w:t>
            </w:r>
          </w:p>
        </w:tc>
        <w:tc>
          <w:tcPr>
            <w:tcW w:w="18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7"/>
              </w:rPr>
              <w:t>Reported</w:t>
            </w:r>
          </w:p>
        </w:tc>
      </w:tr>
      <w:tr>
        <w:trPr>
          <w:trHeight w:val="195"/>
        </w:trPr>
        <w:tc>
          <w:tcPr>
            <w:tcW w:w="5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3200" w:type="dxa"/>
            <w:vAlign w:val="bottom"/>
            <w:gridSpan w:val="2"/>
            <w:shd w:val="clear" w:color="auto" w:fill="C0C0C0"/>
          </w:tcPr>
          <w:p>
            <w:pPr>
              <w:ind w:left="30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119.5</w:t>
            </w:r>
          </w:p>
        </w:tc>
        <w:tc>
          <w:tcPr>
            <w:tcW w:w="1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0C0C0"/>
          </w:tcPr>
          <w:p>
            <w:pPr>
              <w:jc w:val="right"/>
              <w:ind w:right="18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0C0C0"/>
          </w:tcPr>
          <w:p>
            <w:pPr>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124.5</w:t>
            </w:r>
          </w:p>
        </w:tc>
      </w:tr>
      <w:tr>
        <w:trPr>
          <w:trHeight w:val="191"/>
        </w:trPr>
        <w:tc>
          <w:tcPr>
            <w:tcW w:w="510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97"/>
        </w:trPr>
        <w:tc>
          <w:tcPr>
            <w:tcW w:w="5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308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0.4</w:t>
            </w:r>
          </w:p>
        </w:tc>
      </w:tr>
      <w:tr>
        <w:trPr>
          <w:trHeight w:val="194"/>
        </w:trPr>
        <w:tc>
          <w:tcPr>
            <w:tcW w:w="510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30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130.9</w:t>
            </w:r>
          </w:p>
        </w:tc>
        <w:tc>
          <w:tcPr>
            <w:tcW w:w="1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139.6</w:t>
            </w:r>
          </w:p>
        </w:tc>
      </w:tr>
      <w:tr>
        <w:trPr>
          <w:trHeight w:val="23"/>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1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4"/>
          <w:szCs w:val="14"/>
          <w:color w:val="auto"/>
        </w:rPr>
        <w:t>The increase in total Non-cash Compensation Expense in the second quarter of 2011 was primarily attributable to (i) the recognition of higher expense in the second quarter of 2011 in connection with previously granted performance-based stock options that we estimate will vest, (ii) the higher fair market value of our Common Stock on the date of our annual employee option grants made in December 2010 compared to recent prior years, and (iii) the recognition of higher expense related to grants of restricted stock in December 2010.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34" w:lineRule="exact"/>
        <w:rPr>
          <w:sz w:val="20"/>
          <w:szCs w:val="20"/>
          <w:color w:val="auto"/>
        </w:rPr>
      </w:pPr>
    </w:p>
    <w:p>
      <w:pPr>
        <w:ind w:firstLine="307"/>
        <w:spacing w:after="0" w:line="291" w:lineRule="auto"/>
        <w:rPr>
          <w:sz w:val="20"/>
          <w:szCs w:val="20"/>
          <w:color w:val="auto"/>
        </w:rPr>
      </w:pPr>
      <w:r>
        <w:rPr>
          <w:rFonts w:ascii="Arial" w:cs="Arial" w:eastAsia="Arial" w:hAnsi="Arial"/>
          <w:sz w:val="14"/>
          <w:szCs w:val="14"/>
          <w:color w:val="auto"/>
        </w:rPr>
        <w:t>Research and development expenses increased to $143.1 million in the second quarter of 2011 from $124.5 million in the same period of 2010. The following table summarizes the major categories of our research and development expenses for the three months ended June 30, 2011 and 2010: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24"/>
        </w:trPr>
        <w:tc>
          <w:tcPr>
            <w:tcW w:w="2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0C0C0"/>
            </w:tcBorders>
            <w:vMerge w:val="continue"/>
          </w:tcPr>
          <w:p>
            <w:pPr>
              <w:spacing w:after="0"/>
              <w:rPr>
                <w:sz w:val="15"/>
                <w:szCs w:val="15"/>
                <w:color w:val="auto"/>
              </w:rPr>
            </w:pPr>
          </w:p>
        </w:tc>
        <w:tc>
          <w:tcPr>
            <w:tcW w:w="3400" w:type="dxa"/>
            <w:vAlign w:val="bottom"/>
            <w:tcBorders>
              <w:bottom w:val="single" w:sz="8" w:color="C0C0C0"/>
            </w:tcBorders>
            <w:vMerge w:val="continue"/>
          </w:tcPr>
          <w:p>
            <w:pPr>
              <w:spacing w:after="0"/>
              <w:rPr>
                <w:sz w:val="15"/>
                <w:szCs w:val="15"/>
                <w:color w:val="auto"/>
              </w:rPr>
            </w:pPr>
          </w:p>
        </w:tc>
        <w:tc>
          <w:tcPr>
            <w:tcW w:w="3020" w:type="dxa"/>
            <w:vAlign w:val="bottom"/>
            <w:tcBorders>
              <w:bottom w:val="single" w:sz="8" w:color="C0C0C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0C0C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Payroll and benefits (1)</w:t>
            </w:r>
          </w:p>
        </w:tc>
        <w:tc>
          <w:tcPr>
            <w:tcW w:w="3180" w:type="dxa"/>
            <w:vAlign w:val="bottom"/>
            <w:gridSpan w:val="2"/>
            <w:shd w:val="clear" w:color="auto" w:fill="C0C0C0"/>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41.5</w:t>
            </w:r>
          </w:p>
        </w:tc>
        <w:tc>
          <w:tcPr>
            <w:tcW w:w="240" w:type="dxa"/>
            <w:vAlign w:val="bottom"/>
            <w:shd w:val="clear" w:color="auto" w:fill="C0C0C0"/>
          </w:tcPr>
          <w:p>
            <w:pPr>
              <w:spacing w:after="0"/>
              <w:rPr>
                <w:sz w:val="16"/>
                <w:szCs w:val="16"/>
                <w:color w:val="auto"/>
              </w:rPr>
            </w:pPr>
          </w:p>
        </w:tc>
        <w:tc>
          <w:tcPr>
            <w:tcW w:w="200" w:type="dxa"/>
            <w:vAlign w:val="bottom"/>
            <w:shd w:val="clear" w:color="auto" w:fill="C0C0C0"/>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31.9</w:t>
            </w:r>
          </w:p>
        </w:tc>
        <w:tc>
          <w:tcPr>
            <w:tcW w:w="160" w:type="dxa"/>
            <w:vAlign w:val="bottom"/>
            <w:shd w:val="clear" w:color="auto" w:fill="C0C0C0"/>
          </w:tcPr>
          <w:p>
            <w:pPr>
              <w:spacing w:after="0"/>
              <w:rPr>
                <w:sz w:val="16"/>
                <w:szCs w:val="16"/>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1"/>
        </w:trPr>
        <w:tc>
          <w:tcPr>
            <w:tcW w:w="5660" w:type="dxa"/>
            <w:vAlign w:val="bottom"/>
            <w:gridSpan w:val="2"/>
          </w:tcPr>
          <w:p>
            <w:pPr>
              <w:spacing w:after="0"/>
              <w:rPr>
                <w:sz w:val="20"/>
                <w:szCs w:val="20"/>
                <w:color w:val="auto"/>
              </w:rPr>
            </w:pPr>
            <w:r>
              <w:rPr>
                <w:rFonts w:ascii="Arial" w:cs="Arial" w:eastAsia="Arial" w:hAnsi="Arial"/>
                <w:sz w:val="14"/>
                <w:szCs w:val="14"/>
                <w:color w:val="auto"/>
              </w:rPr>
              <w:t>Clinical trial expenses</w:t>
            </w: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Clinical manufacturing costs (2)</w:t>
            </w:r>
          </w:p>
        </w:tc>
        <w:tc>
          <w:tcPr>
            <w:tcW w:w="30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30.0</w:t>
            </w:r>
          </w:p>
        </w:tc>
        <w:tc>
          <w:tcPr>
            <w:tcW w:w="2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27.6</w:t>
            </w: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1"/>
        </w:trPr>
        <w:tc>
          <w:tcPr>
            <w:tcW w:w="5660" w:type="dxa"/>
            <w:vAlign w:val="bottom"/>
            <w:gridSpan w:val="2"/>
          </w:tcPr>
          <w:p>
            <w:pPr>
              <w:spacing w:after="0"/>
              <w:rPr>
                <w:sz w:val="20"/>
                <w:szCs w:val="20"/>
                <w:color w:val="auto"/>
              </w:rPr>
            </w:pPr>
            <w:r>
              <w:rPr>
                <w:rFonts w:ascii="Arial" w:cs="Arial" w:eastAsia="Arial" w:hAnsi="Arial"/>
                <w:sz w:val="14"/>
                <w:szCs w:val="14"/>
                <w:color w:val="auto"/>
              </w:rPr>
              <w:t>Research and other development costs</w:t>
            </w: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Occupancy and other operating costs</w:t>
            </w:r>
          </w:p>
        </w:tc>
        <w:tc>
          <w:tcPr>
            <w:tcW w:w="30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15.0</w:t>
            </w:r>
          </w:p>
        </w:tc>
        <w:tc>
          <w:tcPr>
            <w:tcW w:w="2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12.7</w:t>
            </w: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5"/>
        </w:trPr>
        <w:tc>
          <w:tcPr>
            <w:tcW w:w="5660" w:type="dxa"/>
            <w:vAlign w:val="bottom"/>
            <w:gridSpan w:val="2"/>
          </w:tcPr>
          <w:p>
            <w:pPr>
              <w:spacing w:after="0"/>
              <w:rPr>
                <w:sz w:val="20"/>
                <w:szCs w:val="20"/>
                <w:color w:val="auto"/>
              </w:rPr>
            </w:pPr>
            <w:r>
              <w:rPr>
                <w:rFonts w:ascii="Arial" w:cs="Arial" w:eastAsia="Arial" w:hAnsi="Arial"/>
                <w:sz w:val="14"/>
                <w:szCs w:val="14"/>
                <w:color w:val="auto"/>
              </w:rPr>
              <w:t>Cost-sharing of Bayer HealthCare EYLEA</w:t>
            </w:r>
            <w:r>
              <w:rPr>
                <w:rFonts w:ascii="Arial" w:cs="Arial" w:eastAsia="Arial" w:hAnsi="Arial"/>
                <w:sz w:val="9"/>
                <w:szCs w:val="9"/>
                <w:color w:val="auto"/>
              </w:rPr>
              <w:t>TM</w:t>
            </w: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development expenses (3)</w:t>
            </w:r>
          </w:p>
        </w:tc>
        <w:tc>
          <w:tcPr>
            <w:tcW w:w="3020" w:type="dxa"/>
            <w:vAlign w:val="bottom"/>
            <w:tcBorders>
              <w:bottom w:val="single" w:sz="8" w:color="C0C0C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240" w:type="dxa"/>
            <w:vAlign w:val="bottom"/>
            <w:tcBorders>
              <w:bottom w:val="single" w:sz="8" w:color="C0C0C0"/>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3180" w:type="dxa"/>
            <w:vAlign w:val="bottom"/>
            <w:gridSpan w:val="2"/>
            <w:shd w:val="clear" w:color="auto" w:fill="C0C0C0"/>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143.1</w:t>
            </w:r>
          </w:p>
        </w:tc>
        <w:tc>
          <w:tcPr>
            <w:tcW w:w="24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124.5</w:t>
            </w:r>
          </w:p>
        </w:tc>
        <w:tc>
          <w:tcPr>
            <w:tcW w:w="160" w:type="dxa"/>
            <w:vAlign w:val="bottom"/>
            <w:shd w:val="clear" w:color="auto" w:fill="C0C0C0"/>
          </w:tcPr>
          <w:p>
            <w:pPr>
              <w:spacing w:after="0"/>
              <w:rPr>
                <w:sz w:val="18"/>
                <w:szCs w:val="18"/>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94"/>
        </w:trPr>
        <w:tc>
          <w:tcPr>
            <w:tcW w:w="2260" w:type="dxa"/>
            <w:vAlign w:val="bottom"/>
            <w:tcBorders>
              <w:top w:val="single" w:sz="8" w:color="C0C0C0"/>
            </w:tcBorders>
          </w:tcPr>
          <w:p>
            <w:pPr>
              <w:spacing w:after="0" w:line="195" w:lineRule="exact"/>
              <w:rPr>
                <w:sz w:val="20"/>
                <w:szCs w:val="20"/>
                <w:color w:val="auto"/>
              </w:rPr>
            </w:pPr>
            <w:r>
              <w:rPr>
                <w:rFonts w:ascii="Arial" w:cs="Arial" w:eastAsia="Arial" w:hAnsi="Arial"/>
                <w:sz w:val="18"/>
                <w:szCs w:val="18"/>
                <w:color w:val="auto"/>
              </w:rPr>
              <w:t>____________________</w:t>
            </w:r>
          </w:p>
        </w:tc>
        <w:tc>
          <w:tcPr>
            <w:tcW w:w="3400" w:type="dxa"/>
            <w:vAlign w:val="bottom"/>
            <w:tcBorders>
              <w:top w:val="single" w:sz="8" w:color="C0C0C0"/>
            </w:tcBorders>
          </w:tcPr>
          <w:p>
            <w:pPr>
              <w:spacing w:after="0"/>
              <w:rPr>
                <w:sz w:val="16"/>
                <w:szCs w:val="16"/>
                <w:color w:val="auto"/>
              </w:rPr>
            </w:pPr>
          </w:p>
        </w:tc>
        <w:tc>
          <w:tcPr>
            <w:tcW w:w="3020" w:type="dxa"/>
            <w:vAlign w:val="bottom"/>
            <w:tcBorders>
              <w:top w:val="single" w:sz="8" w:color="C0C0C0"/>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C0C0C0"/>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C0C0C0"/>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hanging="393"/>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$6.7 million and $4.2 million of Non-cash Compensation Expense for the three months ended June 30, 2011 and 2010, respectively.</w:t>
      </w:r>
    </w:p>
    <w:p>
      <w:pPr>
        <w:spacing w:after="0" w:line="20" w:lineRule="exact"/>
        <w:rPr>
          <w:rFonts w:ascii="Arial" w:cs="Arial" w:eastAsia="Arial" w:hAnsi="Arial"/>
          <w:sz w:val="14"/>
          <w:szCs w:val="14"/>
          <w:color w:val="auto"/>
        </w:rPr>
      </w:pPr>
    </w:p>
    <w:p>
      <w:pPr>
        <w:jc w:val="both"/>
        <w:ind w:left="620" w:hanging="393"/>
        <w:spacing w:after="0" w:line="261" w:lineRule="auto"/>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$1.0 million and $0.8 million of Non-cash Compensation Expense for the three months ended June 30, 2011 and 2010, respectively.</w:t>
      </w:r>
    </w:p>
    <w:p>
      <w:pPr>
        <w:spacing w:after="0" w:line="1" w:lineRule="exact"/>
        <w:rPr>
          <w:rFonts w:ascii="Arial" w:cs="Arial" w:eastAsia="Arial" w:hAnsi="Arial"/>
          <w:sz w:val="14"/>
          <w:szCs w:val="14"/>
          <w:color w:val="auto"/>
        </w:rPr>
      </w:pPr>
    </w:p>
    <w:p>
      <w:pPr>
        <w:jc w:val="both"/>
        <w:ind w:left="620" w:hanging="393"/>
        <w:spacing w:after="0" w:line="214" w:lineRule="auto"/>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Under our collaboration with Bayer HealthCare, in periods when Bayer HealthCare incurs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we also recognize, as additional research and development expense, the portion of Bayer HealthCare’s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Bayer HealthCare provides us with estimated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for the most recent fiscal quarter. Bayer HealthCare’s estimate is reconciled to its actual expenses for such quarter in the subsequent fiscal quarter and our portion of its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is adjusted accordingly.</w:t>
      </w:r>
    </w:p>
    <w:p>
      <w:pPr>
        <w:spacing w:after="0" w:line="137" w:lineRule="exact"/>
        <w:rPr>
          <w:sz w:val="20"/>
          <w:szCs w:val="20"/>
          <w:color w:val="auto"/>
        </w:rPr>
      </w:pPr>
    </w:p>
    <w:p>
      <w:pPr>
        <w:jc w:val="both"/>
        <w:ind w:firstLine="274"/>
        <w:spacing w:after="0" w:line="270" w:lineRule="auto"/>
        <w:rPr>
          <w:sz w:val="20"/>
          <w:szCs w:val="20"/>
          <w:color w:val="auto"/>
        </w:rPr>
      </w:pPr>
      <w:r>
        <w:rPr>
          <w:rFonts w:ascii="Arial" w:cs="Arial" w:eastAsia="Arial" w:hAnsi="Arial"/>
          <w:sz w:val="13"/>
          <w:szCs w:val="13"/>
          <w:color w:val="auto"/>
        </w:rPr>
        <w:t>Payroll and benefits increased principally due to the increase in employee headcount, as described above. Clinical trial expenses decreased due primarily to lower costs related to our Phase 3 clinical development program for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and our clinical development program for REGN475, which is currently on clinical hold. Clinical manufacturing costs increased primarily due to higher facility-related costs in connection with the expansion of our manufacturing capacity at our Rensselaer facility, partly offset by lower costs related to manufacturing supplies of antibody candidates, including REGN475. Research and other development costs increased due to higher costs associated with our antibody programs. Occupancy and other operating costs increased principally in connection with our higher headcount, expanded research and development activities, and new and expanded leased laboratory and office facilities in Tarrytown, New York. Cost-sharing of Bayer HealthCare’s global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expenses increased primarily due to higher costs in connection with Bayer HealthCare’s Phase 3 trial in DME, which was initiated in the second quarter of 2011, and costs associated with ex-U.S. regulatory approval filings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33" w:name="page34"/>
    <w:bookmarkEnd w:id="33"/>
    <w:p>
      <w:pPr>
        <w:jc w:val="both"/>
        <w:ind w:firstLine="329"/>
        <w:spacing w:after="0" w:line="320" w:lineRule="auto"/>
        <w:rPr>
          <w:sz w:val="20"/>
          <w:szCs w:val="20"/>
          <w:color w:val="auto"/>
        </w:rPr>
      </w:pPr>
      <w:r>
        <w:rPr>
          <w:rFonts w:ascii="Arial" w:cs="Arial" w:eastAsia="Arial" w:hAnsi="Arial"/>
          <w:sz w:val="13"/>
          <w:szCs w:val="13"/>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expenses that we are obligated to reimburse. Our estimates of research and development costs for clinical development programs are shown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For the three months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Project Costs</w:t>
            </w:r>
          </w:p>
        </w:tc>
        <w:tc>
          <w:tcPr>
            <w:tcW w:w="50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ended June 30,</w:t>
            </w:r>
          </w:p>
        </w:tc>
        <w:tc>
          <w:tcPr>
            <w:tcW w:w="100" w:type="dxa"/>
            <w:vAlign w:val="bottom"/>
          </w:tcPr>
          <w:p>
            <w:pPr>
              <w:spacing w:after="0"/>
              <w:rPr>
                <w:sz w:val="14"/>
                <w:szCs w:val="14"/>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24"/>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82"/>
        </w:trPr>
        <w:tc>
          <w:tcPr>
            <w:tcW w:w="5900" w:type="dxa"/>
            <w:vAlign w:val="bottom"/>
            <w:tcBorders>
              <w:bottom w:val="single" w:sz="8" w:color="C0C0C0"/>
            </w:tcBorders>
            <w:gridSpan w:val="2"/>
            <w:vMerge w:val="continue"/>
          </w:tcPr>
          <w:p>
            <w:pPr>
              <w:spacing w:after="0"/>
              <w:rPr>
                <w:sz w:val="15"/>
                <w:szCs w:val="15"/>
                <w:color w:val="auto"/>
              </w:rPr>
            </w:pPr>
          </w:p>
        </w:tc>
        <w:tc>
          <w:tcPr>
            <w:tcW w:w="302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0C0C0"/>
            </w:tcBorders>
          </w:tcPr>
          <w:p>
            <w:pPr>
              <w:spacing w:after="0"/>
              <w:rPr>
                <w:sz w:val="15"/>
                <w:szCs w:val="15"/>
                <w:color w:val="auto"/>
              </w:rPr>
            </w:pPr>
          </w:p>
        </w:tc>
        <w:tc>
          <w:tcPr>
            <w:tcW w:w="100" w:type="dxa"/>
            <w:vAlign w:val="bottom"/>
            <w:tcBorders>
              <w:bottom w:val="single" w:sz="8" w:color="C0C0C0"/>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0C0C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ARCALYST</w:t>
            </w:r>
            <w:r>
              <w:rPr>
                <w:rFonts w:ascii="Arial" w:cs="Arial" w:eastAsia="Arial" w:hAnsi="Arial"/>
                <w:sz w:val="9"/>
                <w:szCs w:val="9"/>
                <w:color w:val="auto"/>
              </w:rPr>
              <w:t>®</w:t>
            </w:r>
          </w:p>
        </w:tc>
        <w:tc>
          <w:tcPr>
            <w:tcW w:w="31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8.5</w:t>
            </w:r>
          </w:p>
        </w:tc>
        <w:tc>
          <w:tcPr>
            <w:tcW w:w="22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0C0C0"/>
          </w:tcPr>
          <w:p>
            <w:pPr>
              <w:spacing w:after="0"/>
              <w:rPr>
                <w:sz w:val="16"/>
                <w:szCs w:val="16"/>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2"/>
        </w:trPr>
        <w:tc>
          <w:tcPr>
            <w:tcW w:w="5900" w:type="dxa"/>
            <w:vAlign w:val="bottom"/>
            <w:gridSpan w:val="2"/>
          </w:tcPr>
          <w:p>
            <w:pPr>
              <w:spacing w:after="0"/>
              <w:rPr>
                <w:sz w:val="20"/>
                <w:szCs w:val="20"/>
                <w:color w:val="auto"/>
              </w:rPr>
            </w:pPr>
            <w:r>
              <w:rPr>
                <w:rFonts w:ascii="Arial" w:cs="Arial" w:eastAsia="Arial" w:hAnsi="Arial"/>
                <w:sz w:val="14"/>
                <w:szCs w:val="14"/>
                <w:color w:val="auto"/>
              </w:rPr>
              <w:t>EYLEA</w:t>
            </w:r>
            <w:r>
              <w:rPr>
                <w:rFonts w:ascii="Arial" w:cs="Arial" w:eastAsia="Arial" w:hAnsi="Arial"/>
                <w:sz w:val="9"/>
                <w:szCs w:val="9"/>
                <w:color w:val="auto"/>
              </w:rPr>
              <w:t>TM</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9"/>
                <w:szCs w:val="9"/>
                <w:color w:val="auto"/>
              </w:rPr>
              <w:t>TM</w:t>
            </w:r>
          </w:p>
        </w:tc>
        <w:tc>
          <w:tcPr>
            <w:tcW w:w="30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1"/>
        </w:trPr>
        <w:tc>
          <w:tcPr>
            <w:tcW w:w="5900" w:type="dxa"/>
            <w:vAlign w:val="bottom"/>
            <w:gridSpan w:val="2"/>
          </w:tcPr>
          <w:p>
            <w:pPr>
              <w:spacing w:after="0"/>
              <w:rPr>
                <w:sz w:val="20"/>
                <w:szCs w:val="20"/>
                <w:color w:val="auto"/>
              </w:rPr>
            </w:pPr>
            <w:r>
              <w:rPr>
                <w:rFonts w:ascii="Arial" w:cs="Arial" w:eastAsia="Arial" w:hAnsi="Arial"/>
                <w:sz w:val="14"/>
                <w:szCs w:val="14"/>
                <w:color w:val="auto"/>
              </w:rPr>
              <w:t>Sarilumab</w:t>
            </w: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4"/>
        </w:trPr>
        <w:tc>
          <w:tcPr>
            <w:tcW w:w="59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REGN727</w:t>
            </w:r>
          </w:p>
        </w:tc>
        <w:tc>
          <w:tcPr>
            <w:tcW w:w="30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jc w:val="right"/>
              <w:ind w:right="2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1"/>
        </w:trPr>
        <w:tc>
          <w:tcPr>
            <w:tcW w:w="5900" w:type="dxa"/>
            <w:vAlign w:val="bottom"/>
            <w:gridSpan w:val="2"/>
          </w:tcPr>
          <w:p>
            <w:pPr>
              <w:spacing w:after="0"/>
              <w:rPr>
                <w:sz w:val="20"/>
                <w:szCs w:val="20"/>
                <w:color w:val="auto"/>
              </w:rPr>
            </w:pPr>
            <w:r>
              <w:rPr>
                <w:rFonts w:ascii="Arial" w:cs="Arial" w:eastAsia="Arial" w:hAnsi="Arial"/>
                <w:sz w:val="14"/>
                <w:szCs w:val="14"/>
                <w:color w:val="auto"/>
              </w:rPr>
              <w:t>Other antibody candidates in clinical development</w:t>
            </w: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7"/>
        </w:trPr>
        <w:tc>
          <w:tcPr>
            <w:tcW w:w="59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Other research programs &amp; unallocated costs</w:t>
            </w:r>
          </w:p>
        </w:tc>
        <w:tc>
          <w:tcPr>
            <w:tcW w:w="302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54.1</w:t>
            </w:r>
          </w:p>
        </w:tc>
        <w:tc>
          <w:tcPr>
            <w:tcW w:w="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42.7</w:t>
            </w:r>
          </w:p>
        </w:tc>
        <w:tc>
          <w:tcPr>
            <w:tcW w:w="160" w:type="dxa"/>
            <w:vAlign w:val="bottom"/>
            <w:shd w:val="clear" w:color="auto" w:fill="C0C0C0"/>
          </w:tcPr>
          <w:p>
            <w:pPr>
              <w:spacing w:after="0"/>
              <w:rPr>
                <w:sz w:val="17"/>
                <w:szCs w:val="17"/>
                <w:color w:val="auto"/>
              </w:rPr>
            </w:pPr>
          </w:p>
        </w:tc>
        <w:tc>
          <w:tcPr>
            <w:tcW w:w="100" w:type="dxa"/>
            <w:vAlign w:val="bottom"/>
            <w:tcBorders>
              <w:bottom w:val="single" w:sz="8" w:color="auto"/>
            </w:tcBorders>
            <w:shd w:val="clear" w:color="auto" w:fill="C0C0C0"/>
          </w:tcPr>
          <w:p>
            <w:pPr>
              <w:spacing w:after="0"/>
              <w:rPr>
                <w:sz w:val="17"/>
                <w:szCs w:val="17"/>
                <w:color w:val="auto"/>
              </w:rPr>
            </w:pPr>
          </w:p>
        </w:tc>
        <w:tc>
          <w:tcPr>
            <w:tcW w:w="740" w:type="dxa"/>
            <w:vAlign w:val="bottom"/>
            <w:tcBorders>
              <w:bottom w:val="single" w:sz="8" w:color="auto"/>
            </w:tcBorders>
            <w:shd w:val="clear" w:color="auto" w:fill="C0C0C0"/>
          </w:tcPr>
          <w:p>
            <w:pPr>
              <w:jc w:val="right"/>
              <w:ind w:right="2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4"/>
        </w:trPr>
        <w:tc>
          <w:tcPr>
            <w:tcW w:w="5900" w:type="dxa"/>
            <w:vAlign w:val="bottom"/>
            <w:gridSpan w:val="2"/>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3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143.1</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124.5</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3"/>
        </w:trPr>
        <w:tc>
          <w:tcPr>
            <w:tcW w:w="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4"/>
          <w:szCs w:val="14"/>
          <w:color w:val="auto"/>
        </w:rPr>
        <w:t>Drug development and approval in the U.S.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w:t>
      </w:r>
      <w:r>
        <w:rPr>
          <w:rFonts w:ascii="Arial" w:cs="Arial" w:eastAsia="Arial" w:hAnsi="Arial"/>
          <w:sz w:val="19"/>
          <w:szCs w:val="19"/>
          <w:color w:val="auto"/>
          <w:vertAlign w:val="superscript"/>
        </w:rPr>
        <w:t>®</w:t>
      </w:r>
      <w:r>
        <w:rPr>
          <w:rFonts w:ascii="Arial" w:cs="Arial" w:eastAsia="Arial" w:hAnsi="Arial"/>
          <w:sz w:val="14"/>
          <w:szCs w:val="14"/>
          <w:color w:val="auto"/>
        </w:rPr>
        <w:t>, ZALTRAP</w:t>
      </w:r>
      <w:r>
        <w:rPr>
          <w:rFonts w:ascii="Arial" w:cs="Arial" w:eastAsia="Arial" w:hAnsi="Arial"/>
          <w:sz w:val="19"/>
          <w:szCs w:val="19"/>
          <w:color w:val="auto"/>
          <w:vertAlign w:val="superscript"/>
        </w:rPr>
        <w:t>TM</w:t>
      </w:r>
      <w:r>
        <w:rPr>
          <w:rFonts w:ascii="Arial" w:cs="Arial" w:eastAsia="Arial" w:hAnsi="Arial"/>
          <w:sz w:val="14"/>
          <w:szCs w:val="14"/>
          <w:color w:val="auto"/>
        </w:rPr>
        <w:t>, and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different disease indications.</w:t>
      </w:r>
    </w:p>
    <w:p>
      <w:pPr>
        <w:spacing w:after="0" w:line="207" w:lineRule="exact"/>
        <w:rPr>
          <w:sz w:val="20"/>
          <w:szCs w:val="20"/>
          <w:color w:val="auto"/>
        </w:rPr>
      </w:pPr>
    </w:p>
    <w:p>
      <w:pPr>
        <w:jc w:val="both"/>
        <w:ind w:firstLine="252"/>
        <w:spacing w:after="0" w:line="269" w:lineRule="auto"/>
        <w:rPr>
          <w:sz w:val="20"/>
          <w:szCs w:val="20"/>
          <w:color w:val="auto"/>
        </w:rPr>
      </w:pPr>
      <w:r>
        <w:rPr>
          <w:rFonts w:ascii="Arial" w:cs="Arial" w:eastAsia="Arial" w:hAnsi="Arial"/>
          <w:sz w:val="14"/>
          <w:szCs w:val="14"/>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under “Risks Related to the Development and Approval of Our Product Candidates,” “Risks Related to Commercialization of Products,” and “Regulatory and Litigation Risks.”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19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34" w:lineRule="exact"/>
        <w:rPr>
          <w:sz w:val="20"/>
          <w:szCs w:val="20"/>
          <w:color w:val="auto"/>
        </w:rPr>
      </w:pPr>
    </w:p>
    <w:p>
      <w:pPr>
        <w:jc w:val="both"/>
        <w:ind w:firstLine="252"/>
        <w:spacing w:after="0" w:line="270" w:lineRule="auto"/>
        <w:rPr>
          <w:sz w:val="20"/>
          <w:szCs w:val="20"/>
          <w:color w:val="auto"/>
        </w:rPr>
      </w:pPr>
      <w:r>
        <w:rPr>
          <w:rFonts w:ascii="Arial" w:cs="Arial" w:eastAsia="Arial" w:hAnsi="Arial"/>
          <w:sz w:val="13"/>
          <w:szCs w:val="13"/>
          <w:color w:val="auto"/>
        </w:rPr>
        <w:t>Selling, general, and administrative expenses increased to $24.6 million in the second quarter of 2011 from $14.7 million in the same period of 2010 due primarily to increases in compensation expense and recruitment costs principally in connection with higher headcount in the second quarter of 2011, higher commercialization-related costs, primarily in connection with EYLEA</w:t>
      </w:r>
      <w:r>
        <w:rPr>
          <w:rFonts w:ascii="Arial" w:cs="Arial" w:eastAsia="Arial" w:hAnsi="Arial"/>
          <w:sz w:val="17"/>
          <w:szCs w:val="17"/>
          <w:color w:val="auto"/>
          <w:vertAlign w:val="superscript"/>
        </w:rPr>
        <w:t>TM</w:t>
      </w:r>
      <w:r>
        <w:rPr>
          <w:rFonts w:ascii="Arial" w:cs="Arial" w:eastAsia="Arial" w:hAnsi="Arial"/>
          <w:sz w:val="13"/>
          <w:szCs w:val="13"/>
          <w:color w:val="auto"/>
        </w:rPr>
        <w:t>, higher legal expenses in connection with patent-related litigation with Genentech, and an increase in Non-cash Compensation Expense for the reasons described above.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Sold</w:t>
      </w:r>
    </w:p>
    <w:p>
      <w:pPr>
        <w:spacing w:after="0" w:line="232"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Cost of goods sold in both the second quarter of 2011 and 2010 was $0.4 million and consisted primarily of royalties and other period costs related to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commercial supplies.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i w:val="1"/>
          <w:iCs w:val="1"/>
          <w:color w:val="auto"/>
        </w:rPr>
        <w:t>Other Income and Expense</w:t>
      </w:r>
    </w:p>
    <w:p>
      <w:pPr>
        <w:spacing w:after="0" w:line="234" w:lineRule="exact"/>
        <w:rPr>
          <w:sz w:val="20"/>
          <w:szCs w:val="20"/>
          <w:color w:val="auto"/>
        </w:rPr>
      </w:pPr>
    </w:p>
    <w:p>
      <w:pPr>
        <w:jc w:val="both"/>
        <w:ind w:right="20" w:firstLine="219"/>
        <w:spacing w:after="0" w:line="291" w:lineRule="auto"/>
        <w:rPr>
          <w:sz w:val="20"/>
          <w:szCs w:val="20"/>
          <w:color w:val="auto"/>
        </w:rPr>
      </w:pPr>
      <w:r>
        <w:rPr>
          <w:rFonts w:ascii="Arial" w:cs="Arial" w:eastAsia="Arial" w:hAnsi="Arial"/>
          <w:sz w:val="14"/>
          <w:szCs w:val="14"/>
          <w:color w:val="auto"/>
        </w:rPr>
        <w:t>Investment income increased to $1.0 million in the second quarter of 2011 from $0.6 million in the same period of 2010, due primarily to higher yields on, and higher average balances of, cash and marketable securities.</w:t>
      </w:r>
    </w:p>
    <w:p>
      <w:pPr>
        <w:spacing w:after="0" w:line="180" w:lineRule="exact"/>
        <w:rPr>
          <w:sz w:val="20"/>
          <w:szCs w:val="20"/>
          <w:color w:val="auto"/>
        </w:rPr>
      </w:pPr>
    </w:p>
    <w:p>
      <w:pPr>
        <w:jc w:val="both"/>
        <w:ind w:right="20" w:firstLine="252"/>
        <w:spacing w:after="0" w:line="276" w:lineRule="auto"/>
        <w:rPr>
          <w:sz w:val="20"/>
          <w:szCs w:val="20"/>
          <w:color w:val="auto"/>
        </w:rPr>
      </w:pPr>
      <w:r>
        <w:rPr>
          <w:rFonts w:ascii="Arial" w:cs="Arial" w:eastAsia="Arial" w:hAnsi="Arial"/>
          <w:sz w:val="14"/>
          <w:szCs w:val="14"/>
          <w:color w:val="auto"/>
        </w:rPr>
        <w:t>Interest expense increased to $4.0 million in the second quarter of 2011 from $2.3 million in the same period of 2010. Interest expense is primarily attributable to the imputed interest portion of payments to our landlord, commencing in the third quarter of 2009, to lease newly constructed laboratory and office facilities in Tarrytown, New York. In February 2011, we began occupying an additional new building in Tarrytown and, therefore, began recognizing interest expense on the related payments to our landlord.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Six Months Ended June 30, 2011 and 2010</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234" w:lineRule="exact"/>
        <w:rPr>
          <w:sz w:val="20"/>
          <w:szCs w:val="20"/>
          <w:color w:val="auto"/>
        </w:rPr>
      </w:pPr>
    </w:p>
    <w:p>
      <w:pPr>
        <w:jc w:val="both"/>
        <w:ind w:right="20" w:firstLine="230"/>
        <w:spacing w:after="0" w:line="332" w:lineRule="auto"/>
        <w:rPr>
          <w:sz w:val="20"/>
          <w:szCs w:val="20"/>
          <w:color w:val="auto"/>
        </w:rPr>
      </w:pPr>
      <w:r>
        <w:rPr>
          <w:rFonts w:ascii="Arial" w:cs="Arial" w:eastAsia="Arial" w:hAnsi="Arial"/>
          <w:sz w:val="13"/>
          <w:szCs w:val="13"/>
          <w:color w:val="auto"/>
        </w:rPr>
        <w:t>Regeneron reported a net loss of $106.0 million, or $1.18 per share (basic and diluted), for the first half of 2011, compared to a net loss of $56.0 million, or $0.69 per share (basic and diluted) for the first half of 2010. The increase in our net loss in 2011 was principally due to higher research and development expenses and higher selling, general, and administrative expenses.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60" w:type="dxa"/>
            <w:vAlign w:val="bottom"/>
          </w:tcPr>
          <w:p>
            <w:pPr>
              <w:spacing w:after="0"/>
              <w:rPr>
                <w:sz w:val="20"/>
                <w:szCs w:val="20"/>
                <w:color w:val="auto"/>
              </w:rPr>
            </w:pPr>
            <w:r>
              <w:rPr>
                <w:rFonts w:ascii="Arial" w:cs="Arial" w:eastAsia="Arial" w:hAnsi="Arial"/>
                <w:sz w:val="14"/>
                <w:szCs w:val="14"/>
                <w:b w:val="1"/>
                <w:bCs w:val="1"/>
                <w:i w:val="1"/>
                <w:iCs w:val="1"/>
                <w:color w:val="auto"/>
              </w:rPr>
              <w:t>Revenues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95"/>
        </w:trPr>
        <w:tc>
          <w:tcPr>
            <w:tcW w:w="10060" w:type="dxa"/>
            <w:vAlign w:val="bottom"/>
          </w:tcPr>
          <w:p>
            <w:pPr>
              <w:ind w:left="220"/>
              <w:spacing w:after="0"/>
              <w:rPr>
                <w:sz w:val="20"/>
                <w:szCs w:val="20"/>
                <w:color w:val="auto"/>
              </w:rPr>
            </w:pPr>
            <w:r>
              <w:rPr>
                <w:rFonts w:ascii="Arial" w:cs="Arial" w:eastAsia="Arial" w:hAnsi="Arial"/>
                <w:sz w:val="14"/>
                <w:szCs w:val="14"/>
                <w:color w:val="auto"/>
              </w:rPr>
              <w:t>Revenues for the six months ended June 30, 2011 and 2010 consist of the following:</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0"/>
        </w:trPr>
        <w:tc>
          <w:tcPr>
            <w:tcW w:w="10060" w:type="dxa"/>
            <w:vAlign w:val="bottom"/>
            <w:tcBorders>
              <w:bottom w:val="single" w:sz="8" w:color="C0C0C0"/>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2010</w:t>
            </w:r>
          </w:p>
        </w:tc>
      </w:tr>
      <w:tr>
        <w:trPr>
          <w:trHeight w:val="195"/>
        </w:trPr>
        <w:tc>
          <w:tcPr>
            <w:tcW w:w="10060" w:type="dxa"/>
            <w:vAlign w:val="bottom"/>
            <w:shd w:val="clear" w:color="auto" w:fill="C0C0C0"/>
          </w:tcPr>
          <w:p>
            <w:pPr>
              <w:spacing w:after="0"/>
              <w:rPr>
                <w:sz w:val="20"/>
                <w:szCs w:val="20"/>
                <w:color w:val="auto"/>
              </w:rPr>
            </w:pPr>
            <w:r>
              <w:rPr>
                <w:rFonts w:ascii="Arial" w:cs="Arial" w:eastAsia="Arial" w:hAnsi="Arial"/>
                <w:sz w:val="14"/>
                <w:szCs w:val="14"/>
                <w:color w:val="auto"/>
              </w:rPr>
              <w:t>Collaboration revenue</w:t>
            </w:r>
          </w:p>
        </w:tc>
        <w:tc>
          <w:tcPr>
            <w:tcW w:w="12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r>
      <w:tr>
        <w:trPr>
          <w:trHeight w:val="191"/>
        </w:trPr>
        <w:tc>
          <w:tcPr>
            <w:tcW w:w="10060" w:type="dxa"/>
            <w:vAlign w:val="bottom"/>
          </w:tcPr>
          <w:p>
            <w:pPr>
              <w:ind w:left="260"/>
              <w:spacing w:after="0"/>
              <w:rPr>
                <w:sz w:val="20"/>
                <w:szCs w:val="20"/>
                <w:color w:val="auto"/>
              </w:rPr>
            </w:pPr>
            <w:r>
              <w:rPr>
                <w:rFonts w:ascii="Arial" w:cs="Arial" w:eastAsia="Arial" w:hAnsi="Arial"/>
                <w:sz w:val="14"/>
                <w:szCs w:val="14"/>
                <w:color w:val="auto"/>
              </w:rPr>
              <w:t>Sanofi</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169.8</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153.6</w:t>
            </w:r>
          </w:p>
        </w:tc>
      </w:tr>
      <w:tr>
        <w:trPr>
          <w:trHeight w:val="204"/>
        </w:trPr>
        <w:tc>
          <w:tcPr>
            <w:tcW w:w="10060" w:type="dxa"/>
            <w:vAlign w:val="bottom"/>
            <w:shd w:val="clear" w:color="auto" w:fill="C0C0C0"/>
          </w:tcPr>
          <w:p>
            <w:pPr>
              <w:ind w:left="260"/>
              <w:spacing w:after="0"/>
              <w:rPr>
                <w:sz w:val="20"/>
                <w:szCs w:val="20"/>
                <w:color w:val="auto"/>
              </w:rPr>
            </w:pPr>
            <w:r>
              <w:rPr>
                <w:rFonts w:ascii="Arial" w:cs="Arial" w:eastAsia="Arial" w:hAnsi="Arial"/>
                <w:sz w:val="14"/>
                <w:szCs w:val="14"/>
                <w:color w:val="auto"/>
              </w:rPr>
              <w:t>Bayer HealthCare</w:t>
            </w:r>
          </w:p>
        </w:tc>
        <w:tc>
          <w:tcPr>
            <w:tcW w:w="120" w:type="dxa"/>
            <w:vAlign w:val="bottom"/>
            <w:tcBorders>
              <w:bottom w:val="single" w:sz="8" w:color="auto"/>
            </w:tcBorders>
            <w:shd w:val="clear" w:color="auto" w:fill="C0C0C0"/>
          </w:tcPr>
          <w:p>
            <w:pPr>
              <w:spacing w:after="0"/>
              <w:rPr>
                <w:sz w:val="17"/>
                <w:szCs w:val="17"/>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23.6</w:t>
            </w:r>
          </w:p>
        </w:tc>
        <w:tc>
          <w:tcPr>
            <w:tcW w:w="16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26.7</w:t>
            </w:r>
          </w:p>
        </w:tc>
      </w:tr>
      <w:tr>
        <w:trPr>
          <w:trHeight w:val="182"/>
        </w:trPr>
        <w:tc>
          <w:tcPr>
            <w:tcW w:w="10060" w:type="dxa"/>
            <w:vAlign w:val="bottom"/>
          </w:tcPr>
          <w:p>
            <w:pPr>
              <w:ind w:left="500"/>
              <w:spacing w:after="0"/>
              <w:rPr>
                <w:sz w:val="20"/>
                <w:szCs w:val="20"/>
                <w:color w:val="auto"/>
              </w:rPr>
            </w:pPr>
            <w:r>
              <w:rPr>
                <w:rFonts w:ascii="Arial" w:cs="Arial" w:eastAsia="Arial" w:hAnsi="Arial"/>
                <w:sz w:val="14"/>
                <w:szCs w:val="14"/>
                <w:color w:val="auto"/>
              </w:rPr>
              <w:t>Total collaboration revenue</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193.4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180.3</w:t>
            </w:r>
          </w:p>
        </w:tc>
      </w:tr>
      <w:tr>
        <w:trPr>
          <w:trHeight w:val="204"/>
        </w:trPr>
        <w:tc>
          <w:tcPr>
            <w:tcW w:w="10060" w:type="dxa"/>
            <w:vAlign w:val="bottom"/>
            <w:shd w:val="clear" w:color="auto" w:fill="C0C0C0"/>
          </w:tcPr>
          <w:p>
            <w:pPr>
              <w:spacing w:after="0"/>
              <w:rPr>
                <w:sz w:val="20"/>
                <w:szCs w:val="20"/>
                <w:color w:val="auto"/>
              </w:rPr>
            </w:pPr>
            <w:r>
              <w:rPr>
                <w:rFonts w:ascii="Arial" w:cs="Arial" w:eastAsia="Arial" w:hAnsi="Arial"/>
                <w:sz w:val="14"/>
                <w:szCs w:val="14"/>
                <w:color w:val="auto"/>
              </w:rPr>
              <w:t>Technology licensing revenue</w:t>
            </w: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13.0</w:t>
            </w: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20.1</w:t>
            </w:r>
          </w:p>
        </w:tc>
      </w:tr>
      <w:tr>
        <w:trPr>
          <w:trHeight w:val="191"/>
        </w:trPr>
        <w:tc>
          <w:tcPr>
            <w:tcW w:w="10060" w:type="dxa"/>
            <w:vAlign w:val="bottom"/>
          </w:tcPr>
          <w:p>
            <w:pPr>
              <w:spacing w:after="0"/>
              <w:rPr>
                <w:sz w:val="20"/>
                <w:szCs w:val="20"/>
                <w:color w:val="auto"/>
              </w:rPr>
            </w:pPr>
            <w:r>
              <w:rPr>
                <w:rFonts w:ascii="Arial" w:cs="Arial" w:eastAsia="Arial" w:hAnsi="Arial"/>
                <w:sz w:val="14"/>
                <w:szCs w:val="14"/>
                <w:color w:val="auto"/>
              </w:rPr>
              <w:t>Net product sales</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97"/>
        </w:trPr>
        <w:tc>
          <w:tcPr>
            <w:tcW w:w="10060" w:type="dxa"/>
            <w:vAlign w:val="bottom"/>
            <w:shd w:val="clear" w:color="auto" w:fill="C0C0C0"/>
          </w:tcPr>
          <w:p>
            <w:pPr>
              <w:spacing w:after="0"/>
              <w:rPr>
                <w:sz w:val="20"/>
                <w:szCs w:val="20"/>
                <w:color w:val="auto"/>
              </w:rPr>
            </w:pPr>
            <w:r>
              <w:rPr>
                <w:rFonts w:ascii="Arial" w:cs="Arial" w:eastAsia="Arial" w:hAnsi="Arial"/>
                <w:sz w:val="14"/>
                <w:szCs w:val="14"/>
                <w:color w:val="auto"/>
              </w:rPr>
              <w:t>Contract research and other revenue</w:t>
            </w:r>
          </w:p>
        </w:tc>
        <w:tc>
          <w:tcPr>
            <w:tcW w:w="120" w:type="dxa"/>
            <w:vAlign w:val="bottom"/>
            <w:tcBorders>
              <w:bottom w:val="single" w:sz="8" w:color="auto"/>
            </w:tcBorders>
            <w:shd w:val="clear" w:color="auto" w:fill="C0C0C0"/>
          </w:tcPr>
          <w:p>
            <w:pPr>
              <w:spacing w:after="0"/>
              <w:rPr>
                <w:sz w:val="17"/>
                <w:szCs w:val="17"/>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4.0</w:t>
            </w:r>
          </w:p>
        </w:tc>
      </w:tr>
      <w:tr>
        <w:trPr>
          <w:trHeight w:val="197"/>
        </w:trPr>
        <w:tc>
          <w:tcPr>
            <w:tcW w:w="1006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Sanofi Collaboration Revenue</w:t>
      </w:r>
    </w:p>
    <w:p>
      <w:pPr>
        <w:spacing w:after="0" w:line="234" w:lineRule="exact"/>
        <w:rPr>
          <w:sz w:val="20"/>
          <w:szCs w:val="20"/>
          <w:color w:val="auto"/>
        </w:rPr>
      </w:pPr>
    </w:p>
    <w:p>
      <w:pPr>
        <w:jc w:val="both"/>
        <w:ind w:right="20" w:firstLine="285"/>
        <w:spacing w:after="0" w:line="300" w:lineRule="auto"/>
        <w:rPr>
          <w:sz w:val="20"/>
          <w:szCs w:val="20"/>
          <w:color w:val="auto"/>
        </w:rPr>
      </w:pPr>
      <w:r>
        <w:rPr>
          <w:rFonts w:ascii="Arial" w:cs="Arial" w:eastAsia="Arial" w:hAnsi="Arial"/>
          <w:sz w:val="14"/>
          <w:szCs w:val="14"/>
          <w:color w:val="auto"/>
        </w:rPr>
        <w:t>The collaboration revenue we earned from Sanofi, as detailed below, consisted primarily of reimbursement for research and development expenses and recognition of revenue related to non-refundable up-front payments of $105.0 million related to the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collaboration and $85.0 million related to the antibody collaboration.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4"/>
          </w:tcPr>
          <w:p>
            <w:pPr>
              <w:jc w:val="right"/>
              <w:ind w:right="189"/>
              <w:spacing w:after="0"/>
              <w:rPr>
                <w:sz w:val="20"/>
                <w:szCs w:val="20"/>
                <w:color w:val="auto"/>
              </w:rPr>
            </w:pPr>
            <w:r>
              <w:rPr>
                <w:rFonts w:ascii="Arial" w:cs="Arial" w:eastAsia="Arial" w:hAnsi="Arial"/>
                <w:sz w:val="14"/>
                <w:szCs w:val="14"/>
                <w:b w:val="1"/>
                <w:bCs w:val="1"/>
                <w:color w:val="auto"/>
                <w:w w:val="94"/>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Sanofi Collaboration Revenue</w:t>
            </w:r>
          </w:p>
        </w:tc>
        <w:tc>
          <w:tcPr>
            <w:tcW w:w="2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740" w:type="dxa"/>
            <w:vAlign w:val="bottom"/>
            <w:tcBorders>
              <w:bottom w:val="single" w:sz="8" w:color="C0C0C0"/>
            </w:tcBorders>
            <w:gridSpan w:val="2"/>
            <w:vMerge w:val="continue"/>
          </w:tcPr>
          <w:p>
            <w:pPr>
              <w:spacing w:after="0"/>
              <w:rPr>
                <w:sz w:val="15"/>
                <w:szCs w:val="15"/>
                <w:color w:val="auto"/>
              </w:rPr>
            </w:pPr>
          </w:p>
        </w:tc>
        <w:tc>
          <w:tcPr>
            <w:tcW w:w="5140" w:type="dxa"/>
            <w:vAlign w:val="bottom"/>
            <w:tcBorders>
              <w:bottom w:val="single" w:sz="8" w:color="C0C0C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0C0C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4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9"/>
                <w:szCs w:val="9"/>
                <w:color w:val="auto"/>
              </w:rPr>
              <w:t>TM</w:t>
            </w:r>
            <w:r>
              <w:rPr>
                <w:rFonts w:ascii="Arial" w:cs="Arial" w:eastAsia="Arial" w:hAnsi="Arial"/>
                <w:sz w:val="14"/>
                <w:szCs w:val="14"/>
                <w:color w:val="auto"/>
              </w:rPr>
              <w:t>:</w:t>
            </w:r>
          </w:p>
        </w:tc>
        <w:tc>
          <w:tcPr>
            <w:tcW w:w="5140" w:type="dxa"/>
            <w:vAlign w:val="bottom"/>
            <w:tcBorders>
              <w:bottom w:val="single" w:sz="8" w:color="C0C0C0"/>
            </w:tcBorders>
            <w:shd w:val="clear" w:color="auto" w:fill="C0C0C0"/>
          </w:tcPr>
          <w:p>
            <w:pPr>
              <w:spacing w:after="0"/>
              <w:rPr>
                <w:sz w:val="15"/>
                <w:szCs w:val="15"/>
                <w:color w:val="auto"/>
              </w:rPr>
            </w:pPr>
          </w:p>
        </w:tc>
        <w:tc>
          <w:tcPr>
            <w:tcW w:w="160" w:type="dxa"/>
            <w:vAlign w:val="bottom"/>
            <w:tcBorders>
              <w:bottom w:val="single" w:sz="8" w:color="C0C0C0"/>
            </w:tcBorders>
            <w:shd w:val="clear" w:color="auto" w:fill="C0C0C0"/>
          </w:tcPr>
          <w:p>
            <w:pPr>
              <w:spacing w:after="0"/>
              <w:rPr>
                <w:sz w:val="15"/>
                <w:szCs w:val="15"/>
                <w:color w:val="auto"/>
              </w:rPr>
            </w:pPr>
          </w:p>
        </w:tc>
        <w:tc>
          <w:tcPr>
            <w:tcW w:w="600" w:type="dxa"/>
            <w:vAlign w:val="bottom"/>
            <w:tcBorders>
              <w:bottom w:val="single" w:sz="8" w:color="C0C0C0"/>
            </w:tcBorders>
            <w:shd w:val="clear" w:color="auto" w:fill="C0C0C0"/>
          </w:tcPr>
          <w:p>
            <w:pPr>
              <w:spacing w:after="0"/>
              <w:rPr>
                <w:sz w:val="15"/>
                <w:szCs w:val="15"/>
                <w:color w:val="auto"/>
              </w:rPr>
            </w:pPr>
          </w:p>
        </w:tc>
        <w:tc>
          <w:tcPr>
            <w:tcW w:w="180" w:type="dxa"/>
            <w:vAlign w:val="bottom"/>
            <w:tcBorders>
              <w:bottom w:val="single" w:sz="8" w:color="C0C0C0"/>
            </w:tcBorders>
            <w:shd w:val="clear" w:color="auto" w:fill="C0C0C0"/>
          </w:tcPr>
          <w:p>
            <w:pPr>
              <w:spacing w:after="0"/>
              <w:rPr>
                <w:sz w:val="15"/>
                <w:szCs w:val="15"/>
                <w:color w:val="auto"/>
              </w:rPr>
            </w:pPr>
          </w:p>
        </w:tc>
        <w:tc>
          <w:tcPr>
            <w:tcW w:w="140" w:type="dxa"/>
            <w:vAlign w:val="bottom"/>
            <w:tcBorders>
              <w:bottom w:val="single" w:sz="8" w:color="C0C0C0"/>
            </w:tcBorders>
            <w:shd w:val="clear" w:color="auto" w:fill="C0C0C0"/>
          </w:tcPr>
          <w:p>
            <w:pPr>
              <w:spacing w:after="0"/>
              <w:rPr>
                <w:sz w:val="15"/>
                <w:szCs w:val="15"/>
                <w:color w:val="auto"/>
              </w:rPr>
            </w:pPr>
          </w:p>
        </w:tc>
        <w:tc>
          <w:tcPr>
            <w:tcW w:w="500" w:type="dxa"/>
            <w:vAlign w:val="bottom"/>
            <w:tcBorders>
              <w:bottom w:val="single" w:sz="8" w:color="C0C0C0"/>
            </w:tcBorders>
            <w:shd w:val="clear" w:color="auto" w:fill="C0C0C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Regeneron expense reimbursement</w:t>
            </w:r>
          </w:p>
        </w:tc>
        <w:tc>
          <w:tcPr>
            <w:tcW w:w="5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11.4</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share of ZALTRAP</w:t>
            </w:r>
            <w:r>
              <w:rPr>
                <w:rFonts w:ascii="Arial" w:cs="Arial" w:eastAsia="Arial" w:hAnsi="Arial"/>
                <w:sz w:val="9"/>
                <w:szCs w:val="9"/>
                <w:color w:val="auto"/>
              </w:rPr>
              <w:t>TM</w:t>
            </w:r>
            <w:r>
              <w:rPr>
                <w:rFonts w:ascii="Arial" w:cs="Arial" w:eastAsia="Arial" w:hAnsi="Arial"/>
                <w:sz w:val="14"/>
                <w:szCs w:val="14"/>
                <w:color w:val="auto"/>
              </w:rPr>
              <w:t xml:space="preserve"> commercialization expenses</w:t>
            </w:r>
          </w:p>
        </w:tc>
        <w:tc>
          <w:tcPr>
            <w:tcW w:w="51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4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Recognition of deferred revenue related to up-front payments</w:t>
            </w:r>
          </w:p>
        </w:tc>
        <w:tc>
          <w:tcPr>
            <w:tcW w:w="5140" w:type="dxa"/>
            <w:vAlign w:val="bottom"/>
            <w:tcBorders>
              <w:bottom w:val="single" w:sz="8" w:color="C0C0C0"/>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w:t>
            </w:r>
          </w:p>
        </w:tc>
        <w:tc>
          <w:tcPr>
            <w:tcW w:w="18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gridSpan w:val="2"/>
            <w:shd w:val="clear" w:color="auto" w:fill="C0C0C0"/>
          </w:tcPr>
          <w:p>
            <w:pPr>
              <w:ind w:left="500"/>
              <w:spacing w:after="0"/>
              <w:rPr>
                <w:sz w:val="20"/>
                <w:szCs w:val="20"/>
                <w:color w:val="auto"/>
              </w:rPr>
            </w:pPr>
            <w:r>
              <w:rPr>
                <w:rFonts w:ascii="Arial" w:cs="Arial" w:eastAsia="Arial" w:hAnsi="Arial"/>
                <w:sz w:val="14"/>
                <w:szCs w:val="14"/>
                <w:color w:val="auto"/>
              </w:rPr>
              <w:t>Total ZALTRAP</w:t>
            </w:r>
            <w:r>
              <w:rPr>
                <w:rFonts w:ascii="Arial" w:cs="Arial" w:eastAsia="Arial" w:hAnsi="Arial"/>
                <w:sz w:val="9"/>
                <w:szCs w:val="9"/>
                <w:color w:val="auto"/>
              </w:rPr>
              <w:t>TM</w:t>
            </w:r>
          </w:p>
        </w:tc>
        <w:tc>
          <w:tcPr>
            <w:tcW w:w="5140" w:type="dxa"/>
            <w:vAlign w:val="bottom"/>
            <w:shd w:val="clear" w:color="auto" w:fill="C0C0C0"/>
          </w:tcPr>
          <w:p>
            <w:pPr>
              <w:spacing w:after="0"/>
              <w:rPr>
                <w:sz w:val="16"/>
                <w:szCs w:val="16"/>
                <w:color w:val="auto"/>
              </w:rPr>
            </w:pPr>
          </w:p>
        </w:tc>
        <w:tc>
          <w:tcPr>
            <w:tcW w:w="160" w:type="dxa"/>
            <w:vAlign w:val="bottom"/>
            <w:tcBorders>
              <w:bottom w:val="single" w:sz="8" w:color="auto"/>
            </w:tcBorders>
            <w:shd w:val="clear" w:color="auto" w:fill="C0C0C0"/>
          </w:tcPr>
          <w:p>
            <w:pPr>
              <w:spacing w:after="0"/>
              <w:rPr>
                <w:sz w:val="16"/>
                <w:szCs w:val="16"/>
                <w:color w:val="auto"/>
              </w:rPr>
            </w:pPr>
          </w:p>
        </w:tc>
        <w:tc>
          <w:tcPr>
            <w:tcW w:w="600" w:type="dxa"/>
            <w:vAlign w:val="bottom"/>
            <w:tcBorders>
              <w:bottom w:val="single" w:sz="8" w:color="auto"/>
            </w:tcBorders>
            <w:shd w:val="clear" w:color="auto" w:fill="C0C0C0"/>
          </w:tcPr>
          <w:p>
            <w:pPr>
              <w:jc w:val="right"/>
              <w:ind w:right="49"/>
              <w:spacing w:after="0"/>
              <w:rPr>
                <w:sz w:val="20"/>
                <w:szCs w:val="20"/>
                <w:color w:val="auto"/>
              </w:rPr>
            </w:pPr>
            <w:r>
              <w:rPr>
                <w:rFonts w:ascii="Arial" w:cs="Arial" w:eastAsia="Arial" w:hAnsi="Arial"/>
                <w:sz w:val="14"/>
                <w:szCs w:val="14"/>
                <w:color w:val="auto"/>
              </w:rPr>
              <w:t>15.1</w:t>
            </w:r>
          </w:p>
        </w:tc>
        <w:tc>
          <w:tcPr>
            <w:tcW w:w="180" w:type="dxa"/>
            <w:vAlign w:val="bottom"/>
            <w:shd w:val="clear" w:color="auto" w:fill="C0C0C0"/>
          </w:tcPr>
          <w:p>
            <w:pPr>
              <w:spacing w:after="0"/>
              <w:rPr>
                <w:sz w:val="16"/>
                <w:szCs w:val="16"/>
                <w:color w:val="auto"/>
              </w:rPr>
            </w:pPr>
          </w:p>
        </w:tc>
        <w:tc>
          <w:tcPr>
            <w:tcW w:w="140" w:type="dxa"/>
            <w:vAlign w:val="bottom"/>
            <w:tcBorders>
              <w:bottom w:val="single" w:sz="8" w:color="auto"/>
            </w:tcBorders>
            <w:shd w:val="clear" w:color="auto" w:fill="C0C0C0"/>
          </w:tcPr>
          <w:p>
            <w:pPr>
              <w:spacing w:after="0"/>
              <w:rPr>
                <w:sz w:val="16"/>
                <w:szCs w:val="16"/>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40" w:type="dxa"/>
            <w:vAlign w:val="bottom"/>
            <w:gridSpan w:val="2"/>
          </w:tcPr>
          <w:p>
            <w:pPr>
              <w:spacing w:after="0"/>
              <w:rPr>
                <w:sz w:val="20"/>
                <w:szCs w:val="20"/>
                <w:color w:val="auto"/>
              </w:rPr>
            </w:pPr>
            <w:r>
              <w:rPr>
                <w:rFonts w:ascii="Arial" w:cs="Arial" w:eastAsia="Arial" w:hAnsi="Arial"/>
                <w:sz w:val="14"/>
                <w:szCs w:val="14"/>
                <w:color w:val="auto"/>
              </w:rPr>
              <w:t>Antibody:</w:t>
            </w:r>
          </w:p>
        </w:tc>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Regeneron expense reimbursement</w:t>
            </w:r>
          </w:p>
        </w:tc>
        <w:tc>
          <w:tcPr>
            <w:tcW w:w="5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149.8</w:t>
            </w:r>
          </w:p>
        </w:tc>
        <w:tc>
          <w:tcPr>
            <w:tcW w:w="1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Recognition of deferred revenue related to up-front and other</w:t>
            </w: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40" w:type="dxa"/>
            <w:vAlign w:val="bottom"/>
            <w:gridSpan w:val="2"/>
          </w:tcPr>
          <w:p>
            <w:pPr>
              <w:ind w:left="500"/>
              <w:spacing w:after="0"/>
              <w:rPr>
                <w:sz w:val="20"/>
                <w:szCs w:val="20"/>
                <w:color w:val="auto"/>
              </w:rPr>
            </w:pPr>
            <w:r>
              <w:rPr>
                <w:rFonts w:ascii="Arial" w:cs="Arial" w:eastAsia="Arial" w:hAnsi="Arial"/>
                <w:sz w:val="14"/>
                <w:szCs w:val="14"/>
                <w:color w:val="auto"/>
              </w:rPr>
              <w:t>payments</w:t>
            </w: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 xml:space="preserve">Recognition of revenue related to </w:t>
            </w:r>
            <w:r>
              <w:rPr>
                <w:rFonts w:ascii="Arial" w:cs="Arial" w:eastAsia="Arial" w:hAnsi="Arial"/>
                <w:sz w:val="14"/>
                <w:szCs w:val="14"/>
                <w:i w:val="1"/>
                <w:iCs w:val="1"/>
                <w:color w:val="auto"/>
              </w:rPr>
              <w:t>VelociGene</w:t>
            </w:r>
            <w:r>
              <w:rPr>
                <w:rFonts w:ascii="Arial" w:cs="Arial" w:eastAsia="Arial" w:hAnsi="Arial"/>
                <w:sz w:val="9"/>
                <w:szCs w:val="9"/>
                <w:color w:val="auto"/>
              </w:rPr>
              <w:t>®</w:t>
            </w:r>
            <w:r>
              <w:rPr>
                <w:rFonts w:ascii="Arial" w:cs="Arial" w:eastAsia="Arial" w:hAnsi="Arial"/>
                <w:sz w:val="14"/>
                <w:szCs w:val="14"/>
                <w:color w:val="auto"/>
              </w:rPr>
              <w:t xml:space="preserve"> agreement</w:t>
            </w:r>
          </w:p>
        </w:tc>
        <w:tc>
          <w:tcPr>
            <w:tcW w:w="5140" w:type="dxa"/>
            <w:vAlign w:val="bottom"/>
            <w:shd w:val="clear" w:color="auto" w:fill="C0C0C0"/>
          </w:tcPr>
          <w:p>
            <w:pPr>
              <w:spacing w:after="0"/>
              <w:rPr>
                <w:sz w:val="18"/>
                <w:szCs w:val="18"/>
                <w:color w:val="auto"/>
              </w:rPr>
            </w:pPr>
          </w:p>
        </w:tc>
        <w:tc>
          <w:tcPr>
            <w:tcW w:w="160" w:type="dxa"/>
            <w:vAlign w:val="bottom"/>
            <w:tcBorders>
              <w:bottom w:val="single" w:sz="8" w:color="auto"/>
            </w:tcBorders>
            <w:shd w:val="clear" w:color="auto" w:fill="C0C0C0"/>
          </w:tcPr>
          <w:p>
            <w:pPr>
              <w:spacing w:after="0"/>
              <w:rPr>
                <w:sz w:val="18"/>
                <w:szCs w:val="18"/>
                <w:color w:val="auto"/>
              </w:rPr>
            </w:pPr>
          </w:p>
        </w:tc>
        <w:tc>
          <w:tcPr>
            <w:tcW w:w="600" w:type="dxa"/>
            <w:vAlign w:val="bottom"/>
            <w:tcBorders>
              <w:bottom w:val="single" w:sz="8" w:color="auto"/>
            </w:tcBorders>
            <w:shd w:val="clear" w:color="auto" w:fill="C0C0C0"/>
          </w:tcPr>
          <w:p>
            <w:pPr>
              <w:jc w:val="right"/>
              <w:ind w:right="49"/>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0C0C0"/>
          </w:tcPr>
          <w:p>
            <w:pPr>
              <w:spacing w:after="0"/>
              <w:rPr>
                <w:sz w:val="18"/>
                <w:szCs w:val="18"/>
                <w:color w:val="auto"/>
              </w:rPr>
            </w:pPr>
          </w:p>
        </w:tc>
        <w:tc>
          <w:tcPr>
            <w:tcW w:w="140" w:type="dxa"/>
            <w:vAlign w:val="bottom"/>
            <w:tcBorders>
              <w:bottom w:val="single" w:sz="8" w:color="auto"/>
            </w:tcBorders>
            <w:shd w:val="clear" w:color="auto" w:fill="C0C0C0"/>
          </w:tcPr>
          <w:p>
            <w:pPr>
              <w:spacing w:after="0"/>
              <w:rPr>
                <w:sz w:val="18"/>
                <w:szCs w:val="18"/>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740" w:type="dxa"/>
            <w:vAlign w:val="bottom"/>
            <w:tcBorders>
              <w:bottom w:val="single" w:sz="8" w:color="C0C0C0"/>
            </w:tcBorders>
            <w:gridSpan w:val="2"/>
          </w:tcPr>
          <w:p>
            <w:pPr>
              <w:ind w:left="500"/>
              <w:spacing w:after="0"/>
              <w:rPr>
                <w:sz w:val="20"/>
                <w:szCs w:val="20"/>
                <w:color w:val="auto"/>
              </w:rPr>
            </w:pPr>
            <w:r>
              <w:rPr>
                <w:rFonts w:ascii="Arial" w:cs="Arial" w:eastAsia="Arial" w:hAnsi="Arial"/>
                <w:sz w:val="14"/>
                <w:szCs w:val="14"/>
                <w:color w:val="auto"/>
              </w:rPr>
              <w:t>Total antibody</w:t>
            </w:r>
          </w:p>
        </w:tc>
        <w:tc>
          <w:tcPr>
            <w:tcW w:w="5140" w:type="dxa"/>
            <w:vAlign w:val="bottom"/>
            <w:tcBorders>
              <w:bottom w:val="single" w:sz="8" w:color="C0C0C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154.7</w:t>
            </w:r>
          </w:p>
        </w:tc>
        <w:tc>
          <w:tcPr>
            <w:tcW w:w="180" w:type="dxa"/>
            <w:vAlign w:val="bottom"/>
            <w:tcBorders>
              <w:bottom w:val="single" w:sz="8" w:color="C0C0C0"/>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Total Sanofi collaboration revenue</w:t>
            </w:r>
          </w:p>
        </w:tc>
        <w:tc>
          <w:tcPr>
            <w:tcW w:w="5300" w:type="dxa"/>
            <w:vAlign w:val="bottom"/>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rPr>
              <w:t>169.8</w:t>
            </w:r>
          </w:p>
        </w:tc>
        <w:tc>
          <w:tcPr>
            <w:tcW w:w="320" w:type="dxa"/>
            <w:vAlign w:val="bottom"/>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1"/>
        </w:trPr>
        <w:tc>
          <w:tcPr>
            <w:tcW w:w="1840" w:type="dxa"/>
            <w:vAlign w:val="bottom"/>
            <w:tcBorders>
              <w:top w:val="single" w:sz="8" w:color="C0C0C0"/>
            </w:tcBorders>
          </w:tcPr>
          <w:p>
            <w:pPr>
              <w:spacing w:after="0"/>
              <w:rPr>
                <w:sz w:val="24"/>
                <w:szCs w:val="24"/>
                <w:color w:val="auto"/>
              </w:rPr>
            </w:pPr>
          </w:p>
        </w:tc>
        <w:tc>
          <w:tcPr>
            <w:tcW w:w="2900" w:type="dxa"/>
            <w:vAlign w:val="bottom"/>
            <w:tcBorders>
              <w:top w:val="single" w:sz="8" w:color="C0C0C0"/>
            </w:tcBorders>
          </w:tcPr>
          <w:p>
            <w:pPr>
              <w:spacing w:after="0"/>
              <w:rPr>
                <w:sz w:val="24"/>
                <w:szCs w:val="24"/>
                <w:color w:val="auto"/>
              </w:rPr>
            </w:pPr>
          </w:p>
        </w:tc>
        <w:tc>
          <w:tcPr>
            <w:tcW w:w="5140" w:type="dxa"/>
            <w:vAlign w:val="bottom"/>
            <w:tcBorders>
              <w:top w:val="single" w:sz="8" w:color="C0C0C0"/>
            </w:tcBorders>
          </w:tcPr>
          <w:p>
            <w:pPr>
              <w:jc w:val="right"/>
              <w:ind w:right="4009"/>
              <w:spacing w:after="0"/>
              <w:rPr>
                <w:sz w:val="20"/>
                <w:szCs w:val="20"/>
                <w:color w:val="auto"/>
              </w:rPr>
            </w:pPr>
            <w:r>
              <w:rPr>
                <w:rFonts w:ascii="Arial" w:cs="Arial" w:eastAsia="Arial" w:hAnsi="Arial"/>
                <w:sz w:val="14"/>
                <w:szCs w:val="14"/>
                <w:color w:val="auto"/>
              </w:rPr>
              <w:t>35</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84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7" w:right="199" w:bottom="1440" w:gutter="0" w:footer="0" w:header="0"/>
        </w:sectPr>
      </w:pPr>
    </w:p>
    <w:bookmarkStart w:id="35" w:name="page36"/>
    <w:bookmarkEnd w:id="35"/>
    <w:p>
      <w:pPr>
        <w:jc w:val="both"/>
        <w:ind w:firstLine="230"/>
        <w:spacing w:after="0" w:line="214" w:lineRule="auto"/>
        <w:rPr>
          <w:sz w:val="20"/>
          <w:szCs w:val="20"/>
          <w:color w:val="auto"/>
        </w:rPr>
      </w:pPr>
      <w:r>
        <w:rPr>
          <w:rFonts w:ascii="Arial" w:cs="Arial" w:eastAsia="Arial" w:hAnsi="Arial"/>
          <w:sz w:val="14"/>
          <w:szCs w:val="14"/>
          <w:color w:val="auto"/>
        </w:rPr>
        <w:t>Sanofi’s reimbursement of our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expenses increased in the first half of 2011 compared to the same period in 2010, primarily due to higher costs related to manufacturing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clinical supplies. Effective in the second quarter of 2011, we and Sanofi began equally sharing pre-launch commercialization expenses related to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accordance with the companies’ collaboration agreement. Our share of these expenses was $1.3 million in the first half of 2011, which reduced our Sanofi collaboration revenue.</w:t>
      </w:r>
    </w:p>
    <w:p>
      <w:pPr>
        <w:spacing w:after="0" w:line="215" w:lineRule="exact"/>
        <w:rPr>
          <w:sz w:val="20"/>
          <w:szCs w:val="20"/>
          <w:color w:val="auto"/>
        </w:rPr>
      </w:pPr>
    </w:p>
    <w:p>
      <w:pPr>
        <w:jc w:val="both"/>
        <w:ind w:firstLine="274"/>
        <w:spacing w:after="0" w:line="271" w:lineRule="auto"/>
        <w:rPr>
          <w:sz w:val="20"/>
          <w:szCs w:val="20"/>
          <w:color w:val="auto"/>
        </w:rPr>
      </w:pPr>
      <w:r>
        <w:rPr>
          <w:rFonts w:ascii="Arial" w:cs="Arial" w:eastAsia="Arial" w:hAnsi="Arial"/>
          <w:sz w:val="14"/>
          <w:szCs w:val="14"/>
          <w:color w:val="auto"/>
        </w:rPr>
        <w:t>In the first half of 2011, Sanofi’s reimbursement of our antibody expenses consisted of $82.8 million under the discovery agreement and $67.0 million of development costs under the license agreement, compared to $63.4 million and $72.4 million, respectively, in the first half of 2010. The higher reimbursement amount under the discovery agreement in the first half of 2011, compared to the same period in 2010, was primarily due to an increase in our antibody discovery activities. The lower reimbursement of development costs in the second quarter of 2011, compared to the same period in 2010, was primarily due to REGN475, which is currently on clinical hold.</w:t>
      </w:r>
    </w:p>
    <w:p>
      <w:pPr>
        <w:spacing w:after="0" w:line="194"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Recognition of deferred revenue related to Sanofi’s $85.0 million up-front payment and other payments increased in the first half of 2011 compared to the same period in 2010. In connection with the November 2009 amendment of the discovery agreement, Sanofi is funding up to $30 million of agreed-upon costs to expand our manufacturing capacity at our Rensselaer, New York facilities. Revenue related to such funding from Sanofi is deferred and recognized as collaboration revenue prospectively over the performance period applicable to recognition of the original $85.0 million up-front payment.</w:t>
      </w:r>
    </w:p>
    <w:p>
      <w:pPr>
        <w:spacing w:after="0" w:line="193" w:lineRule="exact"/>
        <w:rPr>
          <w:sz w:val="20"/>
          <w:szCs w:val="20"/>
          <w:color w:val="auto"/>
        </w:rPr>
      </w:pPr>
    </w:p>
    <w:p>
      <w:pPr>
        <w:jc w:val="both"/>
        <w:ind w:firstLine="307"/>
        <w:spacing w:after="0" w:line="226" w:lineRule="auto"/>
        <w:rPr>
          <w:sz w:val="20"/>
          <w:szCs w:val="20"/>
          <w:color w:val="auto"/>
        </w:rPr>
      </w:pPr>
      <w:r>
        <w:rPr>
          <w:rFonts w:ascii="Arial" w:cs="Arial" w:eastAsia="Arial" w:hAnsi="Arial"/>
          <w:sz w:val="14"/>
          <w:szCs w:val="14"/>
          <w:color w:val="auto"/>
        </w:rPr>
        <w:t xml:space="preserve">In August 2008, we entered into a separate </w:t>
      </w:r>
      <w:r>
        <w:rPr>
          <w:rFonts w:ascii="Arial" w:cs="Arial" w:eastAsia="Arial" w:hAnsi="Arial"/>
          <w:sz w:val="14"/>
          <w:szCs w:val="14"/>
          <w:i w:val="1"/>
          <w:iCs w:val="1"/>
          <w:color w:val="auto"/>
        </w:rPr>
        <w:t>VelociGene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agreement with Sanofi. For both six months ended June 30, 2011 and 2010, we recognized $0.8 million in revenue related to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Bayer HealthCare Collaboration Revenue</w:t>
      </w:r>
    </w:p>
    <w:p>
      <w:pPr>
        <w:spacing w:after="0" w:line="232" w:lineRule="exact"/>
        <w:rPr>
          <w:sz w:val="20"/>
          <w:szCs w:val="20"/>
          <w:color w:val="auto"/>
        </w:rPr>
      </w:pPr>
    </w:p>
    <w:p>
      <w:pPr>
        <w:jc w:val="both"/>
        <w:ind w:firstLine="274"/>
        <w:spacing w:after="0" w:line="237" w:lineRule="auto"/>
        <w:rPr>
          <w:sz w:val="20"/>
          <w:szCs w:val="20"/>
          <w:color w:val="auto"/>
        </w:rPr>
      </w:pPr>
      <w:r>
        <w:rPr>
          <w:rFonts w:ascii="Arial" w:cs="Arial" w:eastAsia="Arial" w:hAnsi="Arial"/>
          <w:sz w:val="14"/>
          <w:szCs w:val="14"/>
          <w:color w:val="auto"/>
        </w:rPr>
        <w:t>The collaboration revenue we earned from Bayer HealthCare, as detailed below, consisted of cost sharing of Regeneron’s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w w:val="91"/>
              </w:rPr>
              <w:t>Six months ended</w:t>
            </w:r>
          </w:p>
        </w:tc>
      </w:tr>
      <w:tr>
        <w:trPr>
          <w:trHeight w:val="204"/>
        </w:trPr>
        <w:tc>
          <w:tcPr>
            <w:tcW w:w="9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Bayer HealthCare Collaboration Revenue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r>
      <w:tr>
        <w:trPr>
          <w:trHeight w:val="189"/>
        </w:trPr>
        <w:tc>
          <w:tcPr>
            <w:tcW w:w="9860" w:type="dxa"/>
            <w:vAlign w:val="bottom"/>
            <w:tcBorders>
              <w:bottom w:val="single" w:sz="8" w:color="C0C0C0"/>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2010</w:t>
            </w:r>
          </w:p>
        </w:tc>
      </w:tr>
      <w:tr>
        <w:trPr>
          <w:trHeight w:val="195"/>
        </w:trPr>
        <w:tc>
          <w:tcPr>
            <w:tcW w:w="9860" w:type="dxa"/>
            <w:vAlign w:val="bottom"/>
            <w:shd w:val="clear" w:color="auto" w:fill="C0C0C0"/>
          </w:tcPr>
          <w:p>
            <w:pPr>
              <w:spacing w:after="0"/>
              <w:rPr>
                <w:sz w:val="20"/>
                <w:szCs w:val="20"/>
                <w:color w:val="auto"/>
              </w:rPr>
            </w:pPr>
            <w:r>
              <w:rPr>
                <w:rFonts w:ascii="Arial" w:cs="Arial" w:eastAsia="Arial" w:hAnsi="Arial"/>
                <w:sz w:val="14"/>
                <w:szCs w:val="14"/>
                <w:color w:val="auto"/>
              </w:rPr>
              <w:t>Cost-sharing of Regeneron EYLEA</w:t>
            </w:r>
            <w:r>
              <w:rPr>
                <w:rFonts w:ascii="Arial" w:cs="Arial" w:eastAsia="Arial" w:hAnsi="Arial"/>
                <w:sz w:val="9"/>
                <w:szCs w:val="9"/>
                <w:color w:val="auto"/>
              </w:rPr>
              <w:t>TM</w:t>
            </w:r>
            <w:r>
              <w:rPr>
                <w:rFonts w:ascii="Arial" w:cs="Arial" w:eastAsia="Arial" w:hAnsi="Arial"/>
                <w:sz w:val="14"/>
                <w:szCs w:val="14"/>
                <w:color w:val="auto"/>
              </w:rPr>
              <w:t xml:space="preserve"> development expenses</w:t>
            </w:r>
          </w:p>
        </w:tc>
        <w:tc>
          <w:tcPr>
            <w:tcW w:w="3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18.7</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21.8</w:t>
            </w:r>
          </w:p>
        </w:tc>
      </w:tr>
      <w:tr>
        <w:trPr>
          <w:trHeight w:val="191"/>
        </w:trPr>
        <w:tc>
          <w:tcPr>
            <w:tcW w:w="9860" w:type="dxa"/>
            <w:vAlign w:val="bottom"/>
            <w:tcBorders>
              <w:bottom w:val="single" w:sz="8" w:color="C0C0C0"/>
            </w:tcBorders>
          </w:tcPr>
          <w:p>
            <w:pPr>
              <w:spacing w:after="0"/>
              <w:rPr>
                <w:sz w:val="20"/>
                <w:szCs w:val="20"/>
                <w:color w:val="auto"/>
              </w:rPr>
            </w:pPr>
            <w:r>
              <w:rPr>
                <w:rFonts w:ascii="Arial" w:cs="Arial" w:eastAsia="Arial" w:hAnsi="Arial"/>
                <w:sz w:val="14"/>
                <w:szCs w:val="14"/>
                <w:color w:val="auto"/>
              </w:rPr>
              <w:t>Recognition of deferred revenue related to up-front and other milestone payments</w:t>
            </w:r>
          </w:p>
        </w:tc>
        <w:tc>
          <w:tcPr>
            <w:tcW w:w="220" w:type="dxa"/>
            <w:vAlign w:val="bottom"/>
            <w:tcBorders>
              <w:bottom w:val="single" w:sz="8" w:color="C0C0C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C0C0C0"/>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194"/>
        </w:trPr>
        <w:tc>
          <w:tcPr>
            <w:tcW w:w="9860" w:type="dxa"/>
            <w:vAlign w:val="bottom"/>
            <w:shd w:val="clear" w:color="auto" w:fill="C0C0C0"/>
          </w:tcPr>
          <w:p>
            <w:pPr>
              <w:ind w:left="260"/>
              <w:spacing w:after="0"/>
              <w:rPr>
                <w:sz w:val="20"/>
                <w:szCs w:val="20"/>
                <w:color w:val="auto"/>
              </w:rPr>
            </w:pPr>
            <w:r>
              <w:rPr>
                <w:rFonts w:ascii="Arial" w:cs="Arial" w:eastAsia="Arial" w:hAnsi="Arial"/>
                <w:sz w:val="14"/>
                <w:szCs w:val="14"/>
                <w:color w:val="auto"/>
              </w:rPr>
              <w:t>Total Bayer HealthCare collaboration revenue</w:t>
            </w:r>
          </w:p>
        </w:tc>
        <w:tc>
          <w:tcPr>
            <w:tcW w:w="320" w:type="dxa"/>
            <w:vAlign w:val="bottom"/>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23.6</w:t>
            </w:r>
          </w:p>
        </w:tc>
        <w:tc>
          <w:tcPr>
            <w:tcW w:w="360" w:type="dxa"/>
            <w:vAlign w:val="bottom"/>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26.7</w:t>
            </w:r>
          </w:p>
        </w:tc>
      </w:tr>
      <w:tr>
        <w:trPr>
          <w:trHeight w:val="23"/>
        </w:trPr>
        <w:tc>
          <w:tcPr>
            <w:tcW w:w="986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jc w:val="both"/>
        <w:ind w:firstLine="241"/>
        <w:spacing w:after="0" w:line="237" w:lineRule="auto"/>
        <w:rPr>
          <w:sz w:val="20"/>
          <w:szCs w:val="20"/>
          <w:color w:val="auto"/>
        </w:rPr>
      </w:pPr>
      <w:r>
        <w:rPr>
          <w:rFonts w:ascii="Arial" w:cs="Arial" w:eastAsia="Arial" w:hAnsi="Arial"/>
          <w:sz w:val="14"/>
          <w:szCs w:val="14"/>
          <w:color w:val="auto"/>
        </w:rPr>
        <w:t>Cost-sharing of our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with Bayer HealthCare decreased in the first half of 2011 compared to the same period in 2010. In the first half of 2011, we incurred lower clinical development costs in connection with our Phase 3 VIEW 1 trial in wet AMD and our Phase 2 DA VINCI trial in DME, partly offset by higher internal costs in connection with regulatory filings in wet AMD.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Licensing Revenue</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3"/>
          <w:szCs w:val="13"/>
          <w:color w:val="auto"/>
        </w:rPr>
        <w:t xml:space="preserve">In connection with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3"/>
          <w:szCs w:val="13"/>
          <w:i w:val="1"/>
          <w:iCs w:val="1"/>
          <w:color w:val="auto"/>
        </w:rPr>
        <w:t>VelocImmune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the first half of 2011 and 2010, we recognized $13.0 million and $20.0 million, respectively, of technology licensing revenue related to these agreements.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color w:val="auto"/>
        </w:rPr>
        <w:t>Net Product Sales</w:t>
      </w:r>
    </w:p>
    <w:p>
      <w:pPr>
        <w:spacing w:after="0" w:line="232" w:lineRule="exact"/>
        <w:rPr>
          <w:sz w:val="20"/>
          <w:szCs w:val="20"/>
          <w:color w:val="auto"/>
        </w:rPr>
      </w:pPr>
    </w:p>
    <w:p>
      <w:pPr>
        <w:jc w:val="both"/>
        <w:ind w:firstLine="274"/>
        <w:spacing w:after="0" w:line="205" w:lineRule="auto"/>
        <w:rPr>
          <w:sz w:val="20"/>
          <w:szCs w:val="20"/>
          <w:color w:val="auto"/>
        </w:rPr>
      </w:pPr>
      <w:r>
        <w:rPr>
          <w:rFonts w:ascii="Arial" w:cs="Arial" w:eastAsia="Arial" w:hAnsi="Arial"/>
          <w:sz w:val="14"/>
          <w:szCs w:val="14"/>
          <w:color w:val="auto"/>
        </w:rPr>
        <w:t>For the six months ended June 30, 2011 and 2010, we recognized as revenue $9.5 million and $15.0 million, respectively,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 had limited historical return experience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beginning with initial sales in 2008 through the end of 2009; therefore,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w:t>
      </w:r>
      <w:r>
        <w:rPr>
          <w:rFonts w:ascii="Arial" w:cs="Arial" w:eastAsia="Arial" w:hAnsi="Arial"/>
          <w:sz w:val="19"/>
          <w:szCs w:val="19"/>
          <w:color w:val="auto"/>
          <w:vertAlign w:val="superscript"/>
        </w:rPr>
        <w:t>®</w:t>
      </w:r>
      <w:r>
        <w:rPr>
          <w:rFonts w:ascii="Arial" w:cs="Arial" w:eastAsia="Arial" w:hAnsi="Arial"/>
          <w:sz w:val="14"/>
          <w:szCs w:val="14"/>
          <w:color w:val="auto"/>
        </w:rPr>
        <w:t>. As a result, for the six months ended June 30, 2010, we recognized as revenue $15.0 million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which included $10.2 million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made during the period and $4.8 million of previously deferred net product sales.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Other Revenue</w:t>
      </w:r>
    </w:p>
    <w:p>
      <w:pPr>
        <w:spacing w:after="0" w:line="234"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4"/>
          <w:szCs w:val="14"/>
          <w:color w:val="auto"/>
        </w:rPr>
        <w:t>Contract research and other revenue for the first half of 2011 and 2010 included $2.2 million and $2.3 million, respectively, recognized in connection with our five-year grant from the NIH, which we were awarded in September 2006 as part of the NIH’s Knockout Mouse Project.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34" w:lineRule="exact"/>
        <w:rPr>
          <w:sz w:val="20"/>
          <w:szCs w:val="20"/>
          <w:color w:val="auto"/>
        </w:rPr>
      </w:pPr>
    </w:p>
    <w:p>
      <w:pPr>
        <w:jc w:val="both"/>
        <w:ind w:firstLine="241"/>
        <w:spacing w:after="0" w:line="332" w:lineRule="auto"/>
        <w:rPr>
          <w:sz w:val="20"/>
          <w:szCs w:val="20"/>
          <w:color w:val="auto"/>
        </w:rPr>
      </w:pPr>
      <w:r>
        <w:rPr>
          <w:rFonts w:ascii="Arial" w:cs="Arial" w:eastAsia="Arial" w:hAnsi="Arial"/>
          <w:sz w:val="13"/>
          <w:szCs w:val="13"/>
          <w:color w:val="auto"/>
        </w:rPr>
        <w:t>Total operating expenses increased to $321.3 million in the first half of 2011 from $272.0 million for the same period of 2010. Our average headcount in the first half of 2011 increased to 1,464 from 1,151 in the same period of 2010 principally as a result of our expanding research and development activities, which were primarily attributable to our antibody collaboration with Sanofi.</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Operating expenses in the first half of 2011 and 2010 included a total of $27.2 million and $17.5 million, respectively, of Non-cash Compensation Expense, as detailed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right"/>
              <w:ind w:right="409"/>
              <w:spacing w:after="0"/>
              <w:rPr>
                <w:sz w:val="20"/>
                <w:szCs w:val="20"/>
                <w:color w:val="auto"/>
              </w:rPr>
            </w:pPr>
            <w:r>
              <w:rPr>
                <w:rFonts w:ascii="Arial" w:cs="Arial" w:eastAsia="Arial" w:hAnsi="Arial"/>
                <w:sz w:val="14"/>
                <w:szCs w:val="14"/>
                <w:b w:val="1"/>
                <w:bCs w:val="1"/>
                <w:color w:val="auto"/>
              </w:rPr>
              <w:t>For the six months ended June 30, 2011</w:t>
            </w:r>
          </w:p>
        </w:tc>
      </w:tr>
      <w:tr>
        <w:trPr>
          <w:trHeight w:val="182"/>
        </w:trPr>
        <w:tc>
          <w:tcPr>
            <w:tcW w:w="7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49"/>
              <w:spacing w:after="0"/>
              <w:rPr>
                <w:sz w:val="20"/>
                <w:szCs w:val="20"/>
                <w:color w:val="auto"/>
              </w:rPr>
            </w:pPr>
            <w:r>
              <w:rPr>
                <w:rFonts w:ascii="Arial" w:cs="Arial" w:eastAsia="Arial" w:hAnsi="Arial"/>
                <w:sz w:val="14"/>
                <w:szCs w:val="14"/>
                <w:b w:val="1"/>
                <w:bCs w:val="1"/>
                <w:color w:val="auto"/>
                <w:w w:val="87"/>
              </w:rPr>
              <w:t>Expenses before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7"/>
        </w:trPr>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7"/>
              </w:rPr>
              <w:t>inclusion of Non-cash</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Non-cash</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Compensation</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Expenses as</w:t>
            </w:r>
          </w:p>
        </w:tc>
      </w:tr>
      <w:tr>
        <w:trPr>
          <w:trHeight w:val="191"/>
        </w:trPr>
        <w:tc>
          <w:tcPr>
            <w:tcW w:w="81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1"/>
              </w:rPr>
              <w:t>Reported</w:t>
            </w:r>
          </w:p>
        </w:tc>
      </w:tr>
      <w:tr>
        <w:trPr>
          <w:trHeight w:val="195"/>
        </w:trPr>
        <w:tc>
          <w:tcPr>
            <w:tcW w:w="8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257.0</w:t>
            </w: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272.5</w:t>
            </w:r>
          </w:p>
        </w:tc>
      </w:tr>
      <w:tr>
        <w:trPr>
          <w:trHeight w:val="191"/>
        </w:trPr>
        <w:tc>
          <w:tcPr>
            <w:tcW w:w="810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197"/>
        </w:trPr>
        <w:tc>
          <w:tcPr>
            <w:tcW w:w="8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120" w:type="dxa"/>
            <w:vAlign w:val="bottom"/>
            <w:tcBorders>
              <w:bottom w:val="single" w:sz="8" w:color="auto"/>
            </w:tcBorders>
            <w:shd w:val="clear" w:color="auto" w:fill="C0C0C0"/>
          </w:tcPr>
          <w:p>
            <w:pPr>
              <w:spacing w:after="0"/>
              <w:rPr>
                <w:sz w:val="17"/>
                <w:szCs w:val="17"/>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0.8</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76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0.8</w:t>
            </w:r>
          </w:p>
        </w:tc>
      </w:tr>
      <w:tr>
        <w:trPr>
          <w:trHeight w:val="197"/>
        </w:trPr>
        <w:tc>
          <w:tcPr>
            <w:tcW w:w="810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321.3</w:t>
            </w:r>
          </w:p>
        </w:tc>
      </w:tr>
      <w:tr>
        <w:trPr>
          <w:trHeight w:val="388"/>
        </w:trPr>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ind w:right="409"/>
              <w:spacing w:after="0"/>
              <w:rPr>
                <w:sz w:val="20"/>
                <w:szCs w:val="20"/>
                <w:color w:val="auto"/>
              </w:rPr>
            </w:pPr>
            <w:r>
              <w:rPr>
                <w:rFonts w:ascii="Arial" w:cs="Arial" w:eastAsia="Arial" w:hAnsi="Arial"/>
                <w:sz w:val="14"/>
                <w:szCs w:val="14"/>
                <w:b w:val="1"/>
                <w:bCs w:val="1"/>
                <w:color w:val="auto"/>
              </w:rPr>
              <w:t>For the six months ended June 30, 2010</w:t>
            </w:r>
          </w:p>
        </w:tc>
      </w:tr>
      <w:tr>
        <w:trPr>
          <w:trHeight w:val="182"/>
        </w:trPr>
        <w:tc>
          <w:tcPr>
            <w:tcW w:w="7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49"/>
              <w:spacing w:after="0"/>
              <w:rPr>
                <w:sz w:val="20"/>
                <w:szCs w:val="20"/>
                <w:color w:val="auto"/>
              </w:rPr>
            </w:pPr>
            <w:r>
              <w:rPr>
                <w:rFonts w:ascii="Arial" w:cs="Arial" w:eastAsia="Arial" w:hAnsi="Arial"/>
                <w:sz w:val="14"/>
                <w:szCs w:val="14"/>
                <w:b w:val="1"/>
                <w:bCs w:val="1"/>
                <w:color w:val="auto"/>
                <w:w w:val="87"/>
              </w:rPr>
              <w:t>Expenses before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7"/>
        </w:trPr>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7"/>
              </w:rPr>
              <w:t>inclusion of Non-cash</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Non-cash</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Compensation</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Expenses as</w:t>
            </w:r>
          </w:p>
        </w:tc>
      </w:tr>
      <w:tr>
        <w:trPr>
          <w:trHeight w:val="191"/>
        </w:trPr>
        <w:tc>
          <w:tcPr>
            <w:tcW w:w="810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Borders>
              <w:bottom w:val="single" w:sz="8" w:color="C0C0C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Borders>
              <w:bottom w:val="single" w:sz="8" w:color="C0C0C0"/>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1"/>
              </w:rPr>
              <w:t>Reported</w:t>
            </w:r>
          </w:p>
        </w:tc>
      </w:tr>
      <w:tr>
        <w:trPr>
          <w:trHeight w:val="195"/>
        </w:trPr>
        <w:tc>
          <w:tcPr>
            <w:tcW w:w="8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0C0C0"/>
          </w:tcPr>
          <w:p>
            <w:pP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232.0</w:t>
            </w: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242.0</w:t>
            </w:r>
          </w:p>
        </w:tc>
      </w:tr>
      <w:tr>
        <w:trPr>
          <w:trHeight w:val="191"/>
        </w:trPr>
        <w:tc>
          <w:tcPr>
            <w:tcW w:w="8100" w:type="dxa"/>
            <w:vAlign w:val="bottom"/>
            <w:gridSpan w:val="2"/>
          </w:tcPr>
          <w:p>
            <w:pPr>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197"/>
        </w:trPr>
        <w:tc>
          <w:tcPr>
            <w:tcW w:w="81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Cost of goods sold</w:t>
            </w:r>
          </w:p>
        </w:tc>
        <w:tc>
          <w:tcPr>
            <w:tcW w:w="120" w:type="dxa"/>
            <w:vAlign w:val="bottom"/>
            <w:tcBorders>
              <w:bottom w:val="single" w:sz="8" w:color="auto"/>
            </w:tcBorders>
            <w:shd w:val="clear" w:color="auto" w:fill="C0C0C0"/>
          </w:tcPr>
          <w:p>
            <w:pPr>
              <w:spacing w:after="0"/>
              <w:rPr>
                <w:sz w:val="17"/>
                <w:szCs w:val="17"/>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0C0C0"/>
          </w:tcPr>
          <w:p>
            <w:pPr>
              <w:spacing w:after="0"/>
              <w:rPr>
                <w:sz w:val="17"/>
                <w:szCs w:val="17"/>
                <w:color w:val="auto"/>
              </w:rPr>
            </w:pPr>
          </w:p>
        </w:tc>
        <w:tc>
          <w:tcPr>
            <w:tcW w:w="120" w:type="dxa"/>
            <w:vAlign w:val="bottom"/>
            <w:tcBorders>
              <w:bottom w:val="single" w:sz="8" w:color="auto"/>
            </w:tcBorders>
            <w:shd w:val="clear" w:color="auto" w:fill="C0C0C0"/>
          </w:tcPr>
          <w:p>
            <w:pPr>
              <w:spacing w:after="0"/>
              <w:rPr>
                <w:sz w:val="17"/>
                <w:szCs w:val="17"/>
                <w:color w:val="auto"/>
              </w:rPr>
            </w:pPr>
          </w:p>
        </w:tc>
        <w:tc>
          <w:tcPr>
            <w:tcW w:w="760" w:type="dxa"/>
            <w:vAlign w:val="bottom"/>
            <w:tcBorders>
              <w:bottom w:val="single" w:sz="8" w:color="auto"/>
            </w:tcBorders>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rPr>
              <w:t>1.1</w:t>
            </w:r>
          </w:p>
        </w:tc>
      </w:tr>
      <w:tr>
        <w:trPr>
          <w:trHeight w:val="197"/>
        </w:trPr>
        <w:tc>
          <w:tcPr>
            <w:tcW w:w="8100" w:type="dxa"/>
            <w:vAlign w:val="bottom"/>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w:t>
            </w:r>
          </w:p>
        </w:tc>
      </w:tr>
    </w:tbl>
    <w:p>
      <w:pPr>
        <w:spacing w:after="0" w:line="212" w:lineRule="exact"/>
        <w:rPr>
          <w:sz w:val="20"/>
          <w:szCs w:val="20"/>
          <w:color w:val="auto"/>
        </w:rPr>
      </w:pPr>
    </w:p>
    <w:p>
      <w:pPr>
        <w:jc w:val="both"/>
        <w:ind w:firstLine="285"/>
        <w:spacing w:after="0" w:line="276" w:lineRule="auto"/>
        <w:rPr>
          <w:sz w:val="20"/>
          <w:szCs w:val="20"/>
          <w:color w:val="auto"/>
        </w:rPr>
      </w:pPr>
      <w:r>
        <w:rPr>
          <w:rFonts w:ascii="Arial" w:cs="Arial" w:eastAsia="Arial" w:hAnsi="Arial"/>
          <w:sz w:val="14"/>
          <w:szCs w:val="14"/>
          <w:color w:val="auto"/>
        </w:rPr>
        <w:t>The increase in total Non-cash Compensation Expense in the first half of 2011 was primarily attributable to (i) the recognition of higher expense in the first half of 2011 in connection with previously granted performance-based stock options that we estimate will vest, (ii) the higher fair market value of our Common Stock on the date of our annual employee option grants made in December 2010 compared to recent prior years, and (iii) the recognition of higher expense related to grants of restricted stock in December 2010.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34" w:lineRule="exact"/>
        <w:rPr>
          <w:sz w:val="20"/>
          <w:szCs w:val="20"/>
          <w:color w:val="auto"/>
        </w:rPr>
      </w:pPr>
    </w:p>
    <w:p>
      <w:pPr>
        <w:ind w:right="20" w:firstLine="230"/>
        <w:spacing w:after="0" w:line="291" w:lineRule="auto"/>
        <w:rPr>
          <w:sz w:val="20"/>
          <w:szCs w:val="20"/>
          <w:color w:val="auto"/>
        </w:rPr>
      </w:pPr>
      <w:r>
        <w:rPr>
          <w:rFonts w:ascii="Arial" w:cs="Arial" w:eastAsia="Arial" w:hAnsi="Arial"/>
          <w:sz w:val="14"/>
          <w:szCs w:val="14"/>
          <w:color w:val="auto"/>
        </w:rPr>
        <w:t>Research and development expenses increased to $272.5 million in the first half of 2011 from $242.0 million for the same period of 2010. The following table summarizes the major categories of our research and development expenses for the six months ended June 30, 2011 and 2010: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0"/>
              </w:rPr>
              <w:t>For the six months ended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8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Increase</w:t>
            </w:r>
          </w:p>
        </w:tc>
      </w:tr>
      <w:tr>
        <w:trPr>
          <w:trHeight w:val="191"/>
        </w:trPr>
        <w:tc>
          <w:tcPr>
            <w:tcW w:w="8740" w:type="dxa"/>
            <w:vAlign w:val="bottom"/>
            <w:tcBorders>
              <w:bottom w:val="single" w:sz="8" w:color="C0C0C0"/>
            </w:tcBorders>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0C0C0"/>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0C0C0"/>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(Decrease)</w:t>
            </w:r>
          </w:p>
        </w:tc>
      </w:tr>
      <w:tr>
        <w:trPr>
          <w:trHeight w:val="195"/>
        </w:trPr>
        <w:tc>
          <w:tcPr>
            <w:tcW w:w="87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Payroll and benefits (1)</w:t>
            </w: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84.1</w:t>
            </w:r>
          </w:p>
        </w:tc>
        <w:tc>
          <w:tcPr>
            <w:tcW w:w="420" w:type="dxa"/>
            <w:vAlign w:val="bottom"/>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59.6</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24.5</w:t>
            </w:r>
          </w:p>
        </w:tc>
      </w:tr>
      <w:tr>
        <w:trPr>
          <w:trHeight w:val="191"/>
        </w:trPr>
        <w:tc>
          <w:tcPr>
            <w:tcW w:w="8740" w:type="dxa"/>
            <w:vAlign w:val="bottom"/>
            <w:gridSpan w:val="2"/>
          </w:tcPr>
          <w:p>
            <w:pPr>
              <w:spacing w:after="0"/>
              <w:rPr>
                <w:sz w:val="20"/>
                <w:szCs w:val="20"/>
                <w:color w:val="auto"/>
              </w:rPr>
            </w:pPr>
            <w:r>
              <w:rPr>
                <w:rFonts w:ascii="Arial" w:cs="Arial" w:eastAsia="Arial" w:hAnsi="Arial"/>
                <w:sz w:val="14"/>
                <w:szCs w:val="14"/>
                <w:color w:val="auto"/>
              </w:rPr>
              <w:t>Clinical trial expenses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04"/>
        </w:trPr>
        <w:tc>
          <w:tcPr>
            <w:tcW w:w="87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Clinical manufacturing costs (2)</w:t>
            </w:r>
          </w:p>
        </w:tc>
        <w:tc>
          <w:tcPr>
            <w:tcW w:w="8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52.2</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47.5</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4.7</w:t>
            </w:r>
          </w:p>
        </w:tc>
      </w:tr>
      <w:tr>
        <w:trPr>
          <w:trHeight w:val="191"/>
        </w:trPr>
        <w:tc>
          <w:tcPr>
            <w:tcW w:w="8740" w:type="dxa"/>
            <w:vAlign w:val="bottom"/>
            <w:gridSpan w:val="2"/>
          </w:tcPr>
          <w:p>
            <w:pPr>
              <w:spacing w:after="0"/>
              <w:rPr>
                <w:sz w:val="20"/>
                <w:szCs w:val="20"/>
                <w:color w:val="auto"/>
              </w:rPr>
            </w:pPr>
            <w:r>
              <w:rPr>
                <w:rFonts w:ascii="Arial" w:cs="Arial" w:eastAsia="Arial" w:hAnsi="Arial"/>
                <w:sz w:val="14"/>
                <w:szCs w:val="14"/>
                <w:color w:val="auto"/>
              </w:rPr>
              <w:t>Research and other development costs</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4"/>
        </w:trPr>
        <w:tc>
          <w:tcPr>
            <w:tcW w:w="874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Occupancy and other operating costs</w:t>
            </w:r>
          </w:p>
        </w:tc>
        <w:tc>
          <w:tcPr>
            <w:tcW w:w="8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29.0</w:t>
            </w:r>
          </w:p>
        </w:tc>
        <w:tc>
          <w:tcPr>
            <w:tcW w:w="2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24.7</w:t>
            </w: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4.3</w:t>
            </w:r>
          </w:p>
        </w:tc>
      </w:tr>
      <w:tr>
        <w:trPr>
          <w:trHeight w:val="185"/>
        </w:trPr>
        <w:tc>
          <w:tcPr>
            <w:tcW w:w="8740" w:type="dxa"/>
            <w:vAlign w:val="bottom"/>
            <w:gridSpan w:val="2"/>
          </w:tcPr>
          <w:p>
            <w:pPr>
              <w:spacing w:after="0"/>
              <w:rPr>
                <w:sz w:val="20"/>
                <w:szCs w:val="20"/>
                <w:color w:val="auto"/>
              </w:rPr>
            </w:pPr>
            <w:r>
              <w:rPr>
                <w:rFonts w:ascii="Arial" w:cs="Arial" w:eastAsia="Arial" w:hAnsi="Arial"/>
                <w:sz w:val="14"/>
                <w:szCs w:val="14"/>
                <w:color w:val="auto"/>
              </w:rPr>
              <w:t>Cost-sharing of Bayer HealthCare EYLEA</w:t>
            </w:r>
            <w:r>
              <w:rPr>
                <w:rFonts w:ascii="Arial" w:cs="Arial" w:eastAsia="Arial" w:hAnsi="Arial"/>
                <w:sz w:val="9"/>
                <w:szCs w:val="9"/>
                <w:color w:val="auto"/>
              </w:rPr>
              <w:t>TM</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5"/>
        </w:trPr>
        <w:tc>
          <w:tcPr>
            <w:tcW w:w="8740" w:type="dxa"/>
            <w:vAlign w:val="bottom"/>
            <w:tcBorders>
              <w:bottom w:val="single" w:sz="8" w:color="C0C0C0"/>
            </w:tcBorders>
            <w:gridSpan w:val="2"/>
          </w:tcPr>
          <w:p>
            <w:pPr>
              <w:ind w:left="260"/>
              <w:spacing w:after="0"/>
              <w:rPr>
                <w:sz w:val="20"/>
                <w:szCs w:val="20"/>
                <w:color w:val="auto"/>
              </w:rPr>
            </w:pPr>
            <w:r>
              <w:rPr>
                <w:rFonts w:ascii="Arial" w:cs="Arial" w:eastAsia="Arial" w:hAnsi="Arial"/>
                <w:sz w:val="14"/>
                <w:szCs w:val="14"/>
                <w:color w:val="auto"/>
              </w:rPr>
              <w:t>development expenses (3)</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220" w:type="dxa"/>
            <w:vAlign w:val="bottom"/>
            <w:tcBorders>
              <w:bottom w:val="single" w:sz="8" w:color="C0C0C0"/>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22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r>
      <w:tr>
        <w:trPr>
          <w:trHeight w:val="214"/>
        </w:trPr>
        <w:tc>
          <w:tcPr>
            <w:tcW w:w="8740" w:type="dxa"/>
            <w:vAlign w:val="bottom"/>
            <w:gridSpan w:val="2"/>
            <w:shd w:val="clear" w:color="auto" w:fill="C0C0C0"/>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272.5</w:t>
            </w:r>
          </w:p>
        </w:tc>
        <w:tc>
          <w:tcPr>
            <w:tcW w:w="420" w:type="dxa"/>
            <w:vAlign w:val="bottom"/>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242.0</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30.5</w:t>
            </w:r>
          </w:p>
        </w:tc>
      </w:tr>
      <w:tr>
        <w:trPr>
          <w:trHeight w:val="194"/>
        </w:trPr>
        <w:tc>
          <w:tcPr>
            <w:tcW w:w="8520" w:type="dxa"/>
            <w:vAlign w:val="bottom"/>
            <w:tcBorders>
              <w:top w:val="single" w:sz="8" w:color="C0C0C0"/>
            </w:tcBorders>
          </w:tcPr>
          <w:p>
            <w:pPr>
              <w:spacing w:after="0" w:line="195" w:lineRule="exact"/>
              <w:rPr>
                <w:sz w:val="20"/>
                <w:szCs w:val="20"/>
                <w:color w:val="auto"/>
              </w:rPr>
            </w:pPr>
            <w:r>
              <w:rPr>
                <w:rFonts w:ascii="Arial" w:cs="Arial" w:eastAsia="Arial" w:hAnsi="Arial"/>
                <w:sz w:val="18"/>
                <w:szCs w:val="18"/>
                <w:color w:val="auto"/>
              </w:rPr>
              <w:t>____________________</w:t>
            </w:r>
          </w:p>
        </w:tc>
        <w:tc>
          <w:tcPr>
            <w:tcW w:w="220" w:type="dxa"/>
            <w:vAlign w:val="bottom"/>
            <w:tcBorders>
              <w:top w:val="single" w:sz="8" w:color="C0C0C0"/>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0C0C0"/>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C0C0C0"/>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bl>
    <w:p>
      <w:pPr>
        <w:spacing w:after="0" w:line="165" w:lineRule="exact"/>
        <w:rPr>
          <w:sz w:val="20"/>
          <w:szCs w:val="20"/>
          <w:color w:val="auto"/>
        </w:rPr>
      </w:pPr>
    </w:p>
    <w:p>
      <w:pPr>
        <w:ind w:left="620" w:hanging="393"/>
        <w:spacing w:after="0"/>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$13.6 million and $8.5 million of Non-cash Compensation Expense for the six months ended June 30, 2011 and 2010, respectively.</w:t>
      </w:r>
    </w:p>
    <w:p>
      <w:pPr>
        <w:spacing w:after="0" w:line="36" w:lineRule="exact"/>
        <w:rPr>
          <w:rFonts w:ascii="Arial" w:cs="Arial" w:eastAsia="Arial" w:hAnsi="Arial"/>
          <w:sz w:val="14"/>
          <w:szCs w:val="14"/>
          <w:color w:val="auto"/>
        </w:rPr>
      </w:pPr>
    </w:p>
    <w:p>
      <w:pPr>
        <w:jc w:val="both"/>
        <w:ind w:left="620" w:right="20" w:hanging="393"/>
        <w:spacing w:after="0" w:line="264"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$1.9 million and $1.5 million of Non-cash Compensation Expense for the six months ended June 30, 2011 and 2010, respectively.</w:t>
      </w:r>
    </w:p>
    <w:p>
      <w:pPr>
        <w:jc w:val="both"/>
        <w:ind w:left="620" w:right="20" w:hanging="393"/>
        <w:spacing w:after="0" w:line="214"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Under our collaboration with Bayer HealthCare, in periods when Bayer HealthCare incurs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we also recognize, as additional research and development expense, the portion of Bayer HealthCare’s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Bayer HealthCare provides us with estimated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for the most recent fiscal quarter. Bayer HealthCare’s estimate is reconciled to its actual expenses for such quarter in the subsequent fiscal quarter and our portion of its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that we are obligated to reimburse is adjusted accordingly.</w:t>
      </w:r>
    </w:p>
    <w:p>
      <w:pPr>
        <w:spacing w:after="0" w:line="115" w:lineRule="exact"/>
        <w:rPr>
          <w:sz w:val="20"/>
          <w:szCs w:val="20"/>
          <w:color w:val="auto"/>
        </w:rPr>
      </w:pPr>
    </w:p>
    <w:p>
      <w:pPr>
        <w:jc w:val="both"/>
        <w:ind w:right="20" w:firstLine="274"/>
        <w:spacing w:after="0" w:line="235" w:lineRule="auto"/>
        <w:rPr>
          <w:sz w:val="20"/>
          <w:szCs w:val="20"/>
          <w:color w:val="auto"/>
        </w:rPr>
      </w:pPr>
      <w:r>
        <w:rPr>
          <w:rFonts w:ascii="Arial" w:cs="Arial" w:eastAsia="Arial" w:hAnsi="Arial"/>
          <w:sz w:val="14"/>
          <w:szCs w:val="14"/>
          <w:color w:val="auto"/>
        </w:rPr>
        <w:t>Payroll and benefits increased principally due to the increase in employee headcount, as described above. Clinical trial expenses decreased due primarily to lower costs related to our Phase 3 clinical development program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therapy and our clinical development program for REGN475, which is currently on clinical hold. Clinical manufacturing costs increased primarily due to higher facility-related costs in connection with the expansion of our manufacturing capacity at our Rensselaer facility, partly offset by lower costs related to manufacturing supplies of antibody candidates, including REGN475. Research and other development costs increased primarily due to higher costs associated with our antibody programs and filing our BLA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Occupancy and other operating costs increased primarily principally in connection with our higher headcount, expanded research and development activities, and new and expanded leased laboratory and office facilities in Tarrytown, New York. Cost-sharing of Bayer HealthCare’s global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development expenses increased primarily due to higher costs in connection with Bayer HealthCare’s Phase 3 trial in DME, which was initiated in the second quarter of 2011, and costs associated with ex-U.S. regulatory approval filings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w:t>
      </w:r>
    </w:p>
    <w:p>
      <w:pPr>
        <w:spacing w:after="0" w:line="137" w:lineRule="exact"/>
        <w:rPr>
          <w:sz w:val="20"/>
          <w:szCs w:val="20"/>
          <w:color w:val="auto"/>
        </w:rPr>
      </w:pPr>
    </w:p>
    <w:p>
      <w:pPr>
        <w:jc w:val="both"/>
        <w:ind w:right="20" w:firstLine="329"/>
        <w:spacing w:after="0" w:line="320" w:lineRule="auto"/>
        <w:rPr>
          <w:sz w:val="20"/>
          <w:szCs w:val="20"/>
          <w:color w:val="auto"/>
        </w:rPr>
      </w:pPr>
      <w:r>
        <w:rPr>
          <w:rFonts w:ascii="Arial" w:cs="Arial" w:eastAsia="Arial" w:hAnsi="Arial"/>
          <w:sz w:val="13"/>
          <w:szCs w:val="13"/>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expenses that we are obligated to reimburse. Our estimates of research and development costs for clinical development programs are shown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For the six months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4280" w:type="dxa"/>
            <w:vAlign w:val="bottom"/>
          </w:tcPr>
          <w:p>
            <w:pPr>
              <w:spacing w:after="0"/>
              <w:rPr>
                <w:sz w:val="20"/>
                <w:szCs w:val="20"/>
                <w:color w:val="auto"/>
              </w:rPr>
            </w:pPr>
            <w:r>
              <w:rPr>
                <w:rFonts w:ascii="Arial" w:cs="Arial" w:eastAsia="Arial" w:hAnsi="Arial"/>
                <w:sz w:val="14"/>
                <w:szCs w:val="14"/>
                <w:b w:val="1"/>
                <w:bCs w:val="1"/>
                <w:color w:val="auto"/>
              </w:rPr>
              <w:t>Project Costs</w:t>
            </w: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7"/>
                <w:szCs w:val="17"/>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Increase</w:t>
            </w:r>
          </w:p>
        </w:tc>
        <w:tc>
          <w:tcPr>
            <w:tcW w:w="20" w:type="dxa"/>
            <w:vAlign w:val="bottom"/>
          </w:tcPr>
          <w:p>
            <w:pPr>
              <w:spacing w:after="0"/>
              <w:rPr>
                <w:sz w:val="17"/>
                <w:szCs w:val="17"/>
                <w:color w:val="auto"/>
              </w:rPr>
            </w:pPr>
          </w:p>
        </w:tc>
      </w:tr>
      <w:tr>
        <w:trPr>
          <w:trHeight w:val="191"/>
        </w:trPr>
        <w:tc>
          <w:tcPr>
            <w:tcW w:w="428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580" w:type="dxa"/>
            <w:vAlign w:val="bottom"/>
            <w:tcBorders>
              <w:top w:val="single" w:sz="8" w:color="auto"/>
              <w:bottom w:val="single" w:sz="8" w:color="C0C0C0"/>
            </w:tcBorders>
          </w:tcPr>
          <w:p>
            <w:pPr>
              <w:spacing w:after="0"/>
              <w:rPr>
                <w:sz w:val="16"/>
                <w:szCs w:val="16"/>
                <w:color w:val="auto"/>
              </w:rPr>
            </w:pPr>
          </w:p>
        </w:tc>
        <w:tc>
          <w:tcPr>
            <w:tcW w:w="220" w:type="dxa"/>
            <w:vAlign w:val="bottom"/>
            <w:tcBorders>
              <w:bottom w:val="single" w:sz="8" w:color="C0C0C0"/>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0C0C0"/>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0C0C0"/>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(Decrease)</w:t>
            </w:r>
          </w:p>
        </w:tc>
        <w:tc>
          <w:tcPr>
            <w:tcW w:w="20" w:type="dxa"/>
            <w:vAlign w:val="bottom"/>
          </w:tcPr>
          <w:p>
            <w:pPr>
              <w:spacing w:after="0"/>
              <w:rPr>
                <w:sz w:val="16"/>
                <w:szCs w:val="16"/>
                <w:color w:val="auto"/>
              </w:rPr>
            </w:pPr>
          </w:p>
        </w:tc>
      </w:tr>
      <w:tr>
        <w:trPr>
          <w:trHeight w:val="195"/>
        </w:trPr>
        <w:tc>
          <w:tcPr>
            <w:tcW w:w="4280" w:type="dxa"/>
            <w:vAlign w:val="bottom"/>
            <w:shd w:val="clear" w:color="auto" w:fill="C0C0C0"/>
          </w:tcPr>
          <w:p>
            <w:pPr>
              <w:spacing w:after="0"/>
              <w:rPr>
                <w:sz w:val="20"/>
                <w:szCs w:val="20"/>
                <w:color w:val="auto"/>
              </w:rPr>
            </w:pPr>
            <w:r>
              <w:rPr>
                <w:rFonts w:ascii="Arial" w:cs="Arial" w:eastAsia="Arial" w:hAnsi="Arial"/>
                <w:sz w:val="14"/>
                <w:szCs w:val="14"/>
                <w:color w:val="auto"/>
              </w:rPr>
              <w:t>ARCALYST</w:t>
            </w:r>
            <w:r>
              <w:rPr>
                <w:rFonts w:ascii="Arial" w:cs="Arial" w:eastAsia="Arial" w:hAnsi="Arial"/>
                <w:sz w:val="9"/>
                <w:szCs w:val="9"/>
                <w:color w:val="auto"/>
              </w:rPr>
              <w:t>®</w:t>
            </w:r>
          </w:p>
        </w:tc>
        <w:tc>
          <w:tcPr>
            <w:tcW w:w="4900" w:type="dxa"/>
            <w:vAlign w:val="bottom"/>
            <w:gridSpan w:val="3"/>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6"/>
                <w:szCs w:val="16"/>
                <w:color w:val="auto"/>
              </w:rPr>
            </w:pPr>
          </w:p>
        </w:tc>
      </w:tr>
      <w:tr>
        <w:trPr>
          <w:trHeight w:val="202"/>
        </w:trPr>
        <w:tc>
          <w:tcPr>
            <w:tcW w:w="4280" w:type="dxa"/>
            <w:vAlign w:val="bottom"/>
          </w:tcPr>
          <w:p>
            <w:pPr>
              <w:spacing w:after="0"/>
              <w:rPr>
                <w:sz w:val="20"/>
                <w:szCs w:val="20"/>
                <w:color w:val="auto"/>
              </w:rPr>
            </w:pPr>
            <w:r>
              <w:rPr>
                <w:rFonts w:ascii="Arial" w:cs="Arial" w:eastAsia="Arial" w:hAnsi="Arial"/>
                <w:sz w:val="14"/>
                <w:szCs w:val="14"/>
                <w:color w:val="auto"/>
              </w:rPr>
              <w:t>EYLEA</w:t>
            </w:r>
            <w:r>
              <w:rPr>
                <w:rFonts w:ascii="Arial" w:cs="Arial" w:eastAsia="Arial" w:hAnsi="Arial"/>
                <w:sz w:val="9"/>
                <w:szCs w:val="9"/>
                <w:color w:val="auto"/>
              </w:rPr>
              <w:t>TM</w:t>
            </w: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7"/>
                <w:szCs w:val="17"/>
                <w:color w:val="auto"/>
              </w:rPr>
            </w:pPr>
          </w:p>
        </w:tc>
      </w:tr>
      <w:tr>
        <w:trPr>
          <w:trHeight w:val="215"/>
        </w:trPr>
        <w:tc>
          <w:tcPr>
            <w:tcW w:w="4280" w:type="dxa"/>
            <w:vAlign w:val="bottom"/>
            <w:shd w:val="clear" w:color="auto" w:fill="C0C0C0"/>
          </w:tcPr>
          <w:p>
            <w:pPr>
              <w:spacing w:after="0"/>
              <w:rPr>
                <w:sz w:val="20"/>
                <w:szCs w:val="20"/>
                <w:color w:val="auto"/>
              </w:rPr>
            </w:pPr>
            <w:r>
              <w:rPr>
                <w:rFonts w:ascii="Arial" w:cs="Arial" w:eastAsia="Arial" w:hAnsi="Arial"/>
                <w:sz w:val="14"/>
                <w:szCs w:val="14"/>
                <w:color w:val="auto"/>
              </w:rPr>
              <w:t>ZALTRAP</w:t>
            </w:r>
            <w:r>
              <w:rPr>
                <w:rFonts w:ascii="Arial" w:cs="Arial" w:eastAsia="Arial" w:hAnsi="Arial"/>
                <w:sz w:val="9"/>
                <w:szCs w:val="9"/>
                <w:color w:val="auto"/>
              </w:rPr>
              <w:t>TM</w:t>
            </w:r>
          </w:p>
        </w:tc>
        <w:tc>
          <w:tcPr>
            <w:tcW w:w="45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8"/>
                <w:szCs w:val="18"/>
                <w:color w:val="auto"/>
              </w:rPr>
            </w:pPr>
          </w:p>
        </w:tc>
      </w:tr>
      <w:tr>
        <w:trPr>
          <w:trHeight w:val="191"/>
        </w:trPr>
        <w:tc>
          <w:tcPr>
            <w:tcW w:w="4280" w:type="dxa"/>
            <w:vAlign w:val="bottom"/>
          </w:tcPr>
          <w:p>
            <w:pPr>
              <w:spacing w:after="0"/>
              <w:rPr>
                <w:sz w:val="20"/>
                <w:szCs w:val="20"/>
                <w:color w:val="auto"/>
              </w:rPr>
            </w:pPr>
            <w:r>
              <w:rPr>
                <w:rFonts w:ascii="Arial" w:cs="Arial" w:eastAsia="Arial" w:hAnsi="Arial"/>
                <w:sz w:val="14"/>
                <w:szCs w:val="14"/>
                <w:color w:val="auto"/>
              </w:rPr>
              <w:t>Sarilumab</w:t>
            </w:r>
          </w:p>
        </w:tc>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6"/>
                <w:szCs w:val="16"/>
                <w:color w:val="auto"/>
              </w:rPr>
            </w:pPr>
          </w:p>
        </w:tc>
      </w:tr>
      <w:tr>
        <w:trPr>
          <w:trHeight w:val="204"/>
        </w:trPr>
        <w:tc>
          <w:tcPr>
            <w:tcW w:w="4280" w:type="dxa"/>
            <w:vAlign w:val="bottom"/>
            <w:shd w:val="clear" w:color="auto" w:fill="C0C0C0"/>
          </w:tcPr>
          <w:p>
            <w:pPr>
              <w:spacing w:after="0"/>
              <w:rPr>
                <w:sz w:val="20"/>
                <w:szCs w:val="20"/>
                <w:color w:val="auto"/>
              </w:rPr>
            </w:pPr>
            <w:r>
              <w:rPr>
                <w:rFonts w:ascii="Arial" w:cs="Arial" w:eastAsia="Arial" w:hAnsi="Arial"/>
                <w:sz w:val="14"/>
                <w:szCs w:val="14"/>
                <w:color w:val="auto"/>
              </w:rPr>
              <w:t>REGN727</w:t>
            </w:r>
          </w:p>
        </w:tc>
        <w:tc>
          <w:tcPr>
            <w:tcW w:w="4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2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7"/>
                <w:szCs w:val="17"/>
                <w:color w:val="auto"/>
              </w:rPr>
            </w:pPr>
          </w:p>
        </w:tc>
      </w:tr>
      <w:tr>
        <w:trPr>
          <w:trHeight w:val="191"/>
        </w:trPr>
        <w:tc>
          <w:tcPr>
            <w:tcW w:w="4280" w:type="dxa"/>
            <w:vAlign w:val="bottom"/>
          </w:tcPr>
          <w:p>
            <w:pPr>
              <w:spacing w:after="0"/>
              <w:rPr>
                <w:sz w:val="20"/>
                <w:szCs w:val="20"/>
                <w:color w:val="auto"/>
              </w:rPr>
            </w:pPr>
            <w:r>
              <w:rPr>
                <w:rFonts w:ascii="Arial" w:cs="Arial" w:eastAsia="Arial" w:hAnsi="Arial"/>
                <w:sz w:val="14"/>
                <w:szCs w:val="14"/>
                <w:color w:val="auto"/>
              </w:rPr>
              <w:t>Other antibody candidates in clinical development</w:t>
            </w:r>
          </w:p>
        </w:tc>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16"/>
                <w:szCs w:val="16"/>
                <w:color w:val="auto"/>
              </w:rPr>
            </w:pPr>
          </w:p>
        </w:tc>
      </w:tr>
      <w:tr>
        <w:trPr>
          <w:trHeight w:val="197"/>
        </w:trPr>
        <w:tc>
          <w:tcPr>
            <w:tcW w:w="4280" w:type="dxa"/>
            <w:vAlign w:val="bottom"/>
            <w:shd w:val="clear" w:color="auto" w:fill="C0C0C0"/>
          </w:tcPr>
          <w:p>
            <w:pPr>
              <w:spacing w:after="0"/>
              <w:rPr>
                <w:sz w:val="20"/>
                <w:szCs w:val="20"/>
                <w:color w:val="auto"/>
              </w:rPr>
            </w:pPr>
            <w:r>
              <w:rPr>
                <w:rFonts w:ascii="Arial" w:cs="Arial" w:eastAsia="Arial" w:hAnsi="Arial"/>
                <w:sz w:val="14"/>
                <w:szCs w:val="14"/>
                <w:color w:val="auto"/>
              </w:rPr>
              <w:t>Other research programs &amp; unallocated costs</w:t>
            </w:r>
          </w:p>
        </w:tc>
        <w:tc>
          <w:tcPr>
            <w:tcW w:w="45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102.2</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0C0C0"/>
          </w:tcPr>
          <w:p>
            <w:pPr>
              <w:spacing w:after="0"/>
              <w:rPr>
                <w:sz w:val="17"/>
                <w:szCs w:val="17"/>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280" w:type="dxa"/>
            <w:vAlign w:val="bottom"/>
          </w:tcPr>
          <w:p>
            <w:pPr>
              <w:ind w:left="260"/>
              <w:spacing w:after="0"/>
              <w:rPr>
                <w:sz w:val="20"/>
                <w:szCs w:val="20"/>
                <w:color w:val="auto"/>
              </w:rPr>
            </w:pPr>
            <w:r>
              <w:rPr>
                <w:rFonts w:ascii="Arial" w:cs="Arial" w:eastAsia="Arial" w:hAnsi="Arial"/>
                <w:sz w:val="14"/>
                <w:szCs w:val="14"/>
                <w:color w:val="auto"/>
              </w:rPr>
              <w:t>Total research and development expenses</w:t>
            </w:r>
          </w:p>
        </w:tc>
        <w:tc>
          <w:tcPr>
            <w:tcW w:w="49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272.5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242.0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30.5</w:t>
            </w:r>
          </w:p>
        </w:tc>
        <w:tc>
          <w:tcPr>
            <w:tcW w:w="20" w:type="dxa"/>
            <w:vAlign w:val="bottom"/>
          </w:tcPr>
          <w:p>
            <w:pPr>
              <w:spacing w:after="0"/>
              <w:rPr>
                <w:sz w:val="17"/>
                <w:szCs w:val="17"/>
                <w:color w:val="auto"/>
              </w:rPr>
            </w:pPr>
          </w:p>
        </w:tc>
      </w:tr>
      <w:tr>
        <w:trPr>
          <w:trHeight w:val="360"/>
        </w:trPr>
        <w:tc>
          <w:tcPr>
            <w:tcW w:w="4280" w:type="dxa"/>
            <w:vAlign w:val="bottom"/>
          </w:tcPr>
          <w:p>
            <w:pPr>
              <w:spacing w:after="0"/>
              <w:rPr>
                <w:sz w:val="24"/>
                <w:szCs w:val="24"/>
                <w:color w:val="auto"/>
              </w:rPr>
            </w:pPr>
          </w:p>
        </w:tc>
        <w:tc>
          <w:tcPr>
            <w:tcW w:w="4580" w:type="dxa"/>
            <w:vAlign w:val="bottom"/>
          </w:tcPr>
          <w:p>
            <w:pPr>
              <w:jc w:val="right"/>
              <w:ind w:right="2989"/>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428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-12700</wp:posOffset>
            </wp:positionV>
            <wp:extent cx="127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527" w:right="199" w:bottom="1440" w:gutter="0" w:footer="0" w:header="0"/>
        </w:sectPr>
      </w:pPr>
    </w:p>
    <w:bookmarkStart w:id="38" w:name="page39"/>
    <w:bookmarkEnd w:id="38"/>
    <w:p>
      <w:pPr>
        <w:jc w:val="both"/>
        <w:ind w:firstLine="252"/>
        <w:spacing w:after="0" w:line="235" w:lineRule="auto"/>
        <w:rPr>
          <w:sz w:val="20"/>
          <w:szCs w:val="20"/>
          <w:color w:val="auto"/>
        </w:rPr>
      </w:pPr>
      <w:r>
        <w:rPr>
          <w:rFonts w:ascii="Arial" w:cs="Arial" w:eastAsia="Arial" w:hAnsi="Arial"/>
          <w:sz w:val="14"/>
          <w:szCs w:val="14"/>
          <w:color w:val="auto"/>
        </w:rPr>
        <w:t>For the reasons described above under “Research and Development Expenses” for the three months ended June 30, 2011 and 2010,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234" w:lineRule="exact"/>
        <w:rPr>
          <w:sz w:val="20"/>
          <w:szCs w:val="20"/>
          <w:color w:val="auto"/>
        </w:rPr>
      </w:pPr>
    </w:p>
    <w:p>
      <w:pPr>
        <w:jc w:val="both"/>
        <w:ind w:firstLine="219"/>
        <w:spacing w:after="0" w:line="236" w:lineRule="auto"/>
        <w:rPr>
          <w:sz w:val="20"/>
          <w:szCs w:val="20"/>
          <w:color w:val="auto"/>
        </w:rPr>
      </w:pPr>
      <w:r>
        <w:rPr>
          <w:rFonts w:ascii="Arial" w:cs="Arial" w:eastAsia="Arial" w:hAnsi="Arial"/>
          <w:sz w:val="14"/>
          <w:szCs w:val="14"/>
          <w:color w:val="auto"/>
        </w:rPr>
        <w:t>Selling, general, and administrative expenses increased to $48.0 million in the first half of 2011 from $28.9 million for the same period of 2010 due primarily to increases in compensation expense and recruitment costs principally in connection with higher headcount in the first half of 2011, higher commercialization-related costs, primarily in connection with EYLEA</w:t>
      </w:r>
      <w:r>
        <w:rPr>
          <w:rFonts w:ascii="Arial" w:cs="Arial" w:eastAsia="Arial" w:hAnsi="Arial"/>
          <w:sz w:val="19"/>
          <w:szCs w:val="19"/>
          <w:color w:val="auto"/>
          <w:vertAlign w:val="superscript"/>
        </w:rPr>
        <w:t>TM</w:t>
      </w:r>
      <w:r>
        <w:rPr>
          <w:rFonts w:ascii="Arial" w:cs="Arial" w:eastAsia="Arial" w:hAnsi="Arial"/>
          <w:sz w:val="14"/>
          <w:szCs w:val="14"/>
          <w:color w:val="auto"/>
        </w:rPr>
        <w:t>, higher legal expenses in connection with patent-related litigation with Genentech, and an increase in Non-cash Compensation Expense for the reasons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Sold</w:t>
      </w:r>
    </w:p>
    <w:p>
      <w:pPr>
        <w:spacing w:after="0" w:line="232" w:lineRule="exact"/>
        <w:rPr>
          <w:sz w:val="20"/>
          <w:szCs w:val="20"/>
          <w:color w:val="auto"/>
        </w:rPr>
      </w:pPr>
    </w:p>
    <w:p>
      <w:pPr>
        <w:jc w:val="both"/>
        <w:ind w:firstLine="219"/>
        <w:spacing w:after="0" w:line="226" w:lineRule="auto"/>
        <w:rPr>
          <w:sz w:val="20"/>
          <w:szCs w:val="20"/>
          <w:color w:val="auto"/>
        </w:rPr>
      </w:pPr>
      <w:r>
        <w:rPr>
          <w:rFonts w:ascii="Arial" w:cs="Arial" w:eastAsia="Arial" w:hAnsi="Arial"/>
          <w:sz w:val="14"/>
          <w:szCs w:val="14"/>
          <w:color w:val="auto"/>
        </w:rPr>
        <w:t>Cost of goods sold in the first half of 2011 and 2010 was $0.8 million and $1.1 million, respectively, and consisted primarily of royalties and other period costs related to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commercial supplies.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and Expense</w:t>
      </w:r>
    </w:p>
    <w:p>
      <w:pPr>
        <w:spacing w:after="0" w:line="234"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4"/>
          <w:szCs w:val="14"/>
          <w:color w:val="auto"/>
        </w:rPr>
        <w:t>Investment income increased to $2.0 million in the first half of 2011 from $1.0 million in the same period of 2010, due primarily to higher yields on, and higher average balances of, cash and marketable securities.</w:t>
      </w:r>
    </w:p>
    <w:p>
      <w:pPr>
        <w:spacing w:after="0" w:line="180"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Interest expense increased to $7.8 million in the first half of 2011 from $4.4 million in the same period of 2010. Interest expense is primarily attributable to the imputed interest portion of payments to our landlord, commencing in the third quarter of 2009, to lease newly constructed laboratory and office facilities in Tarrytown, New York. In February 2011, we began occupying an additional new building in Tarrytown and, therefore, began recognizing interest expense on the related payments to our landlord.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8" w:lineRule="exact"/>
        <w:rPr>
          <w:sz w:val="20"/>
          <w:szCs w:val="20"/>
          <w:color w:val="auto"/>
        </w:rPr>
      </w:pPr>
    </w:p>
    <w:p>
      <w:pPr>
        <w:jc w:val="both"/>
        <w:ind w:firstLine="274"/>
        <w:spacing w:after="0" w:line="320" w:lineRule="auto"/>
        <w:rPr>
          <w:sz w:val="20"/>
          <w:szCs w:val="20"/>
          <w:color w:val="auto"/>
        </w:rPr>
      </w:pPr>
      <w:r>
        <w:rPr>
          <w:rFonts w:ascii="Arial" w:cs="Arial" w:eastAsia="Arial" w:hAnsi="Arial"/>
          <w:sz w:val="13"/>
          <w:szCs w:val="13"/>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 revenue earned under our past and present research and development agreements, including our agreements with Sanofi and Bayer HealthCare, our past contract manufacturing agreements, our technology licensing agreements,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revenue, and investment income.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Six months ended June 30, 2011 and 2010</w:t>
      </w:r>
    </w:p>
    <w:p>
      <w:pPr>
        <w:spacing w:after="0" w:line="234" w:lineRule="exact"/>
        <w:rPr>
          <w:sz w:val="20"/>
          <w:szCs w:val="20"/>
          <w:color w:val="auto"/>
        </w:rPr>
      </w:pPr>
    </w:p>
    <w:p>
      <w:pPr>
        <w:jc w:val="both"/>
        <w:ind w:firstLine="241"/>
        <w:spacing w:after="0" w:line="283" w:lineRule="auto"/>
        <w:rPr>
          <w:sz w:val="20"/>
          <w:szCs w:val="20"/>
          <w:color w:val="auto"/>
        </w:rPr>
      </w:pPr>
      <w:r>
        <w:rPr>
          <w:rFonts w:ascii="Arial" w:cs="Arial" w:eastAsia="Arial" w:hAnsi="Arial"/>
          <w:sz w:val="14"/>
          <w:szCs w:val="14"/>
          <w:color w:val="auto"/>
        </w:rPr>
        <w:t>At June 30, 2011, we had $569.1 million in cash, cash equivalents, and marketable securities (including $8.2 million of restricted cash and marketable securities) compared with $626.9 million at December 31, 2010 (including $7.5 million of restricted cash and marketable securities). In January 2011, we received, from Bayer HealthCare, a $10.0 million milestone payment, which was earned in 2010, in connection with the COPERNICUS study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w:t>
      </w: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color w:val="auto"/>
        </w:rPr>
        <w:t>Cash Used in Operating Activities</w:t>
      </w:r>
    </w:p>
    <w:p>
      <w:pPr>
        <w:spacing w:after="0" w:line="234"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Net cash used in operating activities was $44.6 million in the first six months of 2011 and $21.4 million in the first six months of 2010. Our net losses of $106.0 million in the first half of 2011 and $56.0 million in the first half of 2010 included $27.2 million and $17.5 million, respectively, of Non-cash Compensation Expense. Our net losses also included depreciation and amortization of $14.9 million and $8.7 million in the first half of 2011 and 2010, respectively.</w:t>
      </w:r>
    </w:p>
    <w:p>
      <w:pPr>
        <w:spacing w:after="0" w:line="191" w:lineRule="exact"/>
        <w:rPr>
          <w:sz w:val="20"/>
          <w:szCs w:val="20"/>
          <w:color w:val="auto"/>
        </w:rPr>
      </w:pPr>
    </w:p>
    <w:p>
      <w:pPr>
        <w:jc w:val="both"/>
        <w:ind w:firstLine="241"/>
        <w:spacing w:after="0" w:line="266" w:lineRule="auto"/>
        <w:rPr>
          <w:sz w:val="20"/>
          <w:szCs w:val="20"/>
          <w:color w:val="auto"/>
        </w:rPr>
      </w:pPr>
      <w:r>
        <w:rPr>
          <w:rFonts w:ascii="Arial" w:cs="Arial" w:eastAsia="Arial" w:hAnsi="Arial"/>
          <w:sz w:val="14"/>
          <w:szCs w:val="14"/>
          <w:color w:val="auto"/>
        </w:rPr>
        <w:t>At June 30, 2011, accounts receivable decreased by $8.5 million, compared to end-of-year 2010, primarily due to the receipt of the $10.0 million milestone payment in January 2011 from Bayer HealthCare, as discussed above. Prepaid expenses and other assets increased by $8.2 million, compared to end-of-year 2010, primarily due to increases in prepaid clinical trial costs and capitalized inventory supplies. Our deferred revenue at June 30, 2011 decreased by $20.6 million, compared to end-of-year 2010, primarily due to the amortization of previously received and deferred $20.0 million payments under our license agreements with AstraZeneca and Astellas, as well as amortization of previously received deferred payments under our Sanofi and Bayer HealthCare collaborations. Accounts payable, accrued expenses, and other liabilities increased by $38.6 million at June 30, 2011, compared to end-of-year 2010, primarily in connection with our expanded levels of activities and expenditures, including higher liabilities for pre-launch commercialization activities, higher payroll-related liabilities, and an $8.8 million increase in cost-sharing payments due to Bayer HealthCare in connection with our EYLEA™ collaboration.</w:t>
      </w:r>
    </w:p>
    <w:p>
      <w:pPr>
        <w:spacing w:after="0" w:line="199" w:lineRule="exact"/>
        <w:rPr>
          <w:sz w:val="20"/>
          <w:szCs w:val="20"/>
          <w:color w:val="auto"/>
        </w:rPr>
      </w:pPr>
    </w:p>
    <w:p>
      <w:pPr>
        <w:jc w:val="both"/>
        <w:ind w:firstLine="252"/>
        <w:spacing w:after="0" w:line="290" w:lineRule="auto"/>
        <w:rPr>
          <w:sz w:val="20"/>
          <w:szCs w:val="20"/>
          <w:color w:val="auto"/>
        </w:rPr>
      </w:pPr>
      <w:r>
        <w:rPr>
          <w:rFonts w:ascii="Arial" w:cs="Arial" w:eastAsia="Arial" w:hAnsi="Arial"/>
          <w:sz w:val="13"/>
          <w:szCs w:val="13"/>
          <w:color w:val="auto"/>
        </w:rPr>
        <w:t>At June 30, 2010, accounts receivable increased by $29.6 million, compared to end-of-year 2009, primarily due to a higher receivable balance related to our antibody collaboration with Sanofi. Also, our deferred revenue balances at June 30, 2010 increased by $16.6 million, compared to end-of-year 2009, primarily due to (i) the receipt of the $20.0 million annual payments from AstraZeneca and Astellas in the first half of 2010, which were deferred and recognized ratably over the ensuing year and (ii) Sanofi’s funding of $13.8 million of agreed-upon costs incurred by us during the first half of 2010 to expand our manufacturing capacity at our Rensselaer facilities, which was deferred and is being recognized as collaboration revenue prospectively over the related performance period in conjunction with the original $85.0 million up-front payment received from Sanofi. These increases were partially offset by amortization of previously received deferred payments under our Sanofi and Bayer HealthCare collaborations. At June 30, 2010, accounts payable, accrued expenses, and other liabilities increased by $18.1 million, compared to end-of-year 2009, primarily in connection with our expanded levels of activities and expenditures, including higher liabilities for payroll and related costs and clinical trial expenses.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Provided by (Used in) Investing Activities</w:t>
      </w:r>
    </w:p>
    <w:p>
      <w:pPr>
        <w:spacing w:after="0" w:line="234"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Net cash provided by investing activities was $163.3 million in the first six months of 2011, compared with net cash used in investing activities of $132.6 million in the first half of 2010. In the first half of 2011, sales or maturities of marketable securities exceeded purchases by $201.0 million, whereas in the first half of 2010, purchases of marketable securities exceeded sales or maturities by $85.5 million. Capital expenditures in the first half of 2011 and 2010 included costs in connection with expanding our manufacturing capacity at our Rensselaer, New York facilities and tenant improvements and related costs in connection with our leased facilities in Tarrytown, New York.</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Provided by Financing Activities</w:t>
      </w:r>
    </w:p>
    <w:p>
      <w:pPr>
        <w:spacing w:after="0" w:line="234"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Net cash provided by financing activities was $23.1 million in the first six months of 2011 and $58.9 million in the first six months of 2010. In the first half of 2010, we received $47.5 million from our landlord in connection with tenant improvement costs for our new Tarrytown facilities, which we recognized as additional facility lease obligations since we are deemed to own these facilities in accordance with Financial Accounting Standards Board (“FASB”) authoritative guidance. In addition, proceeds from issuances of Common Stock in connection with exercises of employee stock options were $23.8 million in the first six months of 2011 and $12.1 million in the first six months of 2010.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Fair Value of Marketable Securities</w:t>
      </w:r>
    </w:p>
    <w:p>
      <w:pPr>
        <w:spacing w:after="0" w:line="234" w:lineRule="exact"/>
        <w:rPr>
          <w:sz w:val="20"/>
          <w:szCs w:val="20"/>
          <w:color w:val="auto"/>
        </w:rPr>
      </w:pPr>
    </w:p>
    <w:p>
      <w:pPr>
        <w:jc w:val="both"/>
        <w:ind w:firstLine="263"/>
        <w:spacing w:after="0" w:line="291" w:lineRule="auto"/>
        <w:rPr>
          <w:sz w:val="20"/>
          <w:szCs w:val="20"/>
          <w:color w:val="auto"/>
        </w:rPr>
      </w:pPr>
      <w:r>
        <w:rPr>
          <w:rFonts w:ascii="Arial" w:cs="Arial" w:eastAsia="Arial" w:hAnsi="Arial"/>
          <w:sz w:val="14"/>
          <w:szCs w:val="14"/>
          <w:color w:val="auto"/>
        </w:rPr>
        <w:t>At June 30, 2011 and December 31 2010, we held marketable securities whose aggregate fair value totaled $314.7 million and $513.9 million, respectively. The composition of our portfolio of marketable securities on these dates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2011</w:t>
            </w:r>
          </w:p>
        </w:tc>
        <w:tc>
          <w:tcPr>
            <w:tcW w:w="100" w:type="dxa"/>
            <w:vAlign w:val="bottom"/>
          </w:tcPr>
          <w:p>
            <w:pPr>
              <w:spacing w:after="0"/>
              <w:rPr>
                <w:sz w:val="16"/>
                <w:szCs w:val="16"/>
                <w:color w:val="auto"/>
              </w:rPr>
            </w:pPr>
          </w:p>
        </w:tc>
        <w:tc>
          <w:tcPr>
            <w:tcW w:w="132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191"/>
        </w:trPr>
        <w:tc>
          <w:tcPr>
            <w:tcW w:w="5700" w:type="dxa"/>
            <w:vAlign w:val="bottom"/>
          </w:tcPr>
          <w:p>
            <w:pPr>
              <w:spacing w:after="0"/>
              <w:rPr>
                <w:sz w:val="20"/>
                <w:szCs w:val="20"/>
                <w:color w:val="auto"/>
              </w:rPr>
            </w:pPr>
            <w:r>
              <w:rPr>
                <w:rFonts w:ascii="Arial" w:cs="Arial" w:eastAsia="Arial" w:hAnsi="Arial"/>
                <w:sz w:val="14"/>
                <w:szCs w:val="14"/>
                <w:b w:val="1"/>
                <w:bCs w:val="1"/>
                <w:color w:val="auto"/>
              </w:rPr>
              <w:t>Investment type</w:t>
            </w:r>
          </w:p>
        </w:tc>
        <w:tc>
          <w:tcPr>
            <w:tcW w:w="2680" w:type="dxa"/>
            <w:vAlign w:val="bottom"/>
          </w:tcPr>
          <w:p>
            <w:pPr>
              <w:spacing w:after="0"/>
              <w:rPr>
                <w:sz w:val="16"/>
                <w:szCs w:val="16"/>
                <w:color w:val="auto"/>
              </w:rPr>
            </w:pPr>
          </w:p>
        </w:tc>
        <w:tc>
          <w:tcPr>
            <w:tcW w:w="9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16"/>
                <w:szCs w:val="16"/>
                <w:color w:val="auto"/>
              </w:rPr>
            </w:pPr>
          </w:p>
        </w:tc>
        <w:tc>
          <w:tcPr>
            <w:tcW w:w="94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95"/>
        </w:trPr>
        <w:tc>
          <w:tcPr>
            <w:tcW w:w="57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4"/>
                <w:szCs w:val="14"/>
                <w:i w:val="1"/>
                <w:iCs w:val="1"/>
                <w:color w:val="auto"/>
              </w:rPr>
              <w:t>Unrestricted</w:t>
            </w:r>
          </w:p>
        </w:tc>
        <w:tc>
          <w:tcPr>
            <w:tcW w:w="2680" w:type="dxa"/>
            <w:vAlign w:val="bottom"/>
            <w:tcBorders>
              <w:top w:val="single" w:sz="8" w:color="auto"/>
            </w:tcBorders>
            <w:shd w:val="clear" w:color="auto" w:fill="C0C0C0"/>
          </w:tcPr>
          <w:p>
            <w:pPr>
              <w:spacing w:after="0"/>
              <w:rPr>
                <w:sz w:val="16"/>
                <w:szCs w:val="16"/>
                <w:color w:val="auto"/>
              </w:rPr>
            </w:pPr>
          </w:p>
        </w:tc>
        <w:tc>
          <w:tcPr>
            <w:tcW w:w="200" w:type="dxa"/>
            <w:vAlign w:val="bottom"/>
            <w:tcBorders>
              <w:top w:val="single" w:sz="8" w:color="auto"/>
            </w:tcBorders>
            <w:shd w:val="clear" w:color="auto" w:fill="C0C0C0"/>
          </w:tcPr>
          <w:p>
            <w:pPr>
              <w:spacing w:after="0"/>
              <w:rPr>
                <w:sz w:val="16"/>
                <w:szCs w:val="16"/>
                <w:color w:val="auto"/>
              </w:rPr>
            </w:pPr>
          </w:p>
        </w:tc>
        <w:tc>
          <w:tcPr>
            <w:tcW w:w="54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48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620" w:type="dxa"/>
            <w:vAlign w:val="bottom"/>
            <w:tcBorders>
              <w:top w:val="single" w:sz="8" w:color="auto"/>
            </w:tcBorders>
            <w:shd w:val="clear" w:color="auto" w:fill="C0C0C0"/>
          </w:tcPr>
          <w:p>
            <w:pPr>
              <w:spacing w:after="0"/>
              <w:rPr>
                <w:sz w:val="16"/>
                <w:szCs w:val="16"/>
                <w:color w:val="auto"/>
              </w:rPr>
            </w:pPr>
          </w:p>
        </w:tc>
        <w:tc>
          <w:tcPr>
            <w:tcW w:w="220" w:type="dxa"/>
            <w:vAlign w:val="bottom"/>
            <w:tcBorders>
              <w:top w:val="single" w:sz="8" w:color="C0C0C0"/>
            </w:tcBorders>
            <w:shd w:val="clear" w:color="auto" w:fill="C0C0C0"/>
          </w:tcPr>
          <w:p>
            <w:pPr>
              <w:spacing w:after="0"/>
              <w:rPr>
                <w:sz w:val="16"/>
                <w:szCs w:val="16"/>
                <w:color w:val="auto"/>
              </w:rPr>
            </w:pPr>
          </w:p>
        </w:tc>
        <w:tc>
          <w:tcPr>
            <w:tcW w:w="480" w:type="dxa"/>
            <w:vAlign w:val="bottom"/>
            <w:tcBorders>
              <w:top w:val="single" w:sz="8" w:color="auto"/>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20"/>
                <w:szCs w:val="20"/>
                <w:color w:val="auto"/>
              </w:rPr>
            </w:pPr>
            <w:r>
              <w:rPr>
                <w:rFonts w:ascii="Arial" w:cs="Arial" w:eastAsia="Arial" w:hAnsi="Arial"/>
                <w:sz w:val="14"/>
                <w:szCs w:val="14"/>
                <w:color w:val="auto"/>
              </w:rPr>
              <w:t>U.S. government agency securities</w:t>
            </w:r>
          </w:p>
        </w:tc>
        <w:tc>
          <w:tcPr>
            <w:tcW w:w="28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237.2</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434.4</w:t>
            </w:r>
          </w:p>
        </w:tc>
        <w:tc>
          <w:tcPr>
            <w:tcW w:w="4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4"/>
        </w:trPr>
        <w:tc>
          <w:tcPr>
            <w:tcW w:w="5700" w:type="dxa"/>
            <w:vAlign w:val="bottom"/>
            <w:shd w:val="clear" w:color="auto" w:fill="C0C0C0"/>
          </w:tcPr>
          <w:p>
            <w:pPr>
              <w:spacing w:after="0"/>
              <w:rPr>
                <w:sz w:val="20"/>
                <w:szCs w:val="20"/>
                <w:color w:val="auto"/>
              </w:rPr>
            </w:pPr>
            <w:r>
              <w:rPr>
                <w:rFonts w:ascii="Arial" w:cs="Arial" w:eastAsia="Arial" w:hAnsi="Arial"/>
                <w:sz w:val="14"/>
                <w:szCs w:val="14"/>
                <w:color w:val="auto"/>
              </w:rPr>
              <w:t>U.S. government-guaranteed corporate bonds</w:t>
            </w:r>
          </w:p>
        </w:tc>
        <w:tc>
          <w:tcPr>
            <w:tcW w:w="26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47.5</w:t>
            </w: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64.0</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1"/>
        </w:trPr>
        <w:tc>
          <w:tcPr>
            <w:tcW w:w="5700" w:type="dxa"/>
            <w:vAlign w:val="bottom"/>
          </w:tcPr>
          <w:p>
            <w:pPr>
              <w:spacing w:after="0"/>
              <w:rPr>
                <w:sz w:val="20"/>
                <w:szCs w:val="20"/>
                <w:color w:val="auto"/>
              </w:rPr>
            </w:pPr>
            <w:r>
              <w:rPr>
                <w:rFonts w:ascii="Arial" w:cs="Arial" w:eastAsia="Arial" w:hAnsi="Arial"/>
                <w:sz w:val="14"/>
                <w:szCs w:val="14"/>
                <w:color w:val="auto"/>
              </w:rPr>
              <w:t>Municipal bonds</w:t>
            </w: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1.6</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shd w:val="clear" w:color="auto" w:fill="C0C0C0"/>
          </w:tcPr>
          <w:p>
            <w:pPr>
              <w:spacing w:after="0"/>
              <w:rPr>
                <w:sz w:val="20"/>
                <w:szCs w:val="20"/>
                <w:color w:val="auto"/>
              </w:rPr>
            </w:pPr>
            <w:r>
              <w:rPr>
                <w:rFonts w:ascii="Arial" w:cs="Arial" w:eastAsia="Arial" w:hAnsi="Arial"/>
                <w:sz w:val="14"/>
                <w:szCs w:val="14"/>
                <w:color w:val="auto"/>
              </w:rPr>
              <w:t>Equity securities</w:t>
            </w:r>
          </w:p>
        </w:tc>
        <w:tc>
          <w:tcPr>
            <w:tcW w:w="26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3.6</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20"/>
                <w:szCs w:val="20"/>
                <w:color w:val="auto"/>
              </w:rPr>
            </w:pPr>
            <w:r>
              <w:rPr>
                <w:rFonts w:ascii="Arial" w:cs="Arial" w:eastAsia="Arial" w:hAnsi="Arial"/>
                <w:sz w:val="14"/>
                <w:szCs w:val="14"/>
                <w:color w:val="auto"/>
              </w:rPr>
              <w:t>U.S. government guaranteed collateralized mortgage</w:t>
            </w: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00" w:type="dxa"/>
            <w:vAlign w:val="bottom"/>
          </w:tcPr>
          <w:p>
            <w:pPr>
              <w:ind w:left="260"/>
              <w:spacing w:after="0"/>
              <w:rPr>
                <w:sz w:val="20"/>
                <w:szCs w:val="20"/>
                <w:color w:val="auto"/>
              </w:rPr>
            </w:pPr>
            <w:r>
              <w:rPr>
                <w:rFonts w:ascii="Arial" w:cs="Arial" w:eastAsia="Arial" w:hAnsi="Arial"/>
                <w:sz w:val="14"/>
                <w:szCs w:val="14"/>
                <w:color w:val="auto"/>
              </w:rPr>
              <w:t>obligations</w:t>
            </w: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00" w:type="dxa"/>
            <w:vAlign w:val="bottom"/>
            <w:shd w:val="clear" w:color="auto" w:fill="C0C0C0"/>
          </w:tcPr>
          <w:p>
            <w:pPr>
              <w:spacing w:after="0"/>
              <w:rPr>
                <w:sz w:val="20"/>
                <w:szCs w:val="20"/>
                <w:color w:val="auto"/>
              </w:rPr>
            </w:pPr>
            <w:r>
              <w:rPr>
                <w:rFonts w:ascii="Arial" w:cs="Arial" w:eastAsia="Arial" w:hAnsi="Arial"/>
                <w:sz w:val="14"/>
                <w:szCs w:val="14"/>
                <w:color w:val="auto"/>
              </w:rPr>
              <w:t>Mortgage-backed securities</w:t>
            </w:r>
          </w:p>
        </w:tc>
        <w:tc>
          <w:tcPr>
            <w:tcW w:w="26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1.1</w:t>
            </w:r>
          </w:p>
        </w:tc>
        <w:tc>
          <w:tcPr>
            <w:tcW w:w="4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260"/>
              <w:spacing w:after="0"/>
              <w:rPr>
                <w:sz w:val="20"/>
                <w:szCs w:val="20"/>
                <w:color w:val="auto"/>
              </w:rPr>
            </w:pPr>
            <w:r>
              <w:rPr>
                <w:rFonts w:ascii="Arial" w:cs="Arial" w:eastAsia="Arial" w:hAnsi="Arial"/>
                <w:sz w:val="14"/>
                <w:szCs w:val="14"/>
                <w:color w:val="auto"/>
              </w:rPr>
              <w:t>Total unrestricted marketable securities</w:t>
            </w:r>
          </w:p>
        </w:tc>
        <w:tc>
          <w:tcPr>
            <w:tcW w:w="2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00" w:type="dxa"/>
            <w:vAlign w:val="bottom"/>
            <w:vMerge w:val="continue"/>
          </w:tcPr>
          <w:p>
            <w:pPr>
              <w:spacing w:after="0"/>
              <w:rPr>
                <w:sz w:val="15"/>
                <w:szCs w:val="15"/>
                <w:color w:val="auto"/>
              </w:rPr>
            </w:pPr>
          </w:p>
        </w:tc>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306.6</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506.8</w:t>
            </w:r>
          </w:p>
        </w:tc>
        <w:tc>
          <w:tcPr>
            <w:tcW w:w="48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Restricted</w:t>
            </w:r>
          </w:p>
        </w:tc>
        <w:tc>
          <w:tcPr>
            <w:tcW w:w="26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20"/>
                <w:szCs w:val="20"/>
                <w:color w:val="auto"/>
              </w:rPr>
            </w:pPr>
            <w:r>
              <w:rPr>
                <w:rFonts w:ascii="Arial" w:cs="Arial" w:eastAsia="Arial" w:hAnsi="Arial"/>
                <w:sz w:val="14"/>
                <w:szCs w:val="14"/>
                <w:color w:val="auto"/>
              </w:rPr>
              <w:t>U.S. government agency securities</w:t>
            </w: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7.1</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700" w:type="dxa"/>
            <w:vAlign w:val="bottom"/>
            <w:shd w:val="clear" w:color="auto" w:fill="C0C0C0"/>
          </w:tcPr>
          <w:p>
            <w:pPr>
              <w:ind w:left="260"/>
              <w:spacing w:after="0"/>
              <w:rPr>
                <w:sz w:val="20"/>
                <w:szCs w:val="20"/>
                <w:color w:val="auto"/>
              </w:rPr>
            </w:pPr>
            <w:r>
              <w:rPr>
                <w:rFonts w:ascii="Arial" w:cs="Arial" w:eastAsia="Arial" w:hAnsi="Arial"/>
                <w:sz w:val="14"/>
                <w:szCs w:val="14"/>
                <w:color w:val="auto"/>
              </w:rPr>
              <w:t>Total marketable securities</w:t>
            </w:r>
          </w:p>
        </w:tc>
        <w:tc>
          <w:tcPr>
            <w:tcW w:w="2680" w:type="dxa"/>
            <w:vAlign w:val="bottom"/>
            <w:shd w:val="clear" w:color="auto" w:fill="C0C0C0"/>
          </w:tcPr>
          <w:p>
            <w:pPr>
              <w:spacing w:after="0"/>
              <w:rPr>
                <w:sz w:val="17"/>
                <w:szCs w:val="17"/>
                <w:color w:val="auto"/>
              </w:rPr>
            </w:pPr>
          </w:p>
        </w:tc>
        <w:tc>
          <w:tcPr>
            <w:tcW w:w="200" w:type="dxa"/>
            <w:vAlign w:val="bottom"/>
            <w:shd w:val="clear" w:color="auto" w:fill="C0C0C0"/>
          </w:tcPr>
          <w:p>
            <w:pPr>
              <w:jc w:val="right"/>
              <w:ind w:right="4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314.7</w:t>
            </w: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513.9</w:t>
            </w: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
        </w:trPr>
        <w:tc>
          <w:tcPr>
            <w:tcW w:w="5700" w:type="dxa"/>
            <w:vAlign w:val="bottom"/>
            <w:shd w:val="clear" w:color="auto" w:fill="C0C0C0"/>
          </w:tcPr>
          <w:p>
            <w:pPr>
              <w:spacing w:after="0" w:line="20" w:lineRule="exact"/>
              <w:rPr>
                <w:sz w:val="1"/>
                <w:szCs w:val="1"/>
                <w:color w:val="auto"/>
              </w:rPr>
            </w:pPr>
          </w:p>
        </w:tc>
        <w:tc>
          <w:tcPr>
            <w:tcW w:w="26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4"/>
          <w:szCs w:val="14"/>
          <w:color w:val="auto"/>
        </w:rPr>
        <w:t>In addition, at June 30, 2011 and December 31, 2010, we had $254.4 million and $113.0 million, respectively, of cash, cash equivalents, and restricted cash, primarily held in money market funds that invest in U.S. government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Expenditures</w:t>
      </w:r>
    </w:p>
    <w:p>
      <w:pPr>
        <w:spacing w:after="0" w:line="234" w:lineRule="exact"/>
        <w:rPr>
          <w:sz w:val="20"/>
          <w:szCs w:val="20"/>
          <w:color w:val="auto"/>
        </w:rPr>
      </w:pPr>
    </w:p>
    <w:p>
      <w:pPr>
        <w:jc w:val="both"/>
        <w:ind w:firstLine="274"/>
        <w:spacing w:after="0" w:line="307" w:lineRule="auto"/>
        <w:rPr>
          <w:sz w:val="20"/>
          <w:szCs w:val="20"/>
          <w:color w:val="auto"/>
        </w:rPr>
      </w:pPr>
      <w:r>
        <w:rPr>
          <w:rFonts w:ascii="Arial" w:cs="Arial" w:eastAsia="Arial" w:hAnsi="Arial"/>
          <w:sz w:val="13"/>
          <w:szCs w:val="13"/>
          <w:color w:val="auto"/>
        </w:rPr>
        <w:t>Our cash expenditures for property, plant, and equipment totaled $37.0 million and $45.3 million for the first six months of 2011 and 2010, respectively. In February 2010, we received $47.5 million from our landlord in connection with tenant improvement costs in Tarrytown. In addition, Sanofi has funded $2.1 million and $13.8 million, respectively, of agreed-upon capital expenditures incurred by us during the first half of 2011 and 2010 to expand our manufacturing capacity at our Rensselaer facilities, which was either received or receivable at June 30, 2011 and 2010.</w:t>
      </w:r>
    </w:p>
    <w:p>
      <w:pPr>
        <w:spacing w:after="0" w:line="172" w:lineRule="exact"/>
        <w:rPr>
          <w:sz w:val="20"/>
          <w:szCs w:val="20"/>
          <w:color w:val="auto"/>
        </w:rPr>
      </w:pPr>
    </w:p>
    <w:p>
      <w:pPr>
        <w:jc w:val="both"/>
        <w:ind w:firstLine="263"/>
        <w:spacing w:after="0" w:line="276" w:lineRule="auto"/>
        <w:rPr>
          <w:sz w:val="20"/>
          <w:szCs w:val="20"/>
          <w:color w:val="auto"/>
        </w:rPr>
      </w:pPr>
      <w:r>
        <w:rPr>
          <w:rFonts w:ascii="Arial" w:cs="Arial" w:eastAsia="Arial" w:hAnsi="Arial"/>
          <w:sz w:val="14"/>
          <w:szCs w:val="14"/>
          <w:color w:val="auto"/>
        </w:rPr>
        <w:t>We expect to incur capital expenditures of approximately $35 to $55 million during the remainder of 2011 primarily in connection with tenant improvements at our leased Tarrytown facilities, capital improvements at our Rensselaer, New York manufacturing facilities, and purchases of equipment. We expect to be reimbursed for a portion of these capital expenditures for our Rensselaer facilities by Sanofi, with the remaining amount to be funded by our existing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234" w:lineRule="exact"/>
        <w:rPr>
          <w:sz w:val="20"/>
          <w:szCs w:val="20"/>
          <w:color w:val="auto"/>
        </w:rPr>
      </w:pPr>
    </w:p>
    <w:p>
      <w:pPr>
        <w:jc w:val="both"/>
        <w:ind w:firstLine="241"/>
        <w:spacing w:after="0" w:line="227" w:lineRule="auto"/>
        <w:rPr>
          <w:sz w:val="20"/>
          <w:szCs w:val="20"/>
          <w:color w:val="auto"/>
        </w:rPr>
      </w:pPr>
      <w:r>
        <w:rPr>
          <w:rFonts w:ascii="Arial" w:cs="Arial" w:eastAsia="Arial" w:hAnsi="Arial"/>
          <w:sz w:val="14"/>
          <w:szCs w:val="14"/>
          <w:color w:val="auto"/>
        </w:rPr>
        <w:t>We expect to continue to incur substantial funding requirements for research and development activities (including preclinical and clinical testing). As described above, expenses that we incur in connection with our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antibodies collaborations are, generally, fully funded by Sanofi. In addition, as described above, we and Bayer HealthCare share agreed-upon development expenses that both companies incur in connection with our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collaboration. After taking into account anticipated reimbursements from our collaborators, we currently estimate that approximately 30-40% of our funding requirements for 2011 will be directed toward technology development, basic research and early preclinical activities, and the preclinical and clinical development of our product candidates (principally,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EYLEA</w:t>
      </w:r>
      <w:r>
        <w:rPr>
          <w:rFonts w:ascii="Arial" w:cs="Arial" w:eastAsia="Arial" w:hAnsi="Arial"/>
          <w:sz w:val="19"/>
          <w:szCs w:val="19"/>
          <w:color w:val="auto"/>
          <w:vertAlign w:val="superscript"/>
        </w:rPr>
        <w:t>TM</w:t>
      </w:r>
      <w:r>
        <w:rPr>
          <w:rFonts w:ascii="Arial" w:cs="Arial" w:eastAsia="Arial" w:hAnsi="Arial"/>
          <w:sz w:val="14"/>
          <w:szCs w:val="14"/>
          <w:color w:val="auto"/>
        </w:rPr>
        <w:t>). For 2011, we also currently estimate that approximately 15-25% of our funding requirements will be directed toward the planned commercialization of our late-stage product candidates; approximately 20-30% of our funding requirements will be applied to capital expenditures (as described above); and the remainder of our funding requirements will be used for general corporate purposes.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41" w:name="page42"/>
    <w:bookmarkEnd w:id="41"/>
    <w:p>
      <w:pPr>
        <w:jc w:val="both"/>
        <w:ind w:firstLine="263"/>
        <w:spacing w:after="0" w:line="279" w:lineRule="auto"/>
        <w:rPr>
          <w:sz w:val="20"/>
          <w:szCs w:val="20"/>
          <w:color w:val="auto"/>
        </w:rPr>
      </w:pPr>
      <w:r>
        <w:rPr>
          <w:rFonts w:ascii="Arial" w:cs="Arial" w:eastAsia="Arial" w:hAnsi="Arial"/>
          <w:sz w:val="13"/>
          <w:szCs w:val="13"/>
          <w:color w:val="auto"/>
        </w:rPr>
        <w:t>The amount we need to fund operations will depend on various factors, including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whether or not our late-stage product candidates receive regulatory approval, the market potential for such product candidates, and the commercialization terms of our collaboration agreements, if applicable (whereby some or all commercialization costs may be shared with our collaborators). Currently, we are required to pay royalties on product sales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CAPS. In the future, if we are able to successfully develop, market, and sell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other indications or certain of our product candidates, we may be required to pay royalties or share the profits from such sales pursuant to our license or collaboration agreements.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expect that expenses related to the filing, prosecution, defense, and enforcement of patents and other intellectual property will continue to be substantial.</w:t>
      </w:r>
    </w:p>
    <w:p>
      <w:pPr>
        <w:spacing w:after="0" w:line="234" w:lineRule="exact"/>
        <w:rPr>
          <w:sz w:val="20"/>
          <w:szCs w:val="20"/>
          <w:color w:val="auto"/>
        </w:rPr>
      </w:pPr>
    </w:p>
    <w:p>
      <w:pPr>
        <w:jc w:val="both"/>
        <w:ind w:firstLine="285"/>
        <w:spacing w:after="0" w:line="291" w:lineRule="auto"/>
        <w:rPr>
          <w:sz w:val="20"/>
          <w:szCs w:val="20"/>
          <w:color w:val="auto"/>
        </w:rPr>
      </w:pPr>
      <w:r>
        <w:rPr>
          <w:rFonts w:ascii="Arial" w:cs="Arial" w:eastAsia="Arial" w:hAnsi="Arial"/>
          <w:sz w:val="13"/>
          <w:szCs w:val="13"/>
          <w:color w:val="auto"/>
        </w:rPr>
        <w:t>We believe that our existing capital resources, including funding we are entitled to receive under our collaboration agreements, will enable us to meet operating needs through at least 2013. However, this is a forward-looking statement based on our current operating plan, and there may be a change in projected revenues or expenses that would lead to our capital being consumed significantly before such time. For example, in connection with preparing to commercialize and launch potential products that are not licensed to a third party, we could incur substantial pre-marketing and commercialization expenses that could lead us to consume our cash at a faster rate. If there is insufficient capital to fund all of our planned operations and activities, we anticipate that we would (i) seek sources of additional capital through collaborative arrangements and/or additional public or private financing, including debt and equity financing and/or (ii) prioritize available capital to fund selected preclinical and clinical development programs and/or preparations for the potential commercialization of our late-stage product candidates, or license selected products.</w:t>
      </w:r>
    </w:p>
    <w:p>
      <w:pPr>
        <w:spacing w:after="0" w:line="185" w:lineRule="exact"/>
        <w:rPr>
          <w:sz w:val="20"/>
          <w:szCs w:val="20"/>
          <w:color w:val="auto"/>
        </w:rPr>
      </w:pPr>
    </w:p>
    <w:p>
      <w:pPr>
        <w:jc w:val="both"/>
        <w:ind w:firstLine="252"/>
        <w:spacing w:after="0" w:line="265" w:lineRule="auto"/>
        <w:rPr>
          <w:sz w:val="20"/>
          <w:szCs w:val="20"/>
          <w:color w:val="auto"/>
        </w:rPr>
      </w:pPr>
      <w:r>
        <w:rPr>
          <w:rFonts w:ascii="Arial" w:cs="Arial" w:eastAsia="Arial" w:hAnsi="Arial"/>
          <w:sz w:val="14"/>
          <w:szCs w:val="14"/>
          <w:color w:val="auto"/>
        </w:rPr>
        <w:t>Other than letters of credit totaling $4.2 million, including a $3.4 million letter of credit issued in connection with our lease for facilities in Tarrytown, New York, we have no off-balance sheet arrangements. In addition, we do not guarantee the obligations of any other entity. As of June 30, 2011, we had no other established banking arrangements through which we could obtain short-term financing or a line of credit.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registration statement; however, there is no assurance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additional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Impact of Recently Issued Accounting Standards</w:t>
      </w:r>
    </w:p>
    <w:p>
      <w:pPr>
        <w:spacing w:after="0" w:line="238" w:lineRule="exact"/>
        <w:rPr>
          <w:sz w:val="20"/>
          <w:szCs w:val="20"/>
          <w:color w:val="auto"/>
        </w:rPr>
      </w:pPr>
    </w:p>
    <w:p>
      <w:pPr>
        <w:jc w:val="both"/>
        <w:ind w:firstLine="241"/>
        <w:spacing w:after="0" w:line="242" w:lineRule="auto"/>
        <w:rPr>
          <w:sz w:val="20"/>
          <w:szCs w:val="20"/>
          <w:color w:val="auto"/>
        </w:rPr>
      </w:pPr>
      <w:r>
        <w:rPr>
          <w:rFonts w:ascii="Arial" w:cs="Arial" w:eastAsia="Arial" w:hAnsi="Arial"/>
          <w:sz w:val="14"/>
          <w:szCs w:val="14"/>
          <w:color w:val="auto"/>
        </w:rPr>
        <w:t>In December 2010, the FASB provided authoritative guidance on how pharmaceutical manufacturers should recognize and classify in their income statement annual fees mandated by the Patient Protection and Affordable Care Act (PPACA) as amended by the Health Care and Education Reconciliation Act. This guidance became effective for calendar years beginning after December 31, 2010. The adoption of this guidance did not have an impact on our financial statements as the fee does not currently apply to us. Our one marketed product,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has been approved as an orphan drug and orphan drugs are not subject to this annual fee.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2" w:name="page43"/>
    <w:bookmarkEnd w:id="42"/>
    <w:p>
      <w:pPr>
        <w:jc w:val="both"/>
        <w:ind w:firstLine="351"/>
        <w:spacing w:after="0" w:line="267" w:lineRule="auto"/>
        <w:rPr>
          <w:sz w:val="20"/>
          <w:szCs w:val="20"/>
          <w:color w:val="auto"/>
        </w:rPr>
      </w:pPr>
      <w:r>
        <w:rPr>
          <w:rFonts w:ascii="Arial" w:cs="Arial" w:eastAsia="Arial" w:hAnsi="Arial"/>
          <w:sz w:val="14"/>
          <w:szCs w:val="14"/>
          <w:color w:val="auto"/>
        </w:rPr>
        <w:t>In June 2011, the FASB amended its authoritative guidance on the presentation of comprehensive income. Under the amendment, an entity will have the option to present the total of comprehensive income, the components of net income, and the components of other comprehensive income either in a single continuous statement of comprehensive income or in two separate but consecutive statements. This amendment, therefore, eliminates the currently available option to present the components of other comprehensive income as part of the statement of changes in stockholders' equity. The amendment does not change the items that must be reported in other comprehensive income or when an item of other comprehensive income must be reclassified to net income. We will adopt this amended guidance for the fiscal year beginning January 1, 2012. As this guidance relates to presentation only, the adoption of this guidance will not have any other effect on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234" w:lineRule="exact"/>
        <w:rPr>
          <w:sz w:val="20"/>
          <w:szCs w:val="20"/>
          <w:color w:val="auto"/>
        </w:rPr>
      </w:pPr>
    </w:p>
    <w:p>
      <w:pPr>
        <w:jc w:val="both"/>
        <w:ind w:firstLine="252"/>
        <w:spacing w:after="0" w:line="267" w:lineRule="auto"/>
        <w:rPr>
          <w:sz w:val="20"/>
          <w:szCs w:val="20"/>
          <w:color w:val="auto"/>
        </w:rPr>
      </w:pPr>
      <w:r>
        <w:rPr>
          <w:rFonts w:ascii="Arial" w:cs="Arial" w:eastAsia="Arial" w:hAnsi="Arial"/>
          <w:sz w:val="14"/>
          <w:szCs w:val="14"/>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$1.4 million and $1.2 million decrease in the fair value of our unrestricted investment portfolio at June 30, 2011 and 2010, respectively. The increase in interest rate risk year over year is due primarily to higher balances of marketable debt securities with maturities in excess of one year that we held at June 30, 2011 compared to the same period of 2010.</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Quality Risk</w:t>
      </w:r>
    </w:p>
    <w:p>
      <w:pPr>
        <w:spacing w:after="0" w:line="234" w:lineRule="exact"/>
        <w:rPr>
          <w:sz w:val="20"/>
          <w:szCs w:val="20"/>
          <w:color w:val="auto"/>
        </w:rPr>
      </w:pPr>
    </w:p>
    <w:p>
      <w:pPr>
        <w:jc w:val="both"/>
        <w:ind w:firstLine="307"/>
        <w:spacing w:after="0" w:line="271" w:lineRule="auto"/>
        <w:rPr>
          <w:sz w:val="20"/>
          <w:szCs w:val="20"/>
          <w:color w:val="auto"/>
        </w:rPr>
      </w:pPr>
      <w:r>
        <w:rPr>
          <w:rFonts w:ascii="Arial" w:cs="Arial" w:eastAsia="Arial" w:hAnsi="Arial"/>
          <w:sz w:val="14"/>
          <w:szCs w:val="14"/>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recognized an other-than-temporary impairment charge related to a marketable security of $0.1 million in the first six months of 2010. During the first six months of 2011, we did not recognize any other-than-temporary impairment charges.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38" w:lineRule="exact"/>
        <w:rPr>
          <w:sz w:val="20"/>
          <w:szCs w:val="20"/>
          <w:color w:val="auto"/>
        </w:rPr>
      </w:pPr>
    </w:p>
    <w:p>
      <w:pPr>
        <w:jc w:val="both"/>
        <w:ind w:firstLine="252"/>
        <w:spacing w:after="0" w:line="294" w:lineRule="auto"/>
        <w:rPr>
          <w:sz w:val="20"/>
          <w:szCs w:val="20"/>
          <w:color w:val="auto"/>
        </w:rPr>
      </w:pPr>
      <w:r>
        <w:rPr>
          <w:rFonts w:ascii="Arial" w:cs="Arial" w:eastAsia="Arial" w:hAnsi="Arial"/>
          <w:sz w:val="13"/>
          <w:szCs w:val="13"/>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There has been no change in our internal control over financial reporting (as such term is defined in Rules 13a-15(f) and 15d-15(f) under the Exchange Act) during the quarter ended June 30, 2011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38"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180" w:lineRule="exact"/>
        <w:rPr>
          <w:sz w:val="20"/>
          <w:szCs w:val="20"/>
          <w:color w:val="auto"/>
        </w:rPr>
      </w:pPr>
    </w:p>
    <w:p>
      <w:pPr>
        <w:jc w:val="both"/>
        <w:ind w:firstLine="252"/>
        <w:spacing w:after="0" w:line="278" w:lineRule="auto"/>
        <w:rPr>
          <w:sz w:val="20"/>
          <w:szCs w:val="20"/>
          <w:color w:val="auto"/>
        </w:rPr>
      </w:pPr>
      <w:r>
        <w:rPr>
          <w:rFonts w:ascii="Arial" w:cs="Arial" w:eastAsia="Arial" w:hAnsi="Arial"/>
          <w:sz w:val="13"/>
          <w:szCs w:val="13"/>
          <w:color w:val="auto"/>
        </w:rPr>
        <w:t>As previously reported, on November 19, 2010, we filed a complaint against Genentech in the U.S. District Court for the Southern District of New York seeking a declaratory judgment that no activities relating to our VEGF Trap (aflibercept) infringe any valid claim of certain Genentech patents referred to as the Davis-Smyth patents. On January 12, 2011, Genentech filed a motion to dismiss the complaint, arguing that the lawsuit was premature and thus the Court lacked subject matter jurisdiction. Upon our submission to the FDA of a BLA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(aflibercept injection) for the treatment of wet AMD, we filed a second complaint against Genentech in the same court seeking the same declaratory relief. On April 7, 2011, we and Genentech entered into a Joint Stipulation, which was approved and executed by the Court on April 11, 2011. Pursuant to the Joint Stipulation, we voluntarily dismissed our original complaint in favor of proceeding with our second complaint, and Genentech agreed that it would not seek to transfer the case to another judicial district or move to dismiss the second complaint for lack of subject matter jurisdiction or otherwise under Rule 12(b) of the Federal Rules of Civil Procedure. On April 25, 2011, Genentech filed an answer to the second complaint, denying that we are entitled to the declaratory relief being sought by us, and asserting counterclaims that our prior or planned activities relating to VEGF Trap have infringed or will infringe one or more claims of the Davis-Smyth patents. In its answer, Genentech requests a judgment against us for damages, including for willful infringement, and other relief as the Court deems appropriate. On May 11, 2011, Genentech filed an amended answer and counterclaim, again denying that we are entitled to the declaratory relief being sought by us, and asserting counterclaims that our prior or planned activities relating to VEGF Trap have infringed or will infringe claims of four of the five Davis-Smyth patents. In its amended answer and counterclaim, Genentech requests a judgment against us for damages, including for willful infringement, and other relief as the Court deems appropriate. On May 25, 2011, we replied to Genentech's amended answer and counterclaim, denying Genentech's counterclaims, and denying that any of our prior or planned activities relating to VEGF Trap infringe any valid claim of the Davis-Smyth patents. We believe Genentech's counterclaims are without merit and intend to continue to defend against them vigorously.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have initiated patent-related actions against Genentech in Germany and the United Kingdom, and may initiate other actions in other countries outside the U.S.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3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4"/>
          <w:szCs w:val="14"/>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operations. Furthermore, additional risks and uncertainties are described under other captions in this report and should also be considered by our investors.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Results and Need for Additional Financing</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 have had a history of operating losses and we may never achieve profitability. If we continue to incur operating losses, we may be unable to continue our operations.</w:t>
      </w:r>
    </w:p>
    <w:p>
      <w:pPr>
        <w:spacing w:after="0" w:line="234" w:lineRule="exact"/>
        <w:rPr>
          <w:sz w:val="20"/>
          <w:szCs w:val="20"/>
          <w:color w:val="auto"/>
        </w:rPr>
      </w:pPr>
    </w:p>
    <w:p>
      <w:pPr>
        <w:jc w:val="both"/>
        <w:ind w:firstLine="241"/>
        <w:spacing w:after="0" w:line="276" w:lineRule="auto"/>
        <w:rPr>
          <w:sz w:val="20"/>
          <w:szCs w:val="20"/>
          <w:color w:val="auto"/>
        </w:rPr>
      </w:pPr>
      <w:r>
        <w:rPr>
          <w:rFonts w:ascii="Arial" w:cs="Arial" w:eastAsia="Arial" w:hAnsi="Arial"/>
          <w:sz w:val="14"/>
          <w:szCs w:val="14"/>
          <w:color w:val="auto"/>
        </w:rPr>
        <w:t>From inception on January 8, 1988 through June 30, 2011, we had a cumulative loss of $1.2 billion.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44" w:name="page45"/>
    <w:bookmarkEnd w:id="44"/>
    <w:p>
      <w:pPr>
        <w:ind w:left="140"/>
        <w:spacing w:after="0" w:line="291" w:lineRule="auto"/>
        <w:rPr>
          <w:sz w:val="20"/>
          <w:szCs w:val="20"/>
          <w:color w:val="auto"/>
        </w:rPr>
      </w:pPr>
      <w:r>
        <w:rPr>
          <w:rFonts w:ascii="Arial" w:cs="Arial" w:eastAsia="Arial" w:hAnsi="Arial"/>
          <w:sz w:val="14"/>
          <w:szCs w:val="14"/>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80" w:lineRule="exact"/>
        <w:rPr>
          <w:sz w:val="20"/>
          <w:szCs w:val="20"/>
          <w:color w:val="auto"/>
        </w:rPr>
      </w:pPr>
    </w:p>
    <w:p>
      <w:pPr>
        <w:jc w:val="both"/>
        <w:ind w:firstLine="219"/>
        <w:spacing w:after="0" w:line="304" w:lineRule="auto"/>
        <w:rPr>
          <w:sz w:val="20"/>
          <w:szCs w:val="20"/>
          <w:color w:val="auto"/>
        </w:rPr>
      </w:pPr>
      <w:r>
        <w:rPr>
          <w:rFonts w:ascii="Arial" w:cs="Arial" w:eastAsia="Arial" w:hAnsi="Arial"/>
          <w:sz w:val="12"/>
          <w:szCs w:val="12"/>
          <w:color w:val="auto"/>
        </w:rPr>
        <w:t>We will need to expend substantial resources for research and development, including costs associated with clinical testing of our product candidates, and to prepare for potential commercialization of our late-stage product candidates and, if one or more of those product candidates receive(s) regulatory approval, to fund the launch of those product(s). We believe our existing capital resources, together with funding we are entitled to receive under our collaboration agreements, will enable us to meet operating needs through at least 2013; however, one or more of our collaboration agreements may terminate, our projected revenue may decrease, or our expenses may increase, which could result in our capital being consumed significantly before that time. Our expenses may increase for many reasons, including expenses in connection with the potential commercial launch of our late-stage product candidates, expenses related to clinical trials testing ARCALYST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or EYLEA</w:t>
      </w:r>
      <w:r>
        <w:rPr>
          <w:rFonts w:ascii="Arial" w:cs="Arial" w:eastAsia="Arial" w:hAnsi="Arial"/>
          <w:sz w:val="16"/>
          <w:szCs w:val="16"/>
          <w:color w:val="auto"/>
          <w:vertAlign w:val="superscript"/>
        </w:rPr>
        <w:t>TM</w:t>
      </w:r>
      <w:r>
        <w:rPr>
          <w:rFonts w:ascii="Arial" w:cs="Arial" w:eastAsia="Arial" w:hAnsi="Arial"/>
          <w:sz w:val="12"/>
          <w:szCs w:val="12"/>
          <w:color w:val="auto"/>
        </w:rPr>
        <w:t>, and expenses related to the potential requirement for us to fund 20% of Phase 3 clinical trial costs for any of our antibody product candidates pursuant to the terms of our collaboration with Sanofi.</w:t>
      </w:r>
    </w:p>
    <w:p>
      <w:pPr>
        <w:spacing w:after="0" w:line="166" w:lineRule="exact"/>
        <w:rPr>
          <w:sz w:val="20"/>
          <w:szCs w:val="20"/>
          <w:color w:val="auto"/>
        </w:rPr>
      </w:pPr>
    </w:p>
    <w:p>
      <w:pPr>
        <w:jc w:val="both"/>
        <w:ind w:firstLine="274"/>
        <w:spacing w:after="0" w:line="289" w:lineRule="auto"/>
        <w:rPr>
          <w:sz w:val="20"/>
          <w:szCs w:val="20"/>
          <w:color w:val="auto"/>
        </w:rPr>
      </w:pPr>
      <w:r>
        <w:rPr>
          <w:rFonts w:ascii="Arial" w:cs="Arial" w:eastAsia="Arial" w:hAnsi="Arial"/>
          <w:sz w:val="13"/>
          <w:szCs w:val="13"/>
          <w:color w:val="auto"/>
        </w:rPr>
        <w:t>We may require additional financing in the future and we may not be able to raise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registration statement; however, there is no assurance that we will be able to complete any additional offerings of securities. Should we require and be unable to raise sufficient funds to complete the development of our product candidates and also to successfully commercialize our late-stage product candidates if they obtain regulatory approval, we may face delay, reduction, or elimination of our research and development or preclinical or clinical programs. Even if we obtain regulatory approval for our product candidates, they may never be successfully launched or become profitable, in which case our business, financial condition, or results of operations may be materially harmed.</w:t>
      </w:r>
    </w:p>
    <w:p>
      <w:pPr>
        <w:spacing w:after="0" w:line="161" w:lineRule="exact"/>
        <w:rPr>
          <w:sz w:val="20"/>
          <w:szCs w:val="20"/>
          <w:color w:val="auto"/>
        </w:rPr>
      </w:pPr>
    </w:p>
    <w:p>
      <w:pPr>
        <w:ind w:left="140"/>
        <w:spacing w:after="0" w:line="380" w:lineRule="auto"/>
        <w:rPr>
          <w:sz w:val="20"/>
          <w:szCs w:val="20"/>
          <w:color w:val="auto"/>
        </w:rPr>
      </w:pPr>
      <w:r>
        <w:rPr>
          <w:rFonts w:ascii="Arial" w:cs="Arial" w:eastAsia="Arial" w:hAnsi="Arial"/>
          <w:sz w:val="12"/>
          <w:szCs w:val="12"/>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133" w:lineRule="exact"/>
        <w:rPr>
          <w:sz w:val="20"/>
          <w:szCs w:val="20"/>
          <w:color w:val="auto"/>
        </w:rPr>
      </w:pPr>
    </w:p>
    <w:p>
      <w:pPr>
        <w:jc w:val="both"/>
        <w:ind w:firstLine="230"/>
        <w:spacing w:after="0" w:line="265" w:lineRule="auto"/>
        <w:rPr>
          <w:sz w:val="20"/>
          <w:szCs w:val="20"/>
          <w:color w:val="auto"/>
        </w:rPr>
      </w:pPr>
      <w:r>
        <w:rPr>
          <w:rFonts w:ascii="Arial" w:cs="Arial" w:eastAsia="Arial" w:hAnsi="Arial"/>
          <w:sz w:val="14"/>
          <w:szCs w:val="14"/>
          <w:color w:val="auto"/>
        </w:rPr>
        <w:t>As of June 30, 2011, our cash, cash equivalents, and marketable securities totaled $569.1 million (including $8.2 million of restricted cash and marketable securities). We have invested our excess cash primarily in direct obligations of the U.S. government and its agencies, other debt securities guaranteed by the U.S. government, and money market funds that invest in U.S. government securities. We consider assets classified as marketable securities to be “available-for-sale,” as defined by FASB authoritative guidance. Marketable securities totaled $306.6 million at June 30, 2011,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The current economic environment and the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Development and Approval of Our Product Candidates</w:t>
      </w:r>
    </w:p>
    <w:p>
      <w:pPr>
        <w:spacing w:after="0" w:line="214" w:lineRule="exact"/>
        <w:rPr>
          <w:sz w:val="20"/>
          <w:szCs w:val="20"/>
          <w:color w:val="auto"/>
        </w:rPr>
      </w:pPr>
    </w:p>
    <w:p>
      <w:pPr>
        <w:jc w:val="both"/>
        <w:ind w:left="140"/>
        <w:spacing w:after="0" w:line="247" w:lineRule="auto"/>
        <w:rPr>
          <w:sz w:val="20"/>
          <w:szCs w:val="20"/>
          <w:color w:val="auto"/>
        </w:rPr>
      </w:pPr>
      <w:r>
        <w:rPr>
          <w:rFonts w:ascii="Arial" w:cs="Arial" w:eastAsia="Arial" w:hAnsi="Arial"/>
          <w:sz w:val="14"/>
          <w:szCs w:val="14"/>
          <w:b w:val="1"/>
          <w:bCs w:val="1"/>
          <w:i w:val="1"/>
          <w:iCs w:val="1"/>
          <w:color w:val="auto"/>
        </w:rPr>
        <w:t>We believe that a significant portion of the value attributed to our company by investors is based on the commercial potential of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for the treatment of wet AMD and other ophthalmologic diseases, which has not yet been approved by the FDA or by regulatory authorities in countries outside the U.S. If there are material delays in obtaining marketing approval for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or such approval is not obtained, our business, results of operations, and financial condition will be materially harmed.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45" w:name="page46"/>
    <w:bookmarkEnd w:id="45"/>
    <w:p>
      <w:pPr>
        <w:jc w:val="both"/>
        <w:ind w:firstLine="329"/>
        <w:spacing w:after="0" w:line="232" w:lineRule="auto"/>
        <w:rPr>
          <w:sz w:val="20"/>
          <w:szCs w:val="20"/>
          <w:color w:val="auto"/>
        </w:rPr>
      </w:pPr>
      <w:r>
        <w:rPr>
          <w:rFonts w:ascii="Arial" w:cs="Arial" w:eastAsia="Arial" w:hAnsi="Arial"/>
          <w:sz w:val="14"/>
          <w:szCs w:val="14"/>
          <w:color w:val="auto"/>
        </w:rPr>
        <w:t>The FDA has substantial discretion in deciding whether or not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should be granted approval in the U.S. based on the benefits and risks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treating the particular ophthalmologic diseases in which it is being studied in clinical trials. In February 2011, we submitted a BLA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to the FDA. In April 2011, the FDA accepted the BLA for filing and granted our request for Priority Review. Under Priority Review, the target date for an FDA decision on the BLA is August 20, 2011. However, the FDA is not under any legal obligation to complete its review of the BLA or to render a decision within this timeframe, and it is not unusual for the FDA’s review of and/or rendering a decision with respect to a BLA that has been granted Priority Review to extend beyond the initial target date. For instance, the FDA may request additional clinical or other data or information, including by issuing a complete response letter which may require that we submit additional clinical or other data or impose other conditions that must be met in order to secure final approval of our BLA. Even if such data and information are submitted, the FDA may ultimately decide that the BLA does not satisfy the criteria for approval. The granting of Priority Review designation for our BLA does not change the standards for approval and does not ensure that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will be approved. In June 2011, the Dermatologic and Ophthalmic Drugs Advisory Committee of the FDA voted unanimously to recommend that the FDA approve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at a dose of 2 milligrams every eight weeks following three initial doses given every four weeks. The FDA will consider the committee's recommendation in its review of our BLA, but it is not bound by the committee's recommendation and there can be no assurance that the FDA will follow the committee's recommendation.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Whether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is approved by the FDA for the treatment of wet AMD, and the timing thereof, will depend on many factors, including the following:</w:t>
      </w:r>
    </w:p>
    <w:p>
      <w:pPr>
        <w:spacing w:after="0" w:line="101" w:lineRule="exact"/>
        <w:rPr>
          <w:sz w:val="20"/>
          <w:szCs w:val="20"/>
          <w:color w:val="auto"/>
        </w:rPr>
      </w:pPr>
    </w:p>
    <w:p>
      <w:pPr>
        <w:ind w:left="440"/>
        <w:spacing w:after="0" w:line="265" w:lineRule="auto"/>
        <w:rPr>
          <w:sz w:val="20"/>
          <w:szCs w:val="20"/>
          <w:color w:val="auto"/>
        </w:rPr>
      </w:pPr>
      <w:r>
        <w:rPr>
          <w:rFonts w:ascii="Arial" w:cs="Arial" w:eastAsia="Arial" w:hAnsi="Arial"/>
          <w:sz w:val="14"/>
          <w:szCs w:val="14"/>
          <w:color w:val="auto"/>
        </w:rPr>
        <w:t>whether or not the FDA determines that the evidence gathered in well-controlled clinical trials, other clinical trials and nonclinical studies of EYLEA</w:t>
      </w:r>
      <w:r>
        <w:rPr>
          <w:rFonts w:ascii="Arial" w:cs="Arial" w:eastAsia="Arial" w:hAnsi="Arial"/>
          <w:sz w:val="9"/>
          <w:szCs w:val="9"/>
          <w:color w:val="auto"/>
        </w:rPr>
        <w:t>TM</w:t>
      </w:r>
      <w:r>
        <w:rPr>
          <w:rFonts w:ascii="Arial" w:cs="Arial" w:eastAsia="Arial" w:hAnsi="Arial"/>
          <w:sz w:val="14"/>
          <w:szCs w:val="14"/>
          <w:color w:val="auto"/>
        </w:rPr>
        <w:t xml:space="preserve"> demonstrates that it is safe and effective as a treatment for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61" w:lineRule="auto"/>
        <w:rPr>
          <w:sz w:val="20"/>
          <w:szCs w:val="20"/>
          <w:color w:val="auto"/>
        </w:rPr>
      </w:pPr>
      <w:r>
        <w:rPr>
          <w:rFonts w:ascii="Arial" w:cs="Arial" w:eastAsia="Arial" w:hAnsi="Arial"/>
          <w:sz w:val="14"/>
          <w:szCs w:val="14"/>
          <w:color w:val="auto"/>
        </w:rPr>
        <w:t>whether or not the FDA is satisfied that the manufacturing facilities, processes, and controls for EYLEA</w:t>
      </w:r>
      <w:r>
        <w:rPr>
          <w:rFonts w:ascii="Arial" w:cs="Arial" w:eastAsia="Arial" w:hAnsi="Arial"/>
          <w:sz w:val="9"/>
          <w:szCs w:val="9"/>
          <w:color w:val="auto"/>
        </w:rPr>
        <w:t>TM</w:t>
      </w:r>
      <w:r>
        <w:rPr>
          <w:rFonts w:ascii="Arial" w:cs="Arial" w:eastAsia="Arial" w:hAnsi="Arial"/>
          <w:sz w:val="14"/>
          <w:szCs w:val="14"/>
          <w:color w:val="auto"/>
        </w:rPr>
        <w:t xml:space="preserve"> are adequate, that the labeling is satisfactory, and that plans for post-marketing studies, safety monitoring, and risk evaluation and management are sufficient;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323" w:lineRule="auto"/>
        <w:rPr>
          <w:sz w:val="20"/>
          <w:szCs w:val="20"/>
          <w:color w:val="auto"/>
        </w:rPr>
      </w:pPr>
      <w:r>
        <w:rPr>
          <w:rFonts w:ascii="Arial" w:cs="Arial" w:eastAsia="Arial" w:hAnsi="Arial"/>
          <w:sz w:val="13"/>
          <w:szCs w:val="13"/>
          <w:color w:val="auto"/>
        </w:rPr>
        <w:t>the timing and nature of the FDA's comments and questions, or those of any advisers to the FDA if the FDA seeks external advice, regarding our BLA for EYLEA</w:t>
      </w:r>
      <w:r>
        <w:rPr>
          <w:rFonts w:ascii="Arial" w:cs="Arial" w:eastAsia="Arial" w:hAnsi="Arial"/>
          <w:sz w:val="8"/>
          <w:szCs w:val="8"/>
          <w:color w:val="auto"/>
        </w:rPr>
        <w:t>TM</w:t>
      </w:r>
      <w:r>
        <w:rPr>
          <w:rFonts w:ascii="Arial" w:cs="Arial" w:eastAsia="Arial" w:hAnsi="Arial"/>
          <w:sz w:val="13"/>
          <w:szCs w:val="13"/>
          <w:color w:val="auto"/>
        </w:rPr>
        <w:t xml:space="preserve"> for the treatment of wet AMD, the time required to respond to any such comments and questions and to obtain final labeling, and any other delays that may be associated with the BLA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-224790</wp:posOffset>
            </wp:positionV>
            <wp:extent cx="53340" cy="53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97" w:lineRule="exact"/>
        <w:rPr>
          <w:sz w:val="20"/>
          <w:szCs w:val="20"/>
          <w:color w:val="auto"/>
        </w:rPr>
      </w:pPr>
    </w:p>
    <w:p>
      <w:pPr>
        <w:jc w:val="both"/>
        <w:ind w:firstLine="252"/>
        <w:spacing w:after="0" w:line="239" w:lineRule="auto"/>
        <w:rPr>
          <w:sz w:val="20"/>
          <w:szCs w:val="20"/>
          <w:color w:val="auto"/>
        </w:rPr>
      </w:pPr>
      <w:r>
        <w:rPr>
          <w:rFonts w:ascii="Arial" w:cs="Arial" w:eastAsia="Arial" w:hAnsi="Arial"/>
          <w:sz w:val="14"/>
          <w:szCs w:val="14"/>
          <w:color w:val="auto"/>
        </w:rPr>
        <w:t>In June 2011, Bayer Healthcare submitted regulatory applications for marketing approval of ELYEA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wet AMD in the European Union and Japan. Analogous regulatory authorities in these and other countries outside the U.S. have similar discretion to the FDA as to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those countries.</w:t>
      </w:r>
    </w:p>
    <w:p>
      <w:pPr>
        <w:spacing w:after="0" w:line="135" w:lineRule="exact"/>
        <w:rPr>
          <w:sz w:val="20"/>
          <w:szCs w:val="20"/>
          <w:color w:val="auto"/>
        </w:rPr>
      </w:pPr>
    </w:p>
    <w:p>
      <w:pPr>
        <w:jc w:val="both"/>
        <w:ind w:firstLine="230"/>
        <w:spacing w:after="0" w:line="247" w:lineRule="auto"/>
        <w:rPr>
          <w:sz w:val="20"/>
          <w:szCs w:val="20"/>
          <w:color w:val="auto"/>
        </w:rPr>
      </w:pPr>
      <w:r>
        <w:rPr>
          <w:rFonts w:ascii="Arial" w:cs="Arial" w:eastAsia="Arial" w:hAnsi="Arial"/>
          <w:sz w:val="14"/>
          <w:szCs w:val="14"/>
          <w:color w:val="auto"/>
        </w:rPr>
        <w:t>If we experience material delays in obtaining marketing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wet AMD, we will not receive product revenues during the delay, which would negatively affect our business, results of operations, and financial condition. Such delays may also increase the challenge of competitive products as doctors and patients continue to use existing therapies. If we do not obtain approval to market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wet AMD, or if there are material delays in obtaining such approval, our business and financial position will be materially harmed.</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we do not obtain regulatory approval for our product candidates, we will not be able to market or sell them, which would materially and negatively impact our business and prospects.</w:t>
      </w:r>
    </w:p>
    <w:p>
      <w:pPr>
        <w:spacing w:after="0" w:line="255" w:lineRule="exact"/>
        <w:rPr>
          <w:sz w:val="20"/>
          <w:szCs w:val="20"/>
          <w:color w:val="auto"/>
        </w:rPr>
      </w:pPr>
    </w:p>
    <w:p>
      <w:pPr>
        <w:jc w:val="both"/>
        <w:ind w:firstLine="285"/>
        <w:spacing w:after="0" w:line="214" w:lineRule="auto"/>
        <w:rPr>
          <w:sz w:val="20"/>
          <w:szCs w:val="20"/>
          <w:color w:val="auto"/>
        </w:rPr>
      </w:pPr>
      <w:r>
        <w:rPr>
          <w:rFonts w:ascii="Arial" w:cs="Arial" w:eastAsia="Arial" w:hAnsi="Arial"/>
          <w:sz w:val="14"/>
          <w:szCs w:val="14"/>
          <w:color w:val="auto"/>
        </w:rPr>
        <w:t>We cannot sell or market products without regulatory approval. If we do not obtain and maintain regulatory approval for our product candidates, including ARCALYST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 the treatment of diseases other than CAPS, EYLEA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for the treatment of ophthalmologic diseases, and/or ZALTRAP</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for one or more oncology indications, the value of our company and our results of operations will be materially harmed. As with our BLA for EYLEA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for the treatment of wet AMD, we cannot predict as to whether or when our other product candidates, including ZALTRAP</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for previously treated mCRC, EYLEA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for CRVO and DME, and ARCALYST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 the prevention of gout flares in patients initiating uric acid-lowering therapy, will receive regulatory approval. If we are unable to obtain such approval(s), or if we are materially delayed in doing so, our business and prospects would be materially harmed.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46" w:name="page47"/>
    <w:bookmarkEnd w:id="46"/>
    <w:p>
      <w:pPr>
        <w:ind w:left="140"/>
        <w:spacing w:after="0"/>
        <w:rPr>
          <w:sz w:val="20"/>
          <w:szCs w:val="20"/>
          <w:color w:val="auto"/>
        </w:rPr>
      </w:pPr>
      <w:r>
        <w:rPr>
          <w:rFonts w:ascii="Arial" w:cs="Arial" w:eastAsia="Arial" w:hAnsi="Arial"/>
          <w:sz w:val="14"/>
          <w:szCs w:val="14"/>
          <w:b w:val="1"/>
          <w:bCs w:val="1"/>
          <w:i w:val="1"/>
          <w:iCs w:val="1"/>
          <w:color w:val="auto"/>
        </w:rPr>
        <w:t>Obtaining and maintaining regulatory approval for drug products is costly, time-consuming, and highly uncertain.</w:t>
      </w:r>
    </w:p>
    <w:p>
      <w:pPr>
        <w:spacing w:after="0" w:line="234" w:lineRule="exact"/>
        <w:rPr>
          <w:sz w:val="20"/>
          <w:szCs w:val="20"/>
          <w:color w:val="auto"/>
        </w:rPr>
      </w:pPr>
    </w:p>
    <w:p>
      <w:pPr>
        <w:jc w:val="both"/>
        <w:ind w:firstLine="263"/>
        <w:spacing w:after="0" w:line="243" w:lineRule="auto"/>
        <w:rPr>
          <w:sz w:val="20"/>
          <w:szCs w:val="20"/>
          <w:color w:val="auto"/>
        </w:rPr>
      </w:pPr>
      <w:r>
        <w:rPr>
          <w:rFonts w:ascii="Arial" w:cs="Arial" w:eastAsia="Arial" w:hAnsi="Arial"/>
          <w:sz w:val="14"/>
          <w:szCs w:val="14"/>
          <w:color w:val="auto"/>
        </w:rPr>
        <w:t>In the U.S.,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FDA approval of ARCALYST</w:t>
      </w:r>
      <w:r>
        <w:rPr>
          <w:rFonts w:ascii="Arial" w:cs="Arial" w:eastAsia="Arial" w:hAnsi="Arial"/>
          <w:sz w:val="19"/>
          <w:szCs w:val="19"/>
          <w:color w:val="auto"/>
          <w:vertAlign w:val="superscript"/>
        </w:rPr>
        <w:t>®</w:t>
      </w:r>
      <w:r>
        <w:rPr>
          <w:rFonts w:ascii="Arial" w:cs="Arial" w:eastAsia="Arial" w:hAnsi="Arial"/>
          <w:sz w:val="14"/>
          <w:szCs w:val="14"/>
          <w:color w:val="auto"/>
        </w:rPr>
        <w:t>, and the EMA approval of rilonacept, for the treatment of CAPS, none of our product candidates has ever received regulatory approval to be marketed and sold in the U.S. or any other country. We may never receive regulatory approval for any of our current or future product candidates.</w:t>
      </w:r>
    </w:p>
    <w:p>
      <w:pPr>
        <w:spacing w:after="0" w:line="211" w:lineRule="exact"/>
        <w:rPr>
          <w:sz w:val="20"/>
          <w:szCs w:val="20"/>
          <w:color w:val="auto"/>
        </w:rPr>
      </w:pPr>
    </w:p>
    <w:p>
      <w:pPr>
        <w:jc w:val="both"/>
        <w:ind w:firstLine="263"/>
        <w:spacing w:after="0" w:line="298" w:lineRule="auto"/>
        <w:rPr>
          <w:sz w:val="20"/>
          <w:szCs w:val="20"/>
          <w:color w:val="auto"/>
        </w:rPr>
      </w:pPr>
      <w:r>
        <w:rPr>
          <w:rFonts w:ascii="Arial" w:cs="Arial" w:eastAsia="Arial" w:hAnsi="Arial"/>
          <w:sz w:val="13"/>
          <w:szCs w:val="13"/>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179"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3"/>
          <w:szCs w:val="13"/>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shipment and storage of the product.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85" w:lineRule="exact"/>
        <w:rPr>
          <w:sz w:val="20"/>
          <w:szCs w:val="20"/>
          <w:color w:val="auto"/>
        </w:rPr>
      </w:pPr>
    </w:p>
    <w:p>
      <w:pPr>
        <w:jc w:val="both"/>
        <w:ind w:firstLine="219"/>
        <w:spacing w:after="0" w:line="269" w:lineRule="auto"/>
        <w:rPr>
          <w:sz w:val="20"/>
          <w:szCs w:val="20"/>
          <w:color w:val="auto"/>
        </w:rPr>
      </w:pPr>
      <w:r>
        <w:rPr>
          <w:rFonts w:ascii="Arial" w:cs="Arial" w:eastAsia="Arial" w:hAnsi="Arial"/>
          <w:sz w:val="14"/>
          <w:szCs w:val="14"/>
          <w:color w:val="auto"/>
        </w:rPr>
        <w:t>In addition to the FDA and other regulatory agency regulations in the U.S.,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U.S., we must obtain approval of the product by the comparable regulatory authorities in foreign countries before we can conduct clinical trials of or market that product or any other product in those countries.</w:t>
      </w:r>
    </w:p>
    <w:p>
      <w:pPr>
        <w:spacing w:after="0" w:line="173"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Clinical trials required for our product candidates are expensive and time-consuming, and their outcome is highly uncertain. If any of our drug trials are delayed or yield unfavorable results, regulatory approval for our product candidates may be delayed or become unobtainable.</w:t>
      </w:r>
    </w:p>
    <w:p>
      <w:pPr>
        <w:spacing w:after="0" w:line="180" w:lineRule="exact"/>
        <w:rPr>
          <w:sz w:val="20"/>
          <w:szCs w:val="20"/>
          <w:color w:val="auto"/>
        </w:rPr>
      </w:pPr>
    </w:p>
    <w:p>
      <w:pPr>
        <w:jc w:val="both"/>
        <w:ind w:firstLine="252"/>
        <w:spacing w:after="0" w:line="290" w:lineRule="auto"/>
        <w:rPr>
          <w:sz w:val="20"/>
          <w:szCs w:val="20"/>
          <w:color w:val="auto"/>
        </w:rPr>
      </w:pPr>
      <w:r>
        <w:rPr>
          <w:rFonts w:ascii="Arial" w:cs="Arial" w:eastAsia="Arial" w:hAnsi="Arial"/>
          <w:sz w:val="13"/>
          <w:szCs w:val="13"/>
          <w:color w:val="auto"/>
        </w:rPr>
        <w:t>As described above, 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protocol, or applicable regulations related to GCPs.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47" w:name="page48"/>
    <w:bookmarkEnd w:id="47"/>
    <w:p>
      <w:pPr>
        <w:jc w:val="both"/>
        <w:ind w:firstLine="219"/>
        <w:spacing w:after="0" w:line="276" w:lineRule="auto"/>
        <w:rPr>
          <w:sz w:val="20"/>
          <w:szCs w:val="20"/>
          <w:color w:val="auto"/>
        </w:rPr>
      </w:pPr>
      <w:r>
        <w:rPr>
          <w:rFonts w:ascii="Arial" w:cs="Arial" w:eastAsia="Arial" w:hAnsi="Arial"/>
          <w:sz w:val="14"/>
          <w:szCs w:val="14"/>
          <w:color w:val="auto"/>
        </w:rPr>
        <w:t>We will need to reevaluate any drug candidate that does not test favorably and either conduct new trials, which are expensive and time consuming, or abandon that drug development program. The failure of clinical trials to demonstrate the safety and effectiveness of our clinical candidates for the desired indication(s) would preclude the successful development of those candidates for such indication(s), in which event our business, financial condition, and results of operations may be materially harmed.</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Successful development of our current and future product candidates is uncertain.</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3"/>
          <w:szCs w:val="13"/>
          <w:color w:val="auto"/>
        </w:rPr>
        <w:t>Only a small minority of all research and development programs ultimately result in commercially successful drugs. We are testing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a number of late-stage clinical trials in various indications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drug therapy.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205" w:lineRule="exact"/>
        <w:rPr>
          <w:sz w:val="20"/>
          <w:szCs w:val="20"/>
          <w:color w:val="auto"/>
        </w:rPr>
      </w:pPr>
    </w:p>
    <w:p>
      <w:pPr>
        <w:jc w:val="both"/>
        <w:ind w:firstLine="241"/>
        <w:spacing w:after="0" w:line="242" w:lineRule="auto"/>
        <w:rPr>
          <w:sz w:val="20"/>
          <w:szCs w:val="20"/>
          <w:color w:val="auto"/>
        </w:rPr>
      </w:pPr>
      <w:r>
        <w:rPr>
          <w:rFonts w:ascii="Arial" w:cs="Arial" w:eastAsia="Arial" w:hAnsi="Arial"/>
          <w:sz w:val="13"/>
          <w:szCs w:val="13"/>
          <w:color w:val="auto"/>
        </w:rPr>
        <w:t>In April 2011 we announced that our Phase 3 VELOUR trial of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met its primary endpoint of improving overall survival in the treatment of previously treated mCRC, and that based upon these positive results, we and Sanofi plan to submit regulatory applications for marketing approval to the FDA and EMA in the second half of 2011. However, we can give no assurance as to whether or when such applications, if submitted, will be approved.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is also in a Phase 3 clinical trial in combination with a standard chemotherapy regimen for the treatment of first-line androgen independent prostate cancer. We do not have proof of concept data from early-stage, double-blind, controlled clinical trials that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will be safe or effective in this cancer setting. In March 2010, Genentech announced that a Phase 3 trial of its VEGF antagonist,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(Bevacizumab Injection), in combination with chemotherapy in men with prostate cancer, did not meet its primary endpoint. This trial had a very similar design to our ongoing Phase 3 trial of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prostate cancer.</w:t>
      </w:r>
    </w:p>
    <w:p>
      <w:pPr>
        <w:spacing w:after="0" w:line="136" w:lineRule="exact"/>
        <w:rPr>
          <w:sz w:val="20"/>
          <w:szCs w:val="20"/>
          <w:color w:val="auto"/>
        </w:rPr>
      </w:pPr>
    </w:p>
    <w:p>
      <w:pPr>
        <w:jc w:val="both"/>
        <w:ind w:firstLine="252"/>
        <w:spacing w:after="0" w:line="231" w:lineRule="auto"/>
        <w:rPr>
          <w:sz w:val="20"/>
          <w:szCs w:val="20"/>
          <w:color w:val="auto"/>
        </w:rPr>
      </w:pPr>
      <w:r>
        <w:rPr>
          <w:rFonts w:ascii="Arial" w:cs="Arial" w:eastAsia="Arial" w:hAnsi="Arial"/>
          <w:sz w:val="13"/>
          <w:szCs w:val="13"/>
          <w:color w:val="auto"/>
        </w:rPr>
        <w:t>We are testing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Phase 3 trials for the treatment of wet AMD, the treatment of CRVO, and the treatment of DME. As described above, in February 2011, we submitted a BLA to the FDA for marketing approval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 in the U.S. In April 2011, the FDA accepted the BLA for filing and granted our request for Priority Review. Although we reported positive Phase 3 trial results with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 after one year of treatment, the Phase 3 trials will continue for an additional year and there is a risk that the results from the second year of the studies could differ from the previously reported results; such difference could delay or preclude regulatory approval or, if regulatory approval has been granted, result in the revocation of such approval.</w:t>
      </w:r>
    </w:p>
    <w:p>
      <w:pPr>
        <w:spacing w:after="0" w:line="213" w:lineRule="exact"/>
        <w:rPr>
          <w:sz w:val="20"/>
          <w:szCs w:val="20"/>
          <w:color w:val="auto"/>
        </w:rPr>
      </w:pPr>
    </w:p>
    <w:p>
      <w:pPr>
        <w:jc w:val="both"/>
        <w:ind w:firstLine="230"/>
        <w:spacing w:after="0" w:line="231" w:lineRule="auto"/>
        <w:rPr>
          <w:sz w:val="20"/>
          <w:szCs w:val="20"/>
          <w:color w:val="auto"/>
        </w:rPr>
      </w:pPr>
      <w:r>
        <w:rPr>
          <w:rFonts w:ascii="Arial" w:cs="Arial" w:eastAsia="Arial" w:hAnsi="Arial"/>
          <w:sz w:val="14"/>
          <w:szCs w:val="14"/>
          <w:color w:val="auto"/>
        </w:rPr>
        <w:t>We also reported positive Phase 3 trial results with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 after six months of treatment and, based on these results, plan to submit a regulatory application for marketing approval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 in the second half of 2011. However, these trials are not all completed, and there is a risk that one-year results could differ from six-month results, and such final results could delay or preclude regulatory approval or, if regulatory approval has been granted, result in the revocation of such approval. There can be no assurance as to if or when we will receive regulatory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CRVO.</w:t>
      </w:r>
    </w:p>
    <w:p>
      <w:pPr>
        <w:spacing w:after="0" w:line="136" w:lineRule="exact"/>
        <w:rPr>
          <w:sz w:val="20"/>
          <w:szCs w:val="20"/>
          <w:color w:val="auto"/>
        </w:rPr>
      </w:pPr>
    </w:p>
    <w:p>
      <w:pPr>
        <w:jc w:val="both"/>
        <w:ind w:firstLine="241"/>
        <w:spacing w:after="0" w:line="247" w:lineRule="auto"/>
        <w:rPr>
          <w:sz w:val="20"/>
          <w:szCs w:val="20"/>
          <w:color w:val="auto"/>
        </w:rPr>
      </w:pPr>
      <w:r>
        <w:rPr>
          <w:rFonts w:ascii="Arial" w:cs="Arial" w:eastAsia="Arial" w:hAnsi="Arial"/>
          <w:sz w:val="14"/>
          <w:szCs w:val="14"/>
          <w:color w:val="auto"/>
        </w:rPr>
        <w:t>We also reported positive results of a Phase 2 trial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DME and that we have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DME.</w:t>
      </w:r>
    </w:p>
    <w:p>
      <w:pPr>
        <w:spacing w:after="0" w:line="131" w:lineRule="exact"/>
        <w:rPr>
          <w:sz w:val="20"/>
          <w:szCs w:val="20"/>
          <w:color w:val="auto"/>
        </w:rPr>
      </w:pPr>
    </w:p>
    <w:p>
      <w:pPr>
        <w:jc w:val="both"/>
        <w:ind w:firstLine="230"/>
        <w:spacing w:after="0" w:line="283" w:lineRule="auto"/>
        <w:rPr>
          <w:sz w:val="20"/>
          <w:szCs w:val="20"/>
          <w:color w:val="auto"/>
        </w:rPr>
      </w:pPr>
      <w:r>
        <w:rPr>
          <w:rFonts w:ascii="Arial" w:cs="Arial" w:eastAsia="Arial" w:hAnsi="Arial"/>
          <w:sz w:val="13"/>
          <w:szCs w:val="13"/>
          <w:color w:val="auto"/>
        </w:rPr>
        <w:t>Based on the results of three Phase 3 studies, we plan to submit a supplemental BLA to the FDA seeking approval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drug therapy. However, there can be no assurance as to if or when the FDA will grant such approval. For example, in June 2011, following two positive Phase 3 trials, the Arthritis Advisory Committee of the FDA, voted to recommend against approval in a gout indication for Ilaris® (canikinumab), Novartis’ IL-1 inhibitor which works through a similar mechanism as ARCALYST</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8" w:name="page49"/>
    <w:bookmarkEnd w:id="48"/>
    <w:p>
      <w:pPr>
        <w:jc w:val="both"/>
        <w:ind w:firstLine="263"/>
        <w:spacing w:after="0" w:line="249" w:lineRule="auto"/>
        <w:rPr>
          <w:sz w:val="20"/>
          <w:szCs w:val="20"/>
          <w:color w:val="auto"/>
        </w:rPr>
      </w:pPr>
      <w:r>
        <w:rPr>
          <w:rFonts w:ascii="Arial" w:cs="Arial" w:eastAsia="Arial" w:hAnsi="Arial"/>
          <w:sz w:val="14"/>
          <w:szCs w:val="14"/>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as a first-line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11" w:lineRule="exact"/>
        <w:rPr>
          <w:sz w:val="20"/>
          <w:szCs w:val="20"/>
          <w:color w:val="auto"/>
        </w:rPr>
      </w:pPr>
    </w:p>
    <w:p>
      <w:pPr>
        <w:jc w:val="both"/>
        <w:ind w:firstLine="252"/>
        <w:spacing w:after="0" w:line="271" w:lineRule="auto"/>
        <w:rPr>
          <w:sz w:val="20"/>
          <w:szCs w:val="20"/>
          <w:color w:val="auto"/>
        </w:rPr>
      </w:pPr>
      <w:r>
        <w:rPr>
          <w:rFonts w:ascii="Arial" w:cs="Arial" w:eastAsia="Arial" w:hAnsi="Arial"/>
          <w:sz w:val="14"/>
          <w:szCs w:val="14"/>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71" w:lineRule="exact"/>
        <w:rPr>
          <w:sz w:val="20"/>
          <w:szCs w:val="20"/>
          <w:color w:val="auto"/>
        </w:rPr>
      </w:pPr>
    </w:p>
    <w:p>
      <w:pPr>
        <w:jc w:val="both"/>
        <w:ind w:left="140"/>
        <w:spacing w:after="0" w:line="224" w:lineRule="auto"/>
        <w:rPr>
          <w:sz w:val="20"/>
          <w:szCs w:val="20"/>
          <w:color w:val="auto"/>
        </w:rPr>
      </w:pPr>
      <w:r>
        <w:rPr>
          <w:rFonts w:ascii="Arial" w:cs="Arial" w:eastAsia="Arial" w:hAnsi="Arial"/>
          <w:sz w:val="14"/>
          <w:szCs w:val="14"/>
          <w:b w:val="1"/>
          <w:bCs w:val="1"/>
          <w:i w:val="1"/>
          <w:iCs w:val="1"/>
          <w:color w:val="auto"/>
        </w:rPr>
        <w:t>Serious complications or side effects have occurred, and may continue to occur, in connection with the use of 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for the treatment of CAPS and in clinical trials of some of our product candidates, and may also occur with the more widespread use of ZALTRAP</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and/or ARCALYST</w:t>
      </w:r>
      <w:r>
        <w:rPr>
          <w:rFonts w:ascii="Arial" w:cs="Arial" w:eastAsia="Arial" w:hAnsi="Arial"/>
          <w:sz w:val="19"/>
          <w:szCs w:val="19"/>
          <w:b w:val="1"/>
          <w:bCs w:val="1"/>
          <w:i w:val="1"/>
          <w:iCs w:val="1"/>
          <w:color w:val="auto"/>
          <w:vertAlign w:val="superscript"/>
        </w:rPr>
        <w:t>®</w:t>
      </w:r>
      <w:r>
        <w:rPr>
          <w:rFonts w:ascii="Arial" w:cs="Arial" w:eastAsia="Arial" w:hAnsi="Arial"/>
          <w:sz w:val="14"/>
          <w:szCs w:val="14"/>
          <w:b w:val="1"/>
          <w:bCs w:val="1"/>
          <w:i w:val="1"/>
          <w:iCs w:val="1"/>
          <w:color w:val="auto"/>
        </w:rPr>
        <w:t xml:space="preserve"> for the prevention of gout flares if they receive regulatory approval, which could cause our regulatory approval(s) to be revoked or otherwise negatively affected or lead to delay or discontinuation of development of our product candidates which could severely harm our business.</w:t>
      </w:r>
    </w:p>
    <w:p>
      <w:pPr>
        <w:spacing w:after="0" w:line="215"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3"/>
          <w:szCs w:val="13"/>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that as we test our drug candidates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182" w:lineRule="exact"/>
        <w:rPr>
          <w:sz w:val="20"/>
          <w:szCs w:val="20"/>
          <w:color w:val="auto"/>
        </w:rPr>
      </w:pPr>
    </w:p>
    <w:p>
      <w:pPr>
        <w:jc w:val="both"/>
        <w:ind w:firstLine="241"/>
        <w:spacing w:after="0" w:line="248" w:lineRule="auto"/>
        <w:rPr>
          <w:sz w:val="20"/>
          <w:szCs w:val="20"/>
          <w:color w:val="auto"/>
        </w:rPr>
      </w:pPr>
      <w:r>
        <w:rPr>
          <w:rFonts w:ascii="Arial" w:cs="Arial" w:eastAsia="Arial" w:hAnsi="Arial"/>
          <w:sz w:val="13"/>
          <w:szCs w:val="13"/>
          <w:color w:val="auto"/>
        </w:rPr>
        <w:t>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is being studied for the potential treatment of certain types of cancer and our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candidate is being studied in diseases of the eye. There are many potential safety concerns associated with significant blockade of VEGF that may limit our ability to successfully develop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each of the indications for which we are studying these product candidates.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w:t>
      </w:r>
      <w:r>
        <w:rPr>
          <w:rFonts w:ascii="Arial" w:cs="Arial" w:eastAsia="Arial" w:hAnsi="Arial"/>
          <w:sz w:val="17"/>
          <w:szCs w:val="17"/>
          <w:color w:val="auto"/>
          <w:vertAlign w:val="superscript"/>
        </w:rPr>
        <w:t>TM</w:t>
      </w:r>
      <w:r>
        <w:rPr>
          <w:rFonts w:ascii="Arial" w:cs="Arial" w:eastAsia="Arial" w:hAnsi="Arial"/>
          <w:sz w:val="13"/>
          <w:szCs w:val="13"/>
          <w:color w:val="auto"/>
        </w:rPr>
        <w:t>, which can cause injury to the eye and other complications. These and other complications or side effects could harm the development and/or commercialization of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cancer 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diseases of the eye.</w:t>
      </w:r>
    </w:p>
    <w:p>
      <w:pPr>
        <w:spacing w:after="0" w:line="129" w:lineRule="exact"/>
        <w:rPr>
          <w:sz w:val="20"/>
          <w:szCs w:val="20"/>
          <w:color w:val="auto"/>
        </w:rPr>
      </w:pPr>
    </w:p>
    <w:p>
      <w:pPr>
        <w:jc w:val="both"/>
        <w:ind w:firstLine="263"/>
        <w:spacing w:after="0" w:line="232" w:lineRule="auto"/>
        <w:rPr>
          <w:sz w:val="20"/>
          <w:szCs w:val="20"/>
          <w:color w:val="auto"/>
        </w:rPr>
      </w:pPr>
      <w:r>
        <w:rPr>
          <w:rFonts w:ascii="Arial" w:cs="Arial" w:eastAsia="Arial" w:hAnsi="Arial"/>
          <w:sz w:val="13"/>
          <w:szCs w:val="13"/>
          <w:color w:val="auto"/>
        </w:rPr>
        <w:t>As more patients begin to use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if it receives approval for the prevention of gout flares in patients initiating uric acid-lowering therapy, and to the extent it is tested in new disease settings, new risks and side effects associated with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may be discovered, and risks previously viewed as inconsequential could be determined to be significant. Like cytokine antagonists such as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(canakinumab), a registered trademark of Novartis, Kineret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(anakinra), a registered trademark of Biovitrum AB, Enbrel</w:t>
      </w:r>
      <w:r>
        <w:rPr>
          <w:rFonts w:ascii="Arial" w:cs="Arial" w:eastAsia="Arial" w:hAnsi="Arial"/>
          <w:sz w:val="17"/>
          <w:szCs w:val="17"/>
          <w:color w:val="auto"/>
          <w:vertAlign w:val="superscript"/>
        </w:rPr>
        <w:t>®</w:t>
      </w:r>
      <w:r>
        <w:rPr>
          <w:rFonts w:ascii="Arial" w:cs="Arial" w:eastAsia="Arial" w:hAnsi="Arial"/>
          <w:sz w:val="13"/>
          <w:szCs w:val="13"/>
          <w:color w:val="auto"/>
        </w:rPr>
        <w:t xml:space="preserve"> (etanercept), a registered trademark of Amgen, Inc. and Pfizer Inc., and Remicade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(infliximab) a registered trademark of Centocor Ortho Biotech,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affects the immune defense system of the body by blocking some of its functions. Therefore,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may interfere with the body’s ability to fight infections. As noted above, in June 2011, following two positive Phase 3 trials, the Arthritis Advisory Committee of the FDA, voted to recommend against approval in a gout indication for Ilaris</w:t>
      </w:r>
      <w:r>
        <w:rPr>
          <w:rFonts w:ascii="Arial" w:cs="Arial" w:eastAsia="Arial" w:hAnsi="Arial"/>
          <w:sz w:val="17"/>
          <w:szCs w:val="17"/>
          <w:color w:val="auto"/>
          <w:vertAlign w:val="superscript"/>
        </w:rPr>
        <w:t>®</w:t>
      </w:r>
      <w:r>
        <w:rPr>
          <w:rFonts w:ascii="Arial" w:cs="Arial" w:eastAsia="Arial" w:hAnsi="Arial"/>
          <w:sz w:val="13"/>
          <w:szCs w:val="13"/>
          <w:color w:val="auto"/>
        </w:rPr>
        <w:t>, Novartis’ IL-1 inhibitor which works through a similar mechanism as ARCALYST</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49" w:name="page50"/>
    <w:bookmarkEnd w:id="49"/>
    <w:p>
      <w:pPr>
        <w:jc w:val="both"/>
        <w:ind w:firstLine="230"/>
        <w:spacing w:after="0" w:line="211" w:lineRule="auto"/>
        <w:rPr>
          <w:sz w:val="20"/>
          <w:szCs w:val="20"/>
          <w:color w:val="auto"/>
        </w:rPr>
      </w:pPr>
      <w:r>
        <w:rPr>
          <w:rFonts w:ascii="Arial" w:cs="Arial" w:eastAsia="Arial" w:hAnsi="Arial"/>
          <w:sz w:val="14"/>
          <w:szCs w:val="14"/>
          <w:color w:val="auto"/>
        </w:rPr>
        <w:t>Treatment with Kineret</w:t>
      </w:r>
      <w:r>
        <w:rPr>
          <w:rFonts w:ascii="Arial" w:cs="Arial" w:eastAsia="Arial" w:hAnsi="Arial"/>
          <w:sz w:val="19"/>
          <w:szCs w:val="19"/>
          <w:color w:val="auto"/>
          <w:vertAlign w:val="superscript"/>
        </w:rPr>
        <w:t>®</w:t>
      </w:r>
      <w:r>
        <w:rPr>
          <w:rFonts w:ascii="Arial" w:cs="Arial" w:eastAsia="Arial" w:hAnsi="Arial"/>
          <w:sz w:val="14"/>
          <w:szCs w:val="14"/>
          <w:color w:val="auto"/>
        </w:rPr>
        <w:t>,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19"/>
          <w:szCs w:val="19"/>
          <w:color w:val="auto"/>
          <w:vertAlign w:val="superscript"/>
        </w:rPr>
        <w:t>®</w:t>
      </w:r>
      <w:r>
        <w:rPr>
          <w:rFonts w:ascii="Arial" w:cs="Arial" w:eastAsia="Arial" w:hAnsi="Arial"/>
          <w:sz w:val="14"/>
          <w:szCs w:val="14"/>
          <w:color w:val="auto"/>
        </w:rPr>
        <w:t>. These or other complications or side effects could cause regulatory authorities to revoke approvals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or deny the approval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treatment or other disease settings. Alternatively, we may be required to conduct additional clinical trials, make changes in the labeling of our product, or limit or abandon our efforts to develop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new disease settings. Any such side effects may also result in a reduction, or even the elimination, of sales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the current or future approved indications.</w:t>
      </w:r>
    </w:p>
    <w:p>
      <w:pPr>
        <w:spacing w:after="0" w:line="138" w:lineRule="exact"/>
        <w:rPr>
          <w:sz w:val="20"/>
          <w:szCs w:val="20"/>
          <w:color w:val="auto"/>
        </w:rPr>
      </w:pPr>
    </w:p>
    <w:p>
      <w:pPr>
        <w:jc w:val="both"/>
        <w:ind w:firstLine="219"/>
        <w:spacing w:after="0" w:line="267" w:lineRule="auto"/>
        <w:rPr>
          <w:sz w:val="20"/>
          <w:szCs w:val="20"/>
          <w:color w:val="auto"/>
        </w:rPr>
      </w:pPr>
      <w:r>
        <w:rPr>
          <w:rFonts w:ascii="Arial" w:cs="Arial" w:eastAsia="Arial" w:hAnsi="Arial"/>
          <w:sz w:val="14"/>
          <w:szCs w:val="14"/>
          <w:color w:val="auto"/>
        </w:rPr>
        <w:t>We are studying REGN475, a fully human monoclonal antibody to NGF, in a variety of pain indications, including osteoarthritis of the knee. In December 2010, we were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placed REGN475 on clinical hold. On September 13, 2011, the FDA’s Arthritis Advisory Committee will meet to discuss possible safety issues related to anti-NGF compounds. The FDA will ask the Committee to determine whether reports of joint destruction represent a safety signal for the class and whether the risk-benefit balance for these compounds favors continued development as analgesics. There are currently no ongoing trials with REGN475 that are either enrolling or treating patients.</w:t>
      </w:r>
    </w:p>
    <w:p>
      <w:pPr>
        <w:spacing w:after="0" w:line="176"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80" w:lineRule="exact"/>
        <w:rPr>
          <w:sz w:val="20"/>
          <w:szCs w:val="20"/>
          <w:color w:val="auto"/>
        </w:rPr>
      </w:pPr>
    </w:p>
    <w:p>
      <w:pPr>
        <w:jc w:val="both"/>
        <w:ind w:firstLine="296"/>
        <w:spacing w:after="0" w:line="269" w:lineRule="auto"/>
        <w:rPr>
          <w:sz w:val="20"/>
          <w:szCs w:val="20"/>
          <w:color w:val="auto"/>
        </w:rPr>
      </w:pPr>
      <w:r>
        <w:rPr>
          <w:rFonts w:ascii="Arial" w:cs="Arial" w:eastAsia="Arial" w:hAnsi="Arial"/>
          <w:sz w:val="14"/>
          <w:szCs w:val="14"/>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there can be no assurance that neutralizing antibodies will not be detected at a later date, in some cases even after pivotal clinical trials have been completed.</w:t>
      </w:r>
    </w:p>
    <w:p>
      <w:pPr>
        <w:spacing w:after="0" w:line="173"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80"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and Market Exclusivity</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45" w:lineRule="exact"/>
        <w:rPr>
          <w:sz w:val="20"/>
          <w:szCs w:val="20"/>
          <w:color w:val="auto"/>
        </w:rPr>
      </w:pPr>
    </w:p>
    <w:p>
      <w:pPr>
        <w:jc w:val="both"/>
        <w:ind w:firstLine="285"/>
        <w:spacing w:after="0" w:line="289" w:lineRule="auto"/>
        <w:rPr>
          <w:sz w:val="20"/>
          <w:szCs w:val="20"/>
          <w:color w:val="auto"/>
        </w:rPr>
      </w:pPr>
      <w:r>
        <w:rPr>
          <w:rFonts w:ascii="Arial" w:cs="Arial" w:eastAsia="Arial" w:hAnsi="Arial"/>
          <w:sz w:val="13"/>
          <w:szCs w:val="13"/>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50" w:name="page51"/>
    <w:bookmarkEnd w:id="50"/>
    <w:p>
      <w:pPr>
        <w:ind w:left="140"/>
        <w:spacing w:after="0" w:line="291" w:lineRule="auto"/>
        <w:rPr>
          <w:sz w:val="20"/>
          <w:szCs w:val="20"/>
          <w:color w:val="auto"/>
        </w:rPr>
      </w:pPr>
      <w:r>
        <w:rPr>
          <w:rFonts w:ascii="Arial" w:cs="Arial" w:eastAsia="Arial" w:hAnsi="Arial"/>
          <w:sz w:val="14"/>
          <w:szCs w:val="14"/>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180" w:lineRule="exact"/>
        <w:rPr>
          <w:sz w:val="20"/>
          <w:szCs w:val="20"/>
          <w:color w:val="auto"/>
        </w:rPr>
      </w:pPr>
    </w:p>
    <w:p>
      <w:pPr>
        <w:jc w:val="both"/>
        <w:ind w:firstLine="230"/>
        <w:spacing w:after="0" w:line="274" w:lineRule="auto"/>
        <w:rPr>
          <w:sz w:val="20"/>
          <w:szCs w:val="20"/>
          <w:color w:val="auto"/>
        </w:rPr>
      </w:pPr>
      <w:r>
        <w:rPr>
          <w:rFonts w:ascii="Arial" w:cs="Arial" w:eastAsia="Arial" w:hAnsi="Arial"/>
          <w:sz w:val="13"/>
          <w:szCs w:val="13"/>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3"/>
          <w:szCs w:val="13"/>
          <w:i w:val="1"/>
          <w:iCs w:val="1"/>
          <w:color w:val="auto"/>
        </w:rPr>
        <w:t>VelocImmune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technology, either because of the way the antibodies are discovered or produced or because of a proprietary position covering an antibody or the antibody’s target.</w:t>
      </w:r>
    </w:p>
    <w:p>
      <w:pPr>
        <w:spacing w:after="0" w:line="185" w:lineRule="exact"/>
        <w:rPr>
          <w:sz w:val="20"/>
          <w:szCs w:val="20"/>
          <w:color w:val="auto"/>
        </w:rPr>
      </w:pPr>
    </w:p>
    <w:p>
      <w:pPr>
        <w:jc w:val="both"/>
        <w:ind w:firstLine="241"/>
        <w:spacing w:after="0" w:line="274" w:lineRule="auto"/>
        <w:rPr>
          <w:sz w:val="20"/>
          <w:szCs w:val="20"/>
          <w:color w:val="auto"/>
        </w:rPr>
      </w:pPr>
      <w:r>
        <w:rPr>
          <w:rFonts w:ascii="Arial" w:cs="Arial" w:eastAsia="Arial" w:hAnsi="Arial"/>
          <w:sz w:val="13"/>
          <w:szCs w:val="13"/>
          <w:color w:val="auto"/>
        </w:rPr>
        <w:t>We are aware of issued patents and pending patent applications owned by Genentech that claim certain chimeric VEGF receptors. We do not believe that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infringe any valid claim in these patents or patent applications. As described above under Part II, Item 1 (“Legal Proceedings”), in November 2010, we commenced a lawsuit against Genentech in the U.S. District Court for the Southern District of New York, seeking a declaratory judgment that no activities relating to VEGF Trap infringe any valid claim of certain Genentech patents referred to as the Davis-Smyth patents. In April 2011, we and Genentech entered into a Joint Stipulation whereby Genentech agreed that it would not seek to transfer the case to another judicial district or move to dismiss the case for lack of subject matter jurisdiction. On April 25, 2011, Genentech filed an answer to our complaint, denying that we are entitled to the declaratory relief being sought by us, and asserting counterclaims that our prior or planned activities relating to VEGF Trap have infringed or will infringe one or more claims of the Davis-Smyth patents. In its answer, Genentech requests a judgment against us for damages, including for willful infringement, and other relief as the Court deems appropriate. On May 11, 2011, Genentech filed an amended answer and counterclaim, again denying that we are entitled to the declaratory relief being sought by us, and asserting counterclaims that our prior or planned activities relating to our VEGF Trap have infringed or will infringe claims of four of the five Davis-Smyth patents. In its amended answer and counterclaim, Genentech requests a judgment against us for damages, including for willful infringement, and other relief as the Court deems appropriate. On May 25, 2011, we replied to Genentech's amended answer and counterclaim, denying Genentech's counterclaims, and denying that any of our prior or planned activities relating to VEGF Trap infringe any valid claim of the Davis-Smyth patents. We believe Genentech's counterclaims are without merit and intend to continue to defend against them vigorously. However, it is possible that there could be an adverse determination or judgment in this litigation that would materially harm our business by requiring us to seek a license, which may not be available, or precluding the manufacture, further development, or sale of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or EYLEA</w:t>
      </w:r>
      <w:r>
        <w:rPr>
          <w:rFonts w:ascii="Arial" w:cs="Arial" w:eastAsia="Arial" w:hAnsi="Arial"/>
          <w:sz w:val="17"/>
          <w:szCs w:val="17"/>
          <w:color w:val="auto"/>
          <w:vertAlign w:val="superscript"/>
        </w:rPr>
        <w:t>TM</w:t>
      </w:r>
      <w:r>
        <w:rPr>
          <w:rFonts w:ascii="Arial" w:cs="Arial" w:eastAsia="Arial" w:hAnsi="Arial"/>
          <w:sz w:val="13"/>
          <w:szCs w:val="13"/>
          <w:color w:val="auto"/>
        </w:rPr>
        <w:t>, or resulting in a damage award. In addition, irrespective of the outcome of this litigation, we have incurred and will likely continue to incur significant costs and expenses associated with this matter, which has negatively affected, and will likely continue to negatively affect, our results of operations. We have initiated patent-related actions against Genentech in Germany and the United Kingdom, and may initiate other actions in other countries outside the U.S., which could have similar or other adverse outcomes that would materially harm our business and which, irrespective of the outcomes, may also entail significant costs and expenses.</w:t>
      </w:r>
    </w:p>
    <w:p>
      <w:pPr>
        <w:spacing w:after="0" w:line="194"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4"/>
          <w:szCs w:val="14"/>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51" w:name="page52"/>
    <w:bookmarkEnd w:id="51"/>
    <w:p>
      <w:pPr>
        <w:jc w:val="both"/>
        <w:ind w:firstLine="296"/>
        <w:spacing w:after="0" w:line="235" w:lineRule="auto"/>
        <w:rPr>
          <w:sz w:val="20"/>
          <w:szCs w:val="20"/>
          <w:color w:val="auto"/>
        </w:rPr>
      </w:pPr>
      <w:r>
        <w:rPr>
          <w:rFonts w:ascii="Arial" w:cs="Arial" w:eastAsia="Arial" w:hAnsi="Arial"/>
          <w:sz w:val="14"/>
          <w:szCs w:val="14"/>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19"/>
          <w:szCs w:val="19"/>
          <w:color w:val="auto"/>
          <w:vertAlign w:val="superscript"/>
        </w:rPr>
        <w:t>®</w:t>
      </w:r>
      <w:r>
        <w:rPr>
          <w:rFonts w:ascii="Arial" w:cs="Arial" w:eastAsia="Arial" w:hAnsi="Arial"/>
          <w:sz w:val="14"/>
          <w:szCs w:val="14"/>
          <w:color w:val="auto"/>
        </w:rPr>
        <w:t>, ZALTRAP</w:t>
      </w:r>
      <w:r>
        <w:rPr>
          <w:rFonts w:ascii="Arial" w:cs="Arial" w:eastAsia="Arial" w:hAnsi="Arial"/>
          <w:sz w:val="19"/>
          <w:szCs w:val="19"/>
          <w:color w:val="auto"/>
          <w:vertAlign w:val="superscript"/>
        </w:rPr>
        <w:t>TM</w:t>
      </w:r>
      <w:r>
        <w:rPr>
          <w:rFonts w:ascii="Arial" w:cs="Arial" w:eastAsia="Arial" w:hAnsi="Arial"/>
          <w:sz w:val="14"/>
          <w:szCs w:val="14"/>
          <w:color w:val="auto"/>
        </w:rPr>
        <w:t>, nor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U.S.</w:t>
      </w:r>
    </w:p>
    <w:p>
      <w:pPr>
        <w:spacing w:after="0" w:line="214" w:lineRule="exact"/>
        <w:rPr>
          <w:sz w:val="20"/>
          <w:szCs w:val="20"/>
          <w:color w:val="auto"/>
        </w:rPr>
      </w:pPr>
    </w:p>
    <w:p>
      <w:pPr>
        <w:jc w:val="both"/>
        <w:ind w:firstLine="219"/>
        <w:spacing w:after="0" w:line="291" w:lineRule="auto"/>
        <w:rPr>
          <w:sz w:val="20"/>
          <w:szCs w:val="20"/>
          <w:color w:val="auto"/>
        </w:rPr>
      </w:pPr>
      <w:r>
        <w:rPr>
          <w:rFonts w:ascii="Arial" w:cs="Arial" w:eastAsia="Arial" w:hAnsi="Arial"/>
          <w:sz w:val="14"/>
          <w:szCs w:val="14"/>
          <w:color w:val="auto"/>
        </w:rPr>
        <w:t>Further, we are aware of a number of other third-party patent applications that, if granted with claims as currently drafted, may cover our current or planned activities. We cannot assure you that our products and/or actions in manufacturing or selling our product candidates will not infringe such patents.</w:t>
      </w:r>
    </w:p>
    <w:p>
      <w:pPr>
        <w:spacing w:after="0" w:line="180" w:lineRule="exact"/>
        <w:rPr>
          <w:sz w:val="20"/>
          <w:szCs w:val="20"/>
          <w:color w:val="auto"/>
        </w:rPr>
      </w:pPr>
    </w:p>
    <w:p>
      <w:pPr>
        <w:jc w:val="both"/>
        <w:ind w:firstLine="219"/>
        <w:spacing w:after="0" w:line="247" w:lineRule="auto"/>
        <w:rPr>
          <w:sz w:val="20"/>
          <w:szCs w:val="20"/>
          <w:color w:val="auto"/>
        </w:rPr>
      </w:pPr>
      <w:r>
        <w:rPr>
          <w:rFonts w:ascii="Arial" w:cs="Arial" w:eastAsia="Arial" w:hAnsi="Arial"/>
          <w:sz w:val="14"/>
          <w:szCs w:val="14"/>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financial condition, and results of operations. In any event, legal disputes are likely to be costly and time consuming to defend.</w:t>
      </w:r>
    </w:p>
    <w:p>
      <w:pPr>
        <w:spacing w:after="0" w:line="209" w:lineRule="exact"/>
        <w:rPr>
          <w:sz w:val="20"/>
          <w:szCs w:val="20"/>
          <w:color w:val="auto"/>
        </w:rPr>
      </w:pPr>
    </w:p>
    <w:p>
      <w:pPr>
        <w:jc w:val="both"/>
        <w:ind w:firstLine="219"/>
        <w:spacing w:after="0" w:line="332" w:lineRule="auto"/>
        <w:rPr>
          <w:sz w:val="20"/>
          <w:szCs w:val="20"/>
          <w:color w:val="auto"/>
        </w:rPr>
      </w:pPr>
      <w:r>
        <w:rPr>
          <w:rFonts w:ascii="Arial" w:cs="Arial" w:eastAsia="Arial" w:hAnsi="Arial"/>
          <w:sz w:val="13"/>
          <w:szCs w:val="13"/>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Loss or limitation of patent rights, and new regulatory pathways for biosimilar competition, could reduce the duration of market exclusivity for our products.</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the pharmaceutical and biotechnology industries, the majority of an innovative product’s commercial value is usually realized during the period in which it has market exclusivity. In the U.S.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and some other countries, when market exclusivity expires and generic versions of a product are approved and marketed, there can be very substantial and rapid declines in the product’s sales.</w:t>
      </w:r>
    </w:p>
    <w:p>
      <w:pPr>
        <w:spacing w:after="0" w:line="240" w:lineRule="exact"/>
        <w:rPr>
          <w:sz w:val="20"/>
          <w:szCs w:val="20"/>
          <w:color w:val="auto"/>
        </w:rPr>
      </w:pPr>
    </w:p>
    <w:p>
      <w:pPr>
        <w:jc w:val="both"/>
        <w:ind w:firstLine="219"/>
        <w:spacing w:after="0" w:line="294" w:lineRule="auto"/>
        <w:rPr>
          <w:sz w:val="20"/>
          <w:szCs w:val="20"/>
          <w:color w:val="auto"/>
        </w:rPr>
      </w:pPr>
      <w:r>
        <w:rPr>
          <w:rFonts w:ascii="Arial" w:cs="Arial" w:eastAsia="Arial" w:hAnsi="Arial"/>
          <w:sz w:val="13"/>
          <w:szCs w:val="13"/>
          <w:color w:val="auto"/>
        </w:rPr>
        <w:t xml:space="preserve">If our late-stage product candidates or other clinical candidates are approved for marketing in the U.S or elsewhere, market exclusivity for those products will generally be based upon patent rights and/or certain regulatory forms of exclusivity. As described above under </w:t>
      </w:r>
      <w:r>
        <w:rPr>
          <w:rFonts w:ascii="Arial" w:cs="Arial" w:eastAsia="Arial" w:hAnsi="Arial"/>
          <w:sz w:val="13"/>
          <w:szCs w:val="13"/>
          <w:i w:val="1"/>
          <w:iCs w:val="1"/>
          <w:color w:val="auto"/>
        </w:rPr>
        <w:t>"If we cannot protect the confidentiality of our trade secrets or our patents are insufficient to protect our proprietary rights,</w:t>
      </w:r>
      <w:r>
        <w:rPr>
          <w:rFonts w:ascii="Arial" w:cs="Arial" w:eastAsia="Arial" w:hAnsi="Arial"/>
          <w:sz w:val="13"/>
          <w:szCs w:val="13"/>
          <w:color w:val="auto"/>
        </w:rPr>
        <w:t xml:space="preserve"> </w:t>
      </w:r>
      <w:r>
        <w:rPr>
          <w:rFonts w:ascii="Arial" w:cs="Arial" w:eastAsia="Arial" w:hAnsi="Arial"/>
          <w:sz w:val="13"/>
          <w:szCs w:val="13"/>
          <w:i w:val="1"/>
          <w:iCs w:val="1"/>
          <w:color w:val="auto"/>
        </w:rPr>
        <w:t>our business and competitive position will be harmed"</w:t>
      </w:r>
      <w:r>
        <w:rPr>
          <w:rFonts w:ascii="Arial" w:cs="Arial" w:eastAsia="Arial" w:hAnsi="Arial"/>
          <w:sz w:val="13"/>
          <w:szCs w:val="13"/>
          <w:color w:val="auto"/>
        </w:rPr>
        <w:t>, the scope and enforceability of our patent rights may vary from country to country. The failure to obtain patent and other intellectual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rights, or limitations on the use, or the loss, of such rights could be material to us. Absent patent protection or regulatory exclusivity for our products, it is possible, both in the U.S. and elsewhere, that generic and/or biosimilar versions of those products may be approved and marketed which could result in substantial and rapid reductions in revenues from sales of those products.</w:t>
      </w:r>
    </w:p>
    <w:p>
      <w:pPr>
        <w:spacing w:after="0" w:line="181" w:lineRule="exact"/>
        <w:rPr>
          <w:sz w:val="20"/>
          <w:szCs w:val="20"/>
          <w:color w:val="auto"/>
        </w:rPr>
      </w:pPr>
    </w:p>
    <w:p>
      <w:pPr>
        <w:jc w:val="both"/>
        <w:ind w:firstLine="285"/>
        <w:spacing w:after="0" w:line="298" w:lineRule="auto"/>
        <w:rPr>
          <w:sz w:val="20"/>
          <w:szCs w:val="20"/>
          <w:color w:val="auto"/>
        </w:rPr>
      </w:pPr>
      <w:r>
        <w:rPr>
          <w:rFonts w:ascii="Arial" w:cs="Arial" w:eastAsia="Arial" w:hAnsi="Arial"/>
          <w:sz w:val="13"/>
          <w:szCs w:val="13"/>
          <w:color w:val="auto"/>
        </w:rPr>
        <w:t>Under the PPACA, enacted in 2010, there is now a new, abbreviated path in the U.S.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w:t>
      </w:r>
    </w:p>
    <w:p>
      <w:pPr>
        <w:spacing w:after="0" w:line="179"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4"/>
          <w:szCs w:val="14"/>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The loss of market exclusivity for a product would likely materially and negatively affect revenues from product sales of that product and thus our financial results and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Risks Related to Manufacturing and Supply</w:t>
      </w:r>
    </w:p>
    <w:p>
      <w:pPr>
        <w:spacing w:after="0" w:line="216"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We have and rely on limited internal and contracted manufacturing and supply chain capacity, which could result in our being unable to successfully commercialize our products if they receive regulatory approval and also to continue to develop our clinical candidates.</w:t>
      </w:r>
    </w:p>
    <w:p>
      <w:pPr>
        <w:spacing w:after="0" w:line="178" w:lineRule="exact"/>
        <w:rPr>
          <w:sz w:val="20"/>
          <w:szCs w:val="20"/>
          <w:color w:val="auto"/>
        </w:rPr>
      </w:pPr>
    </w:p>
    <w:p>
      <w:pPr>
        <w:jc w:val="both"/>
        <w:ind w:firstLine="252"/>
        <w:spacing w:after="0" w:line="277" w:lineRule="auto"/>
        <w:rPr>
          <w:sz w:val="20"/>
          <w:szCs w:val="20"/>
          <w:color w:val="auto"/>
        </w:rPr>
      </w:pPr>
      <w:r>
        <w:rPr>
          <w:rFonts w:ascii="Arial" w:cs="Arial" w:eastAsia="Arial" w:hAnsi="Arial"/>
          <w:sz w:val="13"/>
          <w:szCs w:val="13"/>
          <w:color w:val="auto"/>
        </w:rPr>
        <w:t>Our manufacturing facility would be inadequate to produce the active pharmaceutical ingredients of (a) EYLEA</w:t>
      </w:r>
      <w:r>
        <w:rPr>
          <w:rFonts w:ascii="Arial" w:cs="Arial" w:eastAsia="Arial" w:hAnsi="Arial"/>
          <w:sz w:val="17"/>
          <w:szCs w:val="17"/>
          <w:color w:val="auto"/>
          <w:vertAlign w:val="superscript"/>
        </w:rPr>
        <w:t>TM</w:t>
      </w:r>
      <w:r>
        <w:rPr>
          <w:rFonts w:ascii="Arial" w:cs="Arial" w:eastAsia="Arial" w:hAnsi="Arial"/>
          <w:sz w:val="13"/>
          <w:szCs w:val="13"/>
          <w:color w:val="auto"/>
        </w:rPr>
        <w:t>, ZALTRAP</w:t>
      </w:r>
      <w:r>
        <w:rPr>
          <w:rFonts w:ascii="Arial" w:cs="Arial" w:eastAsia="Arial" w:hAnsi="Arial"/>
          <w:sz w:val="17"/>
          <w:szCs w:val="17"/>
          <w:color w:val="auto"/>
          <w:vertAlign w:val="superscript"/>
        </w:rPr>
        <w:t>TM</w:t>
      </w:r>
      <w:r>
        <w:rPr>
          <w:rFonts w:ascii="Arial" w:cs="Arial" w:eastAsia="Arial" w:hAnsi="Arial"/>
          <w:sz w:val="13"/>
          <w:szCs w:val="13"/>
          <w:color w:val="auto"/>
        </w:rPr>
        <w:t>,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gout flares in sufficient commercial quantities if these late-stage product candidates were all to receive regulatory approval, and (b) our earlier stage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financial condition, and results of operations may be materially harmed.</w:t>
      </w:r>
    </w:p>
    <w:p>
      <w:pPr>
        <w:spacing w:after="0" w:line="173" w:lineRule="exact"/>
        <w:rPr>
          <w:sz w:val="20"/>
          <w:szCs w:val="20"/>
          <w:color w:val="auto"/>
        </w:rPr>
      </w:pPr>
    </w:p>
    <w:p>
      <w:pPr>
        <w:ind w:left="140"/>
        <w:spacing w:after="0" w:line="332" w:lineRule="auto"/>
        <w:rPr>
          <w:sz w:val="20"/>
          <w:szCs w:val="20"/>
          <w:color w:val="auto"/>
        </w:rPr>
      </w:pPr>
      <w:r>
        <w:rPr>
          <w:rFonts w:ascii="Arial" w:cs="Arial" w:eastAsia="Arial" w:hAnsi="Arial"/>
          <w:sz w:val="13"/>
          <w:szCs w:val="13"/>
          <w:b w:val="1"/>
          <w:bCs w:val="1"/>
          <w:i w:val="1"/>
          <w:iCs w:val="1"/>
          <w:color w:val="auto"/>
        </w:rPr>
        <w:t>Expanding our manufacturing capacity will be costly and we may be unsuccessful in doing so in a timely manner, which could delay or prevent the launch and successful commercialization of our late-stage product candidates if they are approved for marketing and could jeopardize our current and future clinical development programs.</w:t>
      </w:r>
    </w:p>
    <w:p>
      <w:pPr>
        <w:spacing w:after="0" w:line="157" w:lineRule="exact"/>
        <w:rPr>
          <w:sz w:val="20"/>
          <w:szCs w:val="20"/>
          <w:color w:val="auto"/>
        </w:rPr>
      </w:pPr>
    </w:p>
    <w:p>
      <w:pPr>
        <w:jc w:val="both"/>
        <w:ind w:firstLine="263"/>
        <w:spacing w:after="0" w:line="278" w:lineRule="auto"/>
        <w:rPr>
          <w:sz w:val="20"/>
          <w:szCs w:val="20"/>
          <w:color w:val="auto"/>
        </w:rPr>
      </w:pPr>
      <w:r>
        <w:rPr>
          <w:rFonts w:ascii="Arial" w:cs="Arial" w:eastAsia="Arial" w:hAnsi="Arial"/>
          <w:sz w:val="13"/>
          <w:szCs w:val="13"/>
          <w:color w:val="auto"/>
        </w:rPr>
        <w:t>Expanding our manufacturing capacity to supply commercial quantities of the active pharmaceutical ingredients for our late-stage product candidates if they are approved for marketing, and to supply clinical drug material to support the continued growth of our clinical programs, will require substantial additional expenditures, and we will need to hire and train significant numbers of employees and managerial personnel to staff our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w:t>
      </w:r>
      <w:r>
        <w:rPr>
          <w:rFonts w:ascii="Arial" w:cs="Arial" w:eastAsia="Arial" w:hAnsi="Arial"/>
          <w:sz w:val="17"/>
          <w:szCs w:val="17"/>
          <w:color w:val="auto"/>
          <w:vertAlign w:val="superscript"/>
        </w:rPr>
        <w:t>TM</w:t>
      </w:r>
      <w:r>
        <w:rPr>
          <w:rFonts w:ascii="Arial" w:cs="Arial" w:eastAsia="Arial" w:hAnsi="Arial"/>
          <w:sz w:val="13"/>
          <w:szCs w:val="13"/>
          <w:color w:val="auto"/>
        </w:rPr>
        <w:t>, ZALTRAP</w:t>
      </w:r>
      <w:r>
        <w:rPr>
          <w:rFonts w:ascii="Arial" w:cs="Arial" w:eastAsia="Arial" w:hAnsi="Arial"/>
          <w:sz w:val="17"/>
          <w:szCs w:val="17"/>
          <w:color w:val="auto"/>
          <w:vertAlign w:val="superscript"/>
        </w:rPr>
        <w:t>TM</w:t>
      </w:r>
      <w:r>
        <w:rPr>
          <w:rFonts w:ascii="Arial" w:cs="Arial" w:eastAsia="Arial" w:hAnsi="Arial"/>
          <w:sz w:val="13"/>
          <w:szCs w:val="13"/>
          <w:color w:val="auto"/>
        </w:rPr>
        <w:t>, and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treatment if they receive regulatory approval, and could also delay or require us to discontinue one or more of our clinical development programs. As a result, our business, financial condition, and results of operations could be materially harmed.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53" w:name="page54"/>
    <w:bookmarkEnd w:id="53"/>
    <w:p>
      <w:pPr>
        <w:ind w:left="140"/>
        <w:spacing w:after="0" w:line="291" w:lineRule="auto"/>
        <w:rPr>
          <w:sz w:val="20"/>
          <w:szCs w:val="20"/>
          <w:color w:val="auto"/>
        </w:rPr>
      </w:pPr>
      <w:r>
        <w:rPr>
          <w:rFonts w:ascii="Arial" w:cs="Arial" w:eastAsia="Arial" w:hAnsi="Arial"/>
          <w:sz w:val="14"/>
          <w:szCs w:val="14"/>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178"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3"/>
          <w:szCs w:val="13"/>
          <w:color w:val="auto"/>
        </w:rPr>
        <w:t>Our ability to continue to manufacture ARCALYST</w:t>
      </w:r>
      <w:r>
        <w:rPr>
          <w:rFonts w:ascii="Arial" w:cs="Arial" w:eastAsia="Arial" w:hAnsi="Arial"/>
          <w:sz w:val="17"/>
          <w:szCs w:val="17"/>
          <w:color w:val="auto"/>
          <w:vertAlign w:val="superscript"/>
        </w:rPr>
        <w:t>®</w:t>
      </w:r>
      <w:r>
        <w:rPr>
          <w:rFonts w:ascii="Arial" w:cs="Arial" w:eastAsia="Arial" w:hAnsi="Arial"/>
          <w:sz w:val="13"/>
          <w:szCs w:val="13"/>
          <w:color w:val="auto"/>
        </w:rPr>
        <w:t>, EYLEA</w:t>
      </w:r>
      <w:r>
        <w:rPr>
          <w:rFonts w:ascii="Arial" w:cs="Arial" w:eastAsia="Arial" w:hAnsi="Arial"/>
          <w:sz w:val="17"/>
          <w:szCs w:val="17"/>
          <w:color w:val="auto"/>
          <w:vertAlign w:val="superscript"/>
        </w:rPr>
        <w:t>TM</w:t>
      </w:r>
      <w:r>
        <w:rPr>
          <w:rFonts w:ascii="Arial" w:cs="Arial" w:eastAsia="Arial" w:hAnsi="Arial"/>
          <w:sz w:val="13"/>
          <w:szCs w:val="13"/>
          <w:color w:val="auto"/>
        </w:rPr>
        <w:t>, and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our Rensselaer, New York facilities, or to utilize third-parties to produce our products or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which could materially harm our business, operations and prospects.</w:t>
      </w:r>
    </w:p>
    <w:p>
      <w:pPr>
        <w:spacing w:after="0" w:line="174"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If the launch of our late-stage product candidates, or any of our clinical programs, are delayed or discontinued, we may face costs related to unused capacity at our manufacturing facilities and at the facilities of third parties performing fill/finish services or other steps in our manufacture and supply chain.</w:t>
      </w:r>
    </w:p>
    <w:p>
      <w:pPr>
        <w:spacing w:after="0" w:line="178" w:lineRule="exact"/>
        <w:rPr>
          <w:sz w:val="20"/>
          <w:szCs w:val="20"/>
          <w:color w:val="auto"/>
        </w:rPr>
      </w:pPr>
    </w:p>
    <w:p>
      <w:pPr>
        <w:jc w:val="both"/>
        <w:ind w:firstLine="252"/>
        <w:spacing w:after="0" w:line="247" w:lineRule="auto"/>
        <w:rPr>
          <w:sz w:val="20"/>
          <w:szCs w:val="20"/>
          <w:color w:val="auto"/>
        </w:rPr>
      </w:pPr>
      <w:r>
        <w:rPr>
          <w:rFonts w:ascii="Arial" w:cs="Arial" w:eastAsia="Arial" w:hAnsi="Arial"/>
          <w:sz w:val="14"/>
          <w:szCs w:val="14"/>
          <w:color w:val="auto"/>
        </w:rPr>
        <w:t>We have large-scale manufacturing operations in Rensselaer, New York. We use our facilities to produce bulk product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and of clinical and preclinical candidates for ourselves and our collaborations, and plan to use such facilities to produce bulk product for commercial supply of our late-stage product candidates if they are approved for marketing. If our clinical candidates are discontinued or their clinical development is delayed, if the launch of our late-stage product candidates is delayed or does not occur, or if such products are launched and subsequently recalled or marketing approval is rescinded, we may have to absorb one hundred percent of related overhead costs and inefficiencies, as well as similar costs of third-party contract manufacturers performing fill/finish services for us.</w:t>
      </w:r>
    </w:p>
    <w:p>
      <w:pPr>
        <w:spacing w:after="0" w:line="189"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80" w:lineRule="exact"/>
        <w:rPr>
          <w:sz w:val="20"/>
          <w:szCs w:val="20"/>
          <w:color w:val="auto"/>
        </w:rPr>
      </w:pPr>
    </w:p>
    <w:p>
      <w:pPr>
        <w:jc w:val="both"/>
        <w:ind w:firstLine="219"/>
        <w:spacing w:after="0" w:line="332" w:lineRule="auto"/>
        <w:rPr>
          <w:sz w:val="20"/>
          <w:szCs w:val="20"/>
          <w:color w:val="auto"/>
        </w:rPr>
      </w:pPr>
      <w:r>
        <w:rPr>
          <w:rFonts w:ascii="Arial" w:cs="Arial" w:eastAsia="Arial" w:hAnsi="Arial"/>
          <w:sz w:val="13"/>
          <w:szCs w:val="13"/>
          <w:color w:val="auto"/>
        </w:rPr>
        <w:t>We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155" w:lineRule="exact"/>
        <w:rPr>
          <w:sz w:val="20"/>
          <w:szCs w:val="20"/>
          <w:color w:val="auto"/>
        </w:rPr>
      </w:pPr>
    </w:p>
    <w:p>
      <w:pPr>
        <w:jc w:val="both"/>
        <w:ind w:firstLine="241"/>
        <w:spacing w:after="0" w:line="218" w:lineRule="auto"/>
        <w:rPr>
          <w:sz w:val="20"/>
          <w:szCs w:val="20"/>
          <w:color w:val="auto"/>
        </w:rPr>
      </w:pPr>
      <w:r>
        <w:rPr>
          <w:rFonts w:ascii="Arial" w:cs="Arial" w:eastAsia="Arial" w:hAnsi="Arial"/>
          <w:sz w:val="14"/>
          <w:szCs w:val="14"/>
          <w:color w:val="auto"/>
        </w:rPr>
        <w:t>Also, certain raw materials necessary for the manufacture and formulation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of our product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ZALTRAP</w:t>
      </w:r>
      <w:r>
        <w:rPr>
          <w:rFonts w:ascii="Arial" w:cs="Arial" w:eastAsia="Arial" w:hAnsi="Arial"/>
          <w:sz w:val="19"/>
          <w:szCs w:val="19"/>
          <w:color w:val="auto"/>
          <w:vertAlign w:val="superscript"/>
        </w:rPr>
        <w:t>TM</w:t>
      </w:r>
      <w:r>
        <w:rPr>
          <w:rFonts w:ascii="Arial" w:cs="Arial" w:eastAsia="Arial" w:hAnsi="Arial"/>
          <w:sz w:val="14"/>
          <w:szCs w:val="14"/>
          <w:color w:val="auto"/>
        </w:rPr>
        <w:t>, are provided by single-source unaffiliated third-party suppliers. In addition, we rely on certain third parties to perform filling, finishing, distribution, laboratory testing, and other services related to the manufacture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our product candidates. We would be unable to obtain these raw materials or services for an indeterminate period of time if any of these third 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cGMPs, business interruptions, or labor shortages or disputes. This, in turn, could materially and adversely affect our ability to manufacture or supply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and to manufacture and supply commercial quantities of EYLEA</w:t>
      </w:r>
      <w:r>
        <w:rPr>
          <w:rFonts w:ascii="Arial" w:cs="Arial" w:eastAsia="Arial" w:hAnsi="Arial"/>
          <w:sz w:val="19"/>
          <w:szCs w:val="19"/>
          <w:color w:val="auto"/>
          <w:vertAlign w:val="superscript"/>
        </w:rPr>
        <w:t>TM</w:t>
      </w:r>
      <w:r>
        <w:rPr>
          <w:rFonts w:ascii="Arial" w:cs="Arial" w:eastAsia="Arial" w:hAnsi="Arial"/>
          <w:sz w:val="14"/>
          <w:szCs w:val="14"/>
          <w:color w:val="auto"/>
        </w:rPr>
        <w:t>, ZALTRAP</w:t>
      </w:r>
      <w:r>
        <w:rPr>
          <w:rFonts w:ascii="Arial" w:cs="Arial" w:eastAsia="Arial" w:hAnsi="Arial"/>
          <w:sz w:val="19"/>
          <w:szCs w:val="19"/>
          <w:color w:val="auto"/>
          <w:vertAlign w:val="superscript"/>
        </w:rPr>
        <w:t>TM</w:t>
      </w:r>
      <w:r>
        <w:rPr>
          <w:rFonts w:ascii="Arial" w:cs="Arial" w:eastAsia="Arial" w:hAnsi="Arial"/>
          <w:sz w:val="14"/>
          <w:szCs w:val="14"/>
          <w:color w:val="auto"/>
        </w:rPr>
        <w:t>, and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if they receive regulatory approval, which could materially and adversely affect our business and future prospects.</w:t>
      </w:r>
    </w:p>
    <w:p>
      <w:pPr>
        <w:spacing w:after="0" w:line="217" w:lineRule="exact"/>
        <w:rPr>
          <w:sz w:val="20"/>
          <w:szCs w:val="20"/>
          <w:color w:val="auto"/>
        </w:rPr>
      </w:pPr>
    </w:p>
    <w:p>
      <w:pPr>
        <w:jc w:val="both"/>
        <w:ind w:firstLine="252"/>
        <w:spacing w:after="0" w:line="276" w:lineRule="auto"/>
        <w:rPr>
          <w:sz w:val="20"/>
          <w:szCs w:val="20"/>
          <w:color w:val="auto"/>
        </w:rPr>
      </w:pPr>
      <w:r>
        <w:rPr>
          <w:rFonts w:ascii="Arial" w:cs="Arial" w:eastAsia="Arial" w:hAnsi="Arial"/>
          <w:sz w:val="14"/>
          <w:szCs w:val="14"/>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69"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and/or in their commercial launch if they obtain regulatory approval, and a reduction in sales.</w:t>
      </w:r>
    </w:p>
    <w:p>
      <w:pPr>
        <w:spacing w:after="0" w:line="180" w:lineRule="exact"/>
        <w:rPr>
          <w:sz w:val="20"/>
          <w:szCs w:val="20"/>
          <w:color w:val="auto"/>
        </w:rPr>
      </w:pPr>
    </w:p>
    <w:p>
      <w:pPr>
        <w:jc w:val="both"/>
        <w:ind w:firstLine="307"/>
        <w:spacing w:after="0" w:line="254" w:lineRule="auto"/>
        <w:rPr>
          <w:sz w:val="20"/>
          <w:szCs w:val="20"/>
          <w:color w:val="auto"/>
        </w:rPr>
      </w:pPr>
      <w:r>
        <w:rPr>
          <w:rFonts w:ascii="Arial" w:cs="Arial" w:eastAsia="Arial" w:hAnsi="Arial"/>
          <w:sz w:val="14"/>
          <w:szCs w:val="14"/>
          <w:color w:val="auto"/>
        </w:rPr>
        <w:t>We and our third-party providers are required to maintain compliance with cGMP,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 candidates at our facility in Rensselaer, New York, including ARCALYST</w:t>
      </w:r>
      <w:r>
        <w:rPr>
          <w:rFonts w:ascii="Arial" w:cs="Arial" w:eastAsia="Arial" w:hAnsi="Arial"/>
          <w:sz w:val="19"/>
          <w:szCs w:val="19"/>
          <w:color w:val="auto"/>
          <w:vertAlign w:val="superscript"/>
        </w:rPr>
        <w:t>®</w:t>
      </w:r>
      <w:r>
        <w:rPr>
          <w:rFonts w:ascii="Arial" w:cs="Arial" w:eastAsia="Arial" w:hAnsi="Arial"/>
          <w:sz w:val="14"/>
          <w:szCs w:val="14"/>
          <w:color w:val="auto"/>
        </w:rPr>
        <w:t>, EYLEA</w:t>
      </w:r>
      <w:r>
        <w:rPr>
          <w:rFonts w:ascii="Arial" w:cs="Arial" w:eastAsia="Arial" w:hAnsi="Arial"/>
          <w:sz w:val="19"/>
          <w:szCs w:val="19"/>
          <w:color w:val="auto"/>
          <w:vertAlign w:val="superscript"/>
        </w:rPr>
        <w:t>TM</w:t>
      </w:r>
      <w:r>
        <w:rPr>
          <w:rFonts w:ascii="Arial" w:cs="Arial" w:eastAsia="Arial" w:hAnsi="Arial"/>
          <w:sz w:val="14"/>
          <w:szCs w:val="14"/>
          <w:color w:val="auto"/>
        </w:rPr>
        <w:t>, and ZALTRAP</w:t>
      </w:r>
      <w:r>
        <w:rPr>
          <w:rFonts w:ascii="Arial" w:cs="Arial" w:eastAsia="Arial" w:hAnsi="Arial"/>
          <w:sz w:val="19"/>
          <w:szCs w:val="19"/>
          <w:color w:val="auto"/>
          <w:vertAlign w:val="superscript"/>
        </w:rPr>
        <w:t>TM</w:t>
      </w:r>
      <w:r>
        <w:rPr>
          <w:rFonts w:ascii="Arial" w:cs="Arial" w:eastAsia="Arial" w:hAnsi="Arial"/>
          <w:sz w:val="14"/>
          <w:szCs w:val="14"/>
          <w:color w:val="auto"/>
        </w:rPr>
        <w: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and cause us to lose revenue from any marketed products, which could be seriously detrimental to our business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Risks Related to Commercialization of Products</w:t>
      </w:r>
    </w:p>
    <w:p>
      <w:pPr>
        <w:spacing w:after="0" w:line="214" w:lineRule="exact"/>
        <w:rPr>
          <w:sz w:val="20"/>
          <w:szCs w:val="20"/>
          <w:color w:val="auto"/>
        </w:rPr>
      </w:pPr>
    </w:p>
    <w:p>
      <w:pPr>
        <w:ind w:left="140"/>
        <w:spacing w:after="0" w:line="226" w:lineRule="auto"/>
        <w:rPr>
          <w:sz w:val="20"/>
          <w:szCs w:val="20"/>
          <w:color w:val="auto"/>
        </w:rPr>
      </w:pPr>
      <w:r>
        <w:rPr>
          <w:rFonts w:ascii="Arial" w:cs="Arial" w:eastAsia="Arial" w:hAnsi="Arial"/>
          <w:sz w:val="14"/>
          <w:szCs w:val="14"/>
          <w:b w:val="1"/>
          <w:bCs w:val="1"/>
          <w:i w:val="1"/>
          <w:iCs w:val="1"/>
          <w:color w:val="auto"/>
        </w:rPr>
        <w:t>Even if we receive regulatory approval to market EYLEA</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or our other late-stage product candidates, we may be unsuccessful in commercializing them, which would materially delay or prevent our achieving profitability.</w:t>
      </w:r>
    </w:p>
    <w:p>
      <w:pPr>
        <w:spacing w:after="0" w:line="215" w:lineRule="exact"/>
        <w:rPr>
          <w:sz w:val="20"/>
          <w:szCs w:val="20"/>
          <w:color w:val="auto"/>
        </w:rPr>
      </w:pPr>
    </w:p>
    <w:p>
      <w:pPr>
        <w:jc w:val="both"/>
        <w:ind w:firstLine="219"/>
        <w:spacing w:after="0" w:line="298" w:lineRule="auto"/>
        <w:rPr>
          <w:sz w:val="20"/>
          <w:szCs w:val="20"/>
          <w:color w:val="auto"/>
        </w:rPr>
      </w:pPr>
      <w:r>
        <w:rPr>
          <w:rFonts w:ascii="Arial" w:cs="Arial" w:eastAsia="Arial" w:hAnsi="Arial"/>
          <w:sz w:val="13"/>
          <w:szCs w:val="13"/>
          <w:color w:val="auto"/>
        </w:rPr>
        <w:t>Even if clinical trials demonstrate the safety and effectiveness of any of our product candidates for a specific disease and the necessary regulatory approvals are obtained, the commercial success of any of our product candidates will depend upon, among other things, their acceptance by patients, the medical community, and third-party payers and on our and our collaborators' ability to successfully manufacture and commercialize those products. Even if we obtain regulatory approval for our product candidates, if they are not successfully commercialized, we will not be able to recover the significant investment we have made in developing such products and our business, results of operations, and financial condition would be severely harmed.</w:t>
      </w:r>
    </w:p>
    <w:p>
      <w:pPr>
        <w:spacing w:after="0" w:line="177" w:lineRule="exact"/>
        <w:rPr>
          <w:sz w:val="20"/>
          <w:szCs w:val="20"/>
          <w:color w:val="auto"/>
        </w:rPr>
      </w:pPr>
    </w:p>
    <w:p>
      <w:pPr>
        <w:jc w:val="both"/>
        <w:ind w:firstLine="241"/>
        <w:spacing w:after="0" w:line="216" w:lineRule="auto"/>
        <w:rPr>
          <w:sz w:val="20"/>
          <w:szCs w:val="20"/>
          <w:color w:val="auto"/>
        </w:rPr>
      </w:pPr>
      <w:r>
        <w:rPr>
          <w:rFonts w:ascii="Arial" w:cs="Arial" w:eastAsia="Arial" w:hAnsi="Arial"/>
          <w:sz w:val="14"/>
          <w:szCs w:val="14"/>
          <w:color w:val="auto"/>
        </w:rPr>
        <w:t>In particular, we cannot be sure that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will be commercially successful in the pharmaceutical market even if we obtain marketing approval for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such indication in a timely manner. In addition to the challenges we face related to a company launching its first major commercial drug, as described in detail in the risk factor immediately below, we and Bayer Healthcare will face intense competition from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from off-label use of Avastin</w:t>
      </w:r>
      <w:r>
        <w:rPr>
          <w:rFonts w:ascii="Arial" w:cs="Arial" w:eastAsia="Arial" w:hAnsi="Arial"/>
          <w:sz w:val="19"/>
          <w:szCs w:val="19"/>
          <w:color w:val="auto"/>
          <w:vertAlign w:val="superscript"/>
        </w:rPr>
        <w:t>®</w:t>
      </w:r>
      <w:r>
        <w:rPr>
          <w:rFonts w:ascii="Arial" w:cs="Arial" w:eastAsia="Arial" w:hAnsi="Arial"/>
          <w:sz w:val="14"/>
          <w:szCs w:val="14"/>
          <w:color w:val="auto"/>
        </w:rPr>
        <w:t>, both of which have been on the market for a number of years. We expect that the initial commercial success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if it is approved for marketing will depend on many factors, including the following:</w:t>
      </w:r>
    </w:p>
    <w:p>
      <w:pPr>
        <w:spacing w:after="0" w:line="60" w:lineRule="exact"/>
        <w:rPr>
          <w:sz w:val="20"/>
          <w:szCs w:val="20"/>
          <w:color w:val="auto"/>
        </w:rPr>
      </w:pPr>
    </w:p>
    <w:p>
      <w:pPr>
        <w:ind w:left="440" w:right="20"/>
        <w:spacing w:after="0" w:line="265" w:lineRule="auto"/>
        <w:rPr>
          <w:sz w:val="20"/>
          <w:szCs w:val="20"/>
          <w:color w:val="auto"/>
        </w:rPr>
      </w:pPr>
      <w:r>
        <w:rPr>
          <w:rFonts w:ascii="Arial" w:cs="Arial" w:eastAsia="Arial" w:hAnsi="Arial"/>
          <w:sz w:val="14"/>
          <w:szCs w:val="14"/>
          <w:color w:val="auto"/>
        </w:rPr>
        <w:t>the effectiveness of our and Bayer Healthcare's commercial strategy for the launch and marketing of EYLEA</w:t>
      </w:r>
      <w:r>
        <w:rPr>
          <w:rFonts w:ascii="Arial" w:cs="Arial" w:eastAsia="Arial" w:hAnsi="Arial"/>
          <w:sz w:val="9"/>
          <w:szCs w:val="9"/>
          <w:color w:val="auto"/>
        </w:rPr>
        <w:t>TM</w:t>
      </w:r>
      <w:r>
        <w:rPr>
          <w:rFonts w:ascii="Arial" w:cs="Arial" w:eastAsia="Arial" w:hAnsi="Arial"/>
          <w:sz w:val="14"/>
          <w:szCs w:val="14"/>
          <w:color w:val="auto"/>
        </w:rPr>
        <w:t xml:space="preserve"> in and outside the U.S., respectively, including pricing strategy and the effectiveness of efforts to obtain, and the timing of obtaining, adequate third-party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61" w:lineRule="auto"/>
        <w:rPr>
          <w:sz w:val="20"/>
          <w:szCs w:val="20"/>
          <w:color w:val="auto"/>
        </w:rPr>
      </w:pPr>
      <w:r>
        <w:rPr>
          <w:rFonts w:ascii="Arial" w:cs="Arial" w:eastAsia="Arial" w:hAnsi="Arial"/>
          <w:sz w:val="14"/>
          <w:szCs w:val="14"/>
          <w:color w:val="auto"/>
        </w:rPr>
        <w:t>maintaining and successfully monitoring commercial manufacturing arrangements for EYLEA</w:t>
      </w:r>
      <w:r>
        <w:rPr>
          <w:rFonts w:ascii="Arial" w:cs="Arial" w:eastAsia="Arial" w:hAnsi="Arial"/>
          <w:sz w:val="9"/>
          <w:szCs w:val="9"/>
          <w:color w:val="auto"/>
        </w:rPr>
        <w:t>TM</w:t>
      </w:r>
      <w:r>
        <w:rPr>
          <w:rFonts w:ascii="Arial" w:cs="Arial" w:eastAsia="Arial" w:hAnsi="Arial"/>
          <w:sz w:val="14"/>
          <w:szCs w:val="14"/>
          <w:color w:val="auto"/>
        </w:rPr>
        <w:t xml:space="preserve"> with third-parties who perform fill/finish or other steps in the manufacture of EYLEA</w:t>
      </w:r>
      <w:r>
        <w:rPr>
          <w:rFonts w:ascii="Arial" w:cs="Arial" w:eastAsia="Arial" w:hAnsi="Arial"/>
          <w:sz w:val="9"/>
          <w:szCs w:val="9"/>
          <w:color w:val="auto"/>
        </w:rPr>
        <w:t>TM</w:t>
      </w:r>
      <w:r>
        <w:rPr>
          <w:rFonts w:ascii="Arial" w:cs="Arial" w:eastAsia="Arial" w:hAnsi="Arial"/>
          <w:sz w:val="14"/>
          <w:szCs w:val="14"/>
          <w:color w:val="auto"/>
        </w:rPr>
        <w:t xml:space="preserve"> to ensure that they meet our standards and those of regulatory authorities, including the FDA, which extensively regulate and monitor pharmaceutical manufacturing facilities; our ability to meet the demand for commercial supplies of EYLEA</w:t>
      </w:r>
      <w:r>
        <w:rPr>
          <w:rFonts w:ascii="Arial" w:cs="Arial" w:eastAsia="Arial" w:hAnsi="Arial"/>
          <w:sz w:val="9"/>
          <w:szCs w:val="9"/>
          <w:color w:val="auto"/>
        </w:rPr>
        <w:t>TM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-302895</wp:posOffset>
            </wp:positionV>
            <wp:extent cx="53340" cy="53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-80010</wp:posOffset>
            </wp:positionV>
            <wp:extent cx="53340" cy="53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61" w:lineRule="auto"/>
        <w:rPr>
          <w:sz w:val="20"/>
          <w:szCs w:val="20"/>
          <w:color w:val="auto"/>
        </w:rPr>
      </w:pPr>
      <w:r>
        <w:rPr>
          <w:rFonts w:ascii="Arial" w:cs="Arial" w:eastAsia="Arial" w:hAnsi="Arial"/>
          <w:sz w:val="14"/>
          <w:szCs w:val="14"/>
          <w:color w:val="auto"/>
        </w:rPr>
        <w:t>our ability to effectively communicate to the marketplace the benefits of EYLEA's</w:t>
      </w:r>
      <w:r>
        <w:rPr>
          <w:rFonts w:ascii="Arial" w:cs="Arial" w:eastAsia="Arial" w:hAnsi="Arial"/>
          <w:sz w:val="9"/>
          <w:szCs w:val="9"/>
          <w:color w:val="auto"/>
        </w:rPr>
        <w:t>TM</w:t>
      </w:r>
      <w:r>
        <w:rPr>
          <w:rFonts w:ascii="Arial" w:cs="Arial" w:eastAsia="Arial" w:hAnsi="Arial"/>
          <w:sz w:val="14"/>
          <w:szCs w:val="14"/>
          <w:color w:val="auto"/>
        </w:rPr>
        <w:t xml:space="preserve"> dosing regimen of every 2 months as compared to the monthly dosing regimen of Lucentis</w:t>
      </w:r>
      <w:r>
        <w:rPr>
          <w:rFonts w:ascii="Arial" w:cs="Arial" w:eastAsia="Arial" w:hAnsi="Arial"/>
          <w:sz w:val="9"/>
          <w:szCs w:val="9"/>
          <w:color w:val="auto"/>
        </w:rPr>
        <w:t>®</w:t>
      </w:r>
      <w:r>
        <w:rPr>
          <w:rFonts w:ascii="Arial" w:cs="Arial" w:eastAsia="Arial" w:hAnsi="Arial"/>
          <w:sz w:val="14"/>
          <w:szCs w:val="14"/>
          <w:color w:val="auto"/>
        </w:rPr>
        <w:t>, and the willingness of retinal specialists and patients to switch from Lucentis</w:t>
      </w:r>
      <w:r>
        <w:rPr>
          <w:rFonts w:ascii="Arial" w:cs="Arial" w:eastAsia="Arial" w:hAnsi="Arial"/>
          <w:sz w:val="9"/>
          <w:szCs w:val="9"/>
          <w:color w:val="auto"/>
        </w:rPr>
        <w:t>®</w:t>
      </w:r>
      <w:r>
        <w:rPr>
          <w:rFonts w:ascii="Arial" w:cs="Arial" w:eastAsia="Arial" w:hAnsi="Arial"/>
          <w:sz w:val="14"/>
          <w:szCs w:val="14"/>
          <w:color w:val="auto"/>
        </w:rPr>
        <w:t xml:space="preserve"> or off-label use of Avastin</w:t>
      </w:r>
      <w:r>
        <w:rPr>
          <w:rFonts w:ascii="Arial" w:cs="Arial" w:eastAsia="Arial" w:hAnsi="Arial"/>
          <w:sz w:val="9"/>
          <w:szCs w:val="9"/>
          <w:color w:val="auto"/>
        </w:rPr>
        <w:t>®</w:t>
      </w:r>
      <w:r>
        <w:rPr>
          <w:rFonts w:ascii="Arial" w:cs="Arial" w:eastAsia="Arial" w:hAnsi="Arial"/>
          <w:sz w:val="14"/>
          <w:szCs w:val="14"/>
          <w:color w:val="auto"/>
        </w:rPr>
        <w:t xml:space="preserve"> to EYLEA</w:t>
      </w:r>
      <w:r>
        <w:rPr>
          <w:rFonts w:ascii="Arial" w:cs="Arial" w:eastAsia="Arial" w:hAnsi="Arial"/>
          <w:sz w:val="9"/>
          <w:szCs w:val="9"/>
          <w:color w:val="auto"/>
        </w:rPr>
        <w:t>TM</w:t>
      </w:r>
      <w:r>
        <w:rPr>
          <w:rFonts w:ascii="Arial" w:cs="Arial" w:eastAsia="Arial" w:hAnsi="Arial"/>
          <w:sz w:val="14"/>
          <w:szCs w:val="14"/>
          <w:color w:val="auto"/>
        </w:rPr>
        <w:t xml:space="preserve">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61" w:lineRule="auto"/>
        <w:rPr>
          <w:sz w:val="20"/>
          <w:szCs w:val="20"/>
          <w:color w:val="auto"/>
        </w:rPr>
      </w:pPr>
      <w:r>
        <w:rPr>
          <w:rFonts w:ascii="Arial" w:cs="Arial" w:eastAsia="Arial" w:hAnsi="Arial"/>
          <w:sz w:val="14"/>
          <w:szCs w:val="14"/>
          <w:color w:val="auto"/>
        </w:rPr>
        <w:t>the ability of patients, retinal specialists, and other providers to obtain and maintain sufficient coverage and reimbursement from third-party payors, including Medicare and Medicaid in the U.S. and other government payors;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the effect of new health care legislation currently being implemented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63" w:lineRule="exact"/>
        <w:rPr>
          <w:sz w:val="20"/>
          <w:szCs w:val="20"/>
          <w:color w:val="auto"/>
        </w:rPr>
      </w:pPr>
    </w:p>
    <w:p>
      <w:pPr>
        <w:jc w:val="both"/>
        <w:ind w:firstLine="274"/>
        <w:spacing w:after="0" w:line="208" w:lineRule="auto"/>
        <w:rPr>
          <w:sz w:val="20"/>
          <w:szCs w:val="20"/>
          <w:color w:val="auto"/>
        </w:rPr>
      </w:pPr>
      <w:r>
        <w:rPr>
          <w:rFonts w:ascii="Arial" w:cs="Arial" w:eastAsia="Arial" w:hAnsi="Arial"/>
          <w:sz w:val="14"/>
          <w:szCs w:val="14"/>
          <w:color w:val="auto"/>
        </w:rPr>
        <w:t>While we believe that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will have a commercially competitive profile, we cannot predict whether ophthalmologists, particularly retinal specialists, and patients, will accept or utilize EYLEA</w:t>
      </w:r>
      <w:r>
        <w:rPr>
          <w:rFonts w:ascii="Arial" w:cs="Arial" w:eastAsia="Arial" w:hAnsi="Arial"/>
          <w:sz w:val="19"/>
          <w:szCs w:val="19"/>
          <w:color w:val="auto"/>
          <w:vertAlign w:val="superscript"/>
        </w:rPr>
        <w:t>TM</w:t>
      </w:r>
      <w:r>
        <w:rPr>
          <w:rFonts w:ascii="Arial" w:cs="Arial" w:eastAsia="Arial" w:hAnsi="Arial"/>
          <w:sz w:val="14"/>
          <w:szCs w:val="14"/>
          <w:color w:val="auto"/>
        </w:rPr>
        <w:t>. Our and Bayer Healthcare's efforts to educate the relevant medical community and third-party payors regarding the benefits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will require significant resources and may not be successful in achieving our objectives. If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is approved for marketing but does not achieve significant market acceptance for the treatment of wet AMD, our ability to achieve profitability would be materially impaired or delayed.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55" w:name="page56"/>
    <w:bookmarkEnd w:id="55"/>
    <w:p>
      <w:pPr>
        <w:jc w:val="both"/>
        <w:ind w:left="140"/>
        <w:spacing w:after="0" w:line="276" w:lineRule="auto"/>
        <w:rPr>
          <w:sz w:val="20"/>
          <w:szCs w:val="20"/>
          <w:color w:val="auto"/>
        </w:rPr>
      </w:pPr>
      <w:r>
        <w:rPr>
          <w:rFonts w:ascii="Arial" w:cs="Arial" w:eastAsia="Arial" w:hAnsi="Arial"/>
          <w:sz w:val="14"/>
          <w:szCs w:val="14"/>
          <w:b w:val="1"/>
          <w:bCs w:val="1"/>
          <w:i w:val="1"/>
          <w:iCs w:val="1"/>
          <w:color w:val="auto"/>
        </w:rPr>
        <w:t>If we are unable to establish and effectively deploy and manage sales, marketing, and distribution capabilities in the applicable markets or to enter into agreements with third parties to do so, even if our late-stage product candidates receive regulatory approval we will be unable to successfully launch and commercialize those products in those markets, which would materially harm our business, operating results, and financial condition.</w:t>
      </w:r>
    </w:p>
    <w:p>
      <w:pPr>
        <w:spacing w:after="0" w:line="189" w:lineRule="exact"/>
        <w:rPr>
          <w:sz w:val="20"/>
          <w:szCs w:val="20"/>
          <w:color w:val="auto"/>
        </w:rPr>
      </w:pPr>
    </w:p>
    <w:p>
      <w:pPr>
        <w:jc w:val="both"/>
        <w:ind w:firstLine="285"/>
        <w:spacing w:after="0" w:line="216" w:lineRule="auto"/>
        <w:rPr>
          <w:sz w:val="20"/>
          <w:szCs w:val="20"/>
          <w:color w:val="auto"/>
        </w:rPr>
      </w:pPr>
      <w:r>
        <w:rPr>
          <w:rFonts w:ascii="Arial" w:cs="Arial" w:eastAsia="Arial" w:hAnsi="Arial"/>
          <w:sz w:val="14"/>
          <w:szCs w:val="14"/>
          <w:color w:val="auto"/>
        </w:rPr>
        <w:t>We are selling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ourselves in the U.S. for the treatment of CAPS, primarily through third-party service providers. We are establishing our own sales, marketing, and distribution organization in anticipation of receiving regulatory approval to market and sell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the U.S. for the treatment of wet AMD, and in anticipation of filing for and receiving regulatory approval to market and sell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the U.S. for the treatment of CRVO. However, even if we can fully establish this organization in a timely fashion, we may be unsuccessful in achieving a successful launch and commercialization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the U.S., which would materially harm our business, operating results, and financial condition.</w:t>
      </w:r>
    </w:p>
    <w:p>
      <w:pPr>
        <w:spacing w:after="0" w:line="135" w:lineRule="exact"/>
        <w:rPr>
          <w:sz w:val="20"/>
          <w:szCs w:val="20"/>
          <w:color w:val="auto"/>
        </w:rPr>
      </w:pPr>
    </w:p>
    <w:p>
      <w:pPr>
        <w:jc w:val="both"/>
        <w:ind w:firstLine="241"/>
        <w:spacing w:after="0" w:line="224" w:lineRule="auto"/>
        <w:rPr>
          <w:sz w:val="20"/>
          <w:szCs w:val="20"/>
          <w:color w:val="auto"/>
        </w:rPr>
      </w:pPr>
      <w:r>
        <w:rPr>
          <w:rFonts w:ascii="Arial" w:cs="Arial" w:eastAsia="Arial" w:hAnsi="Arial"/>
          <w:sz w:val="14"/>
          <w:szCs w:val="14"/>
          <w:color w:val="auto"/>
        </w:rPr>
        <w:t>We will have to rely on a third party or devote significant resources to develop our own sales, marketing, and distribution capabilities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patients with gout initiating uric acid-lowering drug therapy if it receives regulatory approval. If we are unable to obtain these capabilities, either by developing our own organizations or entering into agreements with others to provide these functions, even if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receives marketing approval, we will not be able to successfully launch and commercialize this product, which would also materially harm our business, operating results, and financial condition.</w:t>
      </w:r>
    </w:p>
    <w:p>
      <w:pPr>
        <w:spacing w:after="0" w:line="215" w:lineRule="exact"/>
        <w:rPr>
          <w:sz w:val="20"/>
          <w:szCs w:val="20"/>
          <w:color w:val="auto"/>
        </w:rPr>
      </w:pPr>
    </w:p>
    <w:p>
      <w:pPr>
        <w:jc w:val="both"/>
        <w:ind w:firstLine="219"/>
        <w:spacing w:after="0" w:line="261" w:lineRule="auto"/>
        <w:rPr>
          <w:sz w:val="20"/>
          <w:szCs w:val="20"/>
          <w:color w:val="auto"/>
        </w:rPr>
      </w:pPr>
      <w:r>
        <w:rPr>
          <w:rFonts w:ascii="Arial" w:cs="Arial" w:eastAsia="Arial" w:hAnsi="Arial"/>
          <w:sz w:val="13"/>
          <w:szCs w:val="13"/>
          <w:color w:val="auto"/>
        </w:rPr>
        <w:t>We have no experience in sales, marketing, or distribution of products in substantial commercial quantities or in establishing and managing the required infrastructure to do so, including large-scale information technology systems and a large-scale distribution network, and we may be unable to establish such infrastructure on a timely basis. In building a field force in anticipation of the possible approval and launch in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wet AMD and other ophthalmologic indications for which it is currently in Phase 3 clinical trials, we may be unable to successfully recruit and retain within the required time frame an adequate number of qualified sales representatives. To the extent we determine to utilize third parties to provide sales, marketing, or distribution capabilities for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or any of our other products if they receive regulatory approval, we may encounter difficulties in retaining such parties on acceptable terms. Even if we hire qualified sales and marketing personnel, and establish the required infrastructure we need to support our objectives, or enter into marketing and distribution agreements with third parties on acceptable terms, we may not do so in an efficient manner or on a timely basis. We may not be able to correctly judge the size and experience of the sales and marketing force and the scale of distribution capabilities necessary to successfully market and sell in the U.S. EYLEA</w:t>
      </w:r>
      <w:r>
        <w:rPr>
          <w:rFonts w:ascii="Arial" w:cs="Arial" w:eastAsia="Arial" w:hAnsi="Arial"/>
          <w:sz w:val="17"/>
          <w:szCs w:val="17"/>
          <w:color w:val="auto"/>
          <w:vertAlign w:val="superscript"/>
        </w:rPr>
        <w:t>TM</w:t>
      </w:r>
      <w:r>
        <w:rPr>
          <w:rFonts w:ascii="Arial" w:cs="Arial" w:eastAsia="Arial" w:hAnsi="Arial"/>
          <w:sz w:val="13"/>
          <w:szCs w:val="13"/>
          <w:color w:val="auto"/>
        </w:rPr>
        <w: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or any of our other product candidates if they receive regulatory approval in the U.S. and as to which we retain sales and marketing responsibility in that market. Establishing and maintaining sales, marketing, and distribution capabilities are expensive and time-consuming. Our expenses associated with building up and maintaining a sales force and distribution capabilities may be disproportional, particularly in the near term, compared to the revenues we may be able to generate on sales in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or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We cannot guarantee that we or our collaborators will be successful in commercializing EYLEA</w:t>
      </w:r>
      <w:r>
        <w:rPr>
          <w:rFonts w:ascii="Arial" w:cs="Arial" w:eastAsia="Arial" w:hAnsi="Arial"/>
          <w:sz w:val="17"/>
          <w:szCs w:val="17"/>
          <w:color w:val="auto"/>
          <w:vertAlign w:val="superscript"/>
        </w:rPr>
        <w:t>TM</w:t>
      </w:r>
      <w:r>
        <w:rPr>
          <w:rFonts w:ascii="Arial" w:cs="Arial" w:eastAsia="Arial" w:hAnsi="Arial"/>
          <w:sz w:val="13"/>
          <w:szCs w:val="13"/>
          <w:color w:val="auto"/>
        </w:rPr>
        <w:t>, ZALTRAP</w:t>
      </w:r>
      <w:r>
        <w:rPr>
          <w:rFonts w:ascii="Arial" w:cs="Arial" w:eastAsia="Arial" w:hAnsi="Arial"/>
          <w:sz w:val="17"/>
          <w:szCs w:val="17"/>
          <w:color w:val="auto"/>
          <w:vertAlign w:val="superscript"/>
        </w:rPr>
        <w:t>TM</w:t>
      </w:r>
      <w:r>
        <w:rPr>
          <w:rFonts w:ascii="Arial" w:cs="Arial" w:eastAsia="Arial" w:hAnsi="Arial"/>
          <w:sz w:val="13"/>
          <w:szCs w:val="13"/>
          <w:color w:val="auto"/>
        </w:rPr>
        <w:t>,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or any of our other product candidates.</w:t>
      </w:r>
    </w:p>
    <w:p>
      <w:pPr>
        <w:spacing w:after="0" w:line="123" w:lineRule="exact"/>
        <w:rPr>
          <w:sz w:val="20"/>
          <w:szCs w:val="20"/>
          <w:color w:val="auto"/>
        </w:rPr>
      </w:pPr>
    </w:p>
    <w:p>
      <w:pPr>
        <w:jc w:val="both"/>
        <w:ind w:firstLine="219"/>
        <w:spacing w:after="0" w:line="226" w:lineRule="auto"/>
        <w:rPr>
          <w:sz w:val="20"/>
          <w:szCs w:val="20"/>
          <w:color w:val="auto"/>
        </w:rPr>
      </w:pPr>
      <w:r>
        <w:rPr>
          <w:rFonts w:ascii="Arial" w:cs="Arial" w:eastAsia="Arial" w:hAnsi="Arial"/>
          <w:sz w:val="14"/>
          <w:szCs w:val="14"/>
          <w:color w:val="auto"/>
        </w:rPr>
        <w:t>Under the terms of our collaboration agreement, Sanofi has primary responsibility for sales, marketing, and distribution of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cancer indications, should it be approved in the future by regulatory authorities for marketing.</w:t>
      </w:r>
    </w:p>
    <w:p>
      <w:pPr>
        <w:spacing w:after="0" w:line="215" w:lineRule="exact"/>
        <w:rPr>
          <w:sz w:val="20"/>
          <w:szCs w:val="20"/>
          <w:color w:val="auto"/>
        </w:rPr>
      </w:pPr>
    </w:p>
    <w:p>
      <w:pPr>
        <w:jc w:val="both"/>
        <w:ind w:firstLine="230"/>
        <w:spacing w:after="0" w:line="300" w:lineRule="auto"/>
        <w:rPr>
          <w:sz w:val="20"/>
          <w:szCs w:val="20"/>
          <w:color w:val="auto"/>
        </w:rPr>
      </w:pPr>
      <w:r>
        <w:rPr>
          <w:rFonts w:ascii="Arial" w:cs="Arial" w:eastAsia="Arial" w:hAnsi="Arial"/>
          <w:sz w:val="14"/>
          <w:szCs w:val="14"/>
          <w:color w:val="auto"/>
        </w:rPr>
        <w:t>We currently have no sales, marketing, commercial, or distribution capabilities outside the U.S. Under the terms of our license and collaboration agreement with Bayer HealthCare, we will rely on Bayer HealthCare for sales, marketing, and distribution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countries outside the U.S. should it be approved for marketing in such countries.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56" w:name="page57"/>
    <w:bookmarkEnd w:id="56"/>
    <w:p>
      <w:pPr>
        <w:ind w:left="140"/>
        <w:spacing w:after="0" w:line="291" w:lineRule="auto"/>
        <w:rPr>
          <w:sz w:val="20"/>
          <w:szCs w:val="20"/>
          <w:color w:val="auto"/>
        </w:rPr>
      </w:pPr>
      <w:r>
        <w:rPr>
          <w:rFonts w:ascii="Arial" w:cs="Arial" w:eastAsia="Arial" w:hAnsi="Arial"/>
          <w:sz w:val="14"/>
          <w:szCs w:val="14"/>
          <w:b w:val="1"/>
          <w:bCs w:val="1"/>
          <w:i w:val="1"/>
          <w:iCs w:val="1"/>
          <w:color w:val="auto"/>
        </w:rPr>
        <w:t>Even if our product candidates are approved for marketing, their commercial success is highly uncertain given their method of administration, and because our competitors have received approval for and may be marketing products with a similar mechanism of action or may enter the marketplace with better or lower cost drugs.</w:t>
      </w:r>
    </w:p>
    <w:p>
      <w:pPr>
        <w:spacing w:after="0" w:line="180"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80" w:lineRule="exact"/>
        <w:rPr>
          <w:sz w:val="20"/>
          <w:szCs w:val="20"/>
          <w:color w:val="auto"/>
        </w:rPr>
      </w:pPr>
    </w:p>
    <w:p>
      <w:pPr>
        <w:jc w:val="both"/>
        <w:ind w:firstLine="274"/>
        <w:spacing w:after="0" w:line="298" w:lineRule="auto"/>
        <w:rPr>
          <w:sz w:val="20"/>
          <w:szCs w:val="20"/>
          <w:color w:val="auto"/>
        </w:rPr>
      </w:pPr>
      <w:r>
        <w:rPr>
          <w:rFonts w:ascii="Arial" w:cs="Arial" w:eastAsia="Arial" w:hAnsi="Arial"/>
          <w:sz w:val="13"/>
          <w:szCs w:val="13"/>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77" w:lineRule="exact"/>
        <w:rPr>
          <w:sz w:val="20"/>
          <w:szCs w:val="20"/>
          <w:color w:val="auto"/>
        </w:rPr>
      </w:pPr>
    </w:p>
    <w:p>
      <w:pPr>
        <w:jc w:val="both"/>
        <w:ind w:firstLine="285"/>
        <w:spacing w:after="0" w:line="241" w:lineRule="auto"/>
        <w:rPr>
          <w:sz w:val="20"/>
          <w:szCs w:val="20"/>
          <w:color w:val="auto"/>
        </w:rPr>
      </w:pPr>
      <w:r>
        <w:rPr>
          <w:rFonts w:ascii="Arial" w:cs="Arial" w:eastAsia="Arial" w:hAnsi="Arial"/>
          <w:sz w:val="13"/>
          <w:szCs w:val="13"/>
          <w:color w:val="auto"/>
        </w:rPr>
        <w:t>As previously noted, Genentech has an approved VEGF antagonist, Avastin</w:t>
      </w:r>
      <w:r>
        <w:rPr>
          <w:rFonts w:ascii="Arial" w:cs="Arial" w:eastAsia="Arial" w:hAnsi="Arial"/>
          <w:sz w:val="17"/>
          <w:szCs w:val="17"/>
          <w:color w:val="auto"/>
          <w:vertAlign w:val="superscript"/>
        </w:rPr>
        <w:t>®</w:t>
      </w:r>
      <w:r>
        <w:rPr>
          <w:rFonts w:ascii="Arial" w:cs="Arial" w:eastAsia="Arial" w:hAnsi="Arial"/>
          <w:sz w:val="13"/>
          <w:szCs w:val="13"/>
          <w:color w:val="auto"/>
        </w:rPr>
        <w:t>, on the market for treating certain cancers and many different pharmaceutical and biotechnology companies are working to develop competing VEGF antagonists, including Novartis, Amgen, Imclone LLC/Eli Lilly and Company, Pfizer, AstraZeneca, and GlaxoSmithKline. Some of these molecules are further along in development than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and may offer competitive advantages over our molecule. Each of Pfizer, Onyx Pharmaceuticals, Inc. (together with its partner Bayer HealthCare), and GlaxoSmithKline are marketing and selling oral medications that target tumor cell growth and new vasculature formation that fuels the growth of tumors. The marketing approvals for Genentech’s VEGF antagonist, Avastin</w:t>
      </w:r>
      <w:r>
        <w:rPr>
          <w:rFonts w:ascii="Arial" w:cs="Arial" w:eastAsia="Arial" w:hAnsi="Arial"/>
          <w:sz w:val="17"/>
          <w:szCs w:val="17"/>
          <w:color w:val="auto"/>
          <w:vertAlign w:val="superscript"/>
        </w:rPr>
        <w:t>®</w:t>
      </w:r>
      <w:r>
        <w:rPr>
          <w:rFonts w:ascii="Arial" w:cs="Arial" w:eastAsia="Arial" w:hAnsi="Arial"/>
          <w:sz w:val="13"/>
          <w:szCs w:val="13"/>
          <w:color w:val="auto"/>
        </w:rPr>
        <w:t>, and their extensive, ongoing clinical development plan for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other cancer indications, make it more difficult for us to enroll patients in clinical trials to support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those indications and to obtain regulatory approval of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those indications. This may delay or impair our ability to successfully develop and commercialize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various cancer indications. In addition, even if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is approved for sale for the treatment of certain cancers, it will be difficult for our drug to compete against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17" w:lineRule="exact"/>
        <w:rPr>
          <w:sz w:val="20"/>
          <w:szCs w:val="20"/>
          <w:color w:val="auto"/>
        </w:rPr>
      </w:pPr>
    </w:p>
    <w:p>
      <w:pPr>
        <w:jc w:val="both"/>
        <w:ind w:firstLine="219"/>
        <w:spacing w:after="0" w:line="239" w:lineRule="auto"/>
        <w:rPr>
          <w:sz w:val="20"/>
          <w:szCs w:val="20"/>
          <w:color w:val="auto"/>
        </w:rPr>
      </w:pPr>
      <w:r>
        <w:rPr>
          <w:rFonts w:ascii="Arial" w:cs="Arial" w:eastAsia="Arial" w:hAnsi="Arial"/>
          <w:sz w:val="14"/>
          <w:szCs w:val="14"/>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wet AMD, CRVO, DME, and other eye indications.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was approved by the FDA in June 2006 for the treatment of wet AMD and in June 2010 for the treatment of macular edema following retinal vein occlusion (RVO), CRVO, and branch retinal vein occlusion (BRVO). Lucentis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siRNAs that modulate gene expression. In addition, ophthalmologists are using off-label, with success for the treatment of wet AMD, DME, and RVO, a third-party repackaged version of Genentech’s approved VEGF antagonist, Avastin</w:t>
      </w:r>
      <w:r>
        <w:rPr>
          <w:rFonts w:ascii="Arial" w:cs="Arial" w:eastAsia="Arial" w:hAnsi="Arial"/>
          <w:sz w:val="19"/>
          <w:szCs w:val="19"/>
          <w:color w:val="auto"/>
          <w:vertAlign w:val="superscript"/>
        </w:rPr>
        <w:t>®</w:t>
      </w:r>
      <w:r>
        <w:rPr>
          <w:rFonts w:ascii="Arial" w:cs="Arial" w:eastAsia="Arial" w:hAnsi="Arial"/>
          <w:sz w:val="14"/>
          <w:szCs w:val="14"/>
          <w:color w:val="auto"/>
        </w:rPr>
        <w:t>.</w:t>
      </w:r>
    </w:p>
    <w:p>
      <w:pPr>
        <w:spacing w:after="0" w:line="139" w:lineRule="exact"/>
        <w:rPr>
          <w:sz w:val="20"/>
          <w:szCs w:val="20"/>
          <w:color w:val="auto"/>
        </w:rPr>
      </w:pPr>
    </w:p>
    <w:p>
      <w:pPr>
        <w:jc w:val="both"/>
        <w:ind w:firstLine="219"/>
        <w:spacing w:after="0" w:line="228" w:lineRule="auto"/>
        <w:rPr>
          <w:sz w:val="20"/>
          <w:szCs w:val="20"/>
          <w:color w:val="auto"/>
        </w:rPr>
      </w:pPr>
      <w:r>
        <w:rPr>
          <w:rFonts w:ascii="Arial" w:cs="Arial" w:eastAsia="Arial" w:hAnsi="Arial"/>
          <w:sz w:val="13"/>
          <w:szCs w:val="13"/>
          <w:color w:val="auto"/>
        </w:rPr>
        <w:t>The NEI and others are conducting long-term, controlled clinical trials comparing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dosed monthly was non-inferior to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dosed monthly in the primary efficacy endpoint of mean visual acuity gain at 52 weeks. Even if our BLA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the treatment of wet AMD is approved, it may be difficult for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in this or other eye indications for which it may be approved to compete against Lucentis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because doctors and patients have had significant experience using these medicines. Moreover, the recently reported results of the CATT study, combined with the relatively low cost of Avastin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treating patients with wet AMD, may well exacerbate the competitive challenge which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will face in this or other eye indications for which it may be approved. In addition, while we believe that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would not be well tolerated if administered directly to the eye, if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is approved for the treatment of certain cancers, there is a risk that third parties will attempt to repackage ZALTRAP</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for use and sale for the treatment of wet AMD and other diseases of the eye, which would present a potential low-cost competitive threat to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if it is approved for wet AMD or other eye indications.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57" w:name="page58"/>
    <w:bookmarkEnd w:id="57"/>
    <w:p>
      <w:pPr>
        <w:jc w:val="both"/>
        <w:ind w:firstLine="219"/>
        <w:spacing w:after="0" w:line="203" w:lineRule="auto"/>
        <w:rPr>
          <w:sz w:val="20"/>
          <w:szCs w:val="20"/>
          <w:color w:val="auto"/>
        </w:rPr>
      </w:pPr>
      <w:r>
        <w:rPr>
          <w:rFonts w:ascii="Arial" w:cs="Arial" w:eastAsia="Arial" w:hAnsi="Arial"/>
          <w:sz w:val="14"/>
          <w:szCs w:val="14"/>
          <w:color w:val="auto"/>
        </w:rPr>
        <w:t>The availability of highly effective FDA approved TNF-antagonists such as Enbrel</w:t>
      </w:r>
      <w:r>
        <w:rPr>
          <w:rFonts w:ascii="Arial" w:cs="Arial" w:eastAsia="Arial" w:hAnsi="Arial"/>
          <w:sz w:val="19"/>
          <w:szCs w:val="19"/>
          <w:color w:val="auto"/>
          <w:vertAlign w:val="superscript"/>
        </w:rPr>
        <w:t>®</w:t>
      </w:r>
      <w:r>
        <w:rPr>
          <w:rFonts w:ascii="Arial" w:cs="Arial" w:eastAsia="Arial" w:hAnsi="Arial"/>
          <w:sz w:val="14"/>
          <w:szCs w:val="14"/>
          <w:color w:val="auto"/>
        </w:rPr>
        <w:t>, Remicade</w:t>
      </w:r>
      <w:r>
        <w:rPr>
          <w:rFonts w:ascii="Arial" w:cs="Arial" w:eastAsia="Arial" w:hAnsi="Arial"/>
          <w:sz w:val="19"/>
          <w:szCs w:val="19"/>
          <w:color w:val="auto"/>
          <w:vertAlign w:val="superscript"/>
        </w:rPr>
        <w:t>®</w:t>
      </w:r>
      <w:r>
        <w:rPr>
          <w:rFonts w:ascii="Arial" w:cs="Arial" w:eastAsia="Arial" w:hAnsi="Arial"/>
          <w:sz w:val="14"/>
          <w:szCs w:val="14"/>
          <w:color w:val="auto"/>
        </w:rPr>
        <w:t>, Humira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(adalimumab), a registered trademark of Abbott Laboratories, Simponi</w:t>
      </w:r>
      <w:r>
        <w:rPr>
          <w:rFonts w:ascii="Arial" w:cs="Arial" w:eastAsia="Arial" w:hAnsi="Arial"/>
          <w:sz w:val="19"/>
          <w:szCs w:val="19"/>
          <w:color w:val="auto"/>
          <w:vertAlign w:val="superscript"/>
        </w:rPr>
        <w:t>®</w:t>
      </w:r>
      <w:r>
        <w:rPr>
          <w:rFonts w:ascii="Arial" w:cs="Arial" w:eastAsia="Arial" w:hAnsi="Arial"/>
          <w:sz w:val="14"/>
          <w:szCs w:val="14"/>
          <w:color w:val="auto"/>
        </w:rPr>
        <w:t xml:space="preserve"> (golimumab), a registered trademark of Centocor, the IL-1 receptor antagonist Kineret</w:t>
      </w:r>
      <w:r>
        <w:rPr>
          <w:rFonts w:ascii="Arial" w:cs="Arial" w:eastAsia="Arial" w:hAnsi="Arial"/>
          <w:sz w:val="19"/>
          <w:szCs w:val="19"/>
          <w:color w:val="auto"/>
          <w:vertAlign w:val="superscript"/>
        </w:rPr>
        <w:t>®</w:t>
      </w:r>
      <w:r>
        <w:rPr>
          <w:rFonts w:ascii="Arial" w:cs="Arial" w:eastAsia="Arial" w:hAnsi="Arial"/>
          <w:sz w:val="14"/>
          <w:szCs w:val="14"/>
          <w:color w:val="auto"/>
        </w:rPr>
        <w:t>, Ilaris</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(canakinumab), and other marketed therapies makes it more difficult to successfully develop and commercialize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indications other than CAPS, and this is one of the reasons we discontinued the development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adult rheumatoid arthritis. In addition, even if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ever approved for sale in indications where TNF-antagonists are approved, it will be difficult for our drug to compete against these FDA approved TNF-antagonists because doctors and patients have had significant experience using these effective medicines. Moreover, in such indications these approved therapeutics may offer competitive advantages over ARCALYST</w:t>
      </w:r>
      <w:r>
        <w:rPr>
          <w:rFonts w:ascii="Arial" w:cs="Arial" w:eastAsia="Arial" w:hAnsi="Arial"/>
          <w:sz w:val="19"/>
          <w:szCs w:val="19"/>
          <w:color w:val="auto"/>
          <w:vertAlign w:val="superscript"/>
        </w:rPr>
        <w:t>®</w:t>
      </w:r>
      <w:r>
        <w:rPr>
          <w:rFonts w:ascii="Arial" w:cs="Arial" w:eastAsia="Arial" w:hAnsi="Arial"/>
          <w:sz w:val="14"/>
          <w:szCs w:val="14"/>
          <w:color w:val="auto"/>
        </w:rPr>
        <w:t>, such as requiring fewer injections.</w:t>
      </w:r>
    </w:p>
    <w:p>
      <w:pPr>
        <w:spacing w:after="0" w:line="214" w:lineRule="exact"/>
        <w:rPr>
          <w:sz w:val="20"/>
          <w:szCs w:val="20"/>
          <w:color w:val="auto"/>
        </w:rPr>
      </w:pPr>
    </w:p>
    <w:p>
      <w:pPr>
        <w:jc w:val="both"/>
        <w:ind w:firstLine="219"/>
        <w:spacing w:after="0" w:line="254" w:lineRule="auto"/>
        <w:rPr>
          <w:sz w:val="20"/>
          <w:szCs w:val="20"/>
          <w:color w:val="auto"/>
        </w:rPr>
      </w:pPr>
      <w:r>
        <w:rPr>
          <w:rFonts w:ascii="Arial" w:cs="Arial" w:eastAsia="Arial" w:hAnsi="Arial"/>
          <w:sz w:val="13"/>
          <w:szCs w:val="13"/>
          <w:color w:val="auto"/>
        </w:rPr>
        <w:t>There are both small molecules and antibodies in development by other companies that are designed to block the synthesis of IL-1 or inhibit the signaling of IL-1. For example, Eli Lilly, Xoma Ltd. (in collaboration with Servier), and Novartis are each developing antibodies to IL-1 and both Amgen and MedImmune are developing antibodies to the IL-1 receptor. In 2009, Novartis received regulatory approval in the U.S. and Europe for Ilaris</w:t>
      </w:r>
      <w:r>
        <w:rPr>
          <w:rFonts w:ascii="Arial" w:cs="Arial" w:eastAsia="Arial" w:hAnsi="Arial"/>
          <w:sz w:val="17"/>
          <w:szCs w:val="17"/>
          <w:color w:val="auto"/>
          <w:vertAlign w:val="superscript"/>
        </w:rPr>
        <w:t>®</w:t>
      </w:r>
      <w:r>
        <w:rPr>
          <w:rFonts w:ascii="Arial" w:cs="Arial" w:eastAsia="Arial" w:hAnsi="Arial"/>
          <w:sz w:val="13"/>
          <w:szCs w:val="13"/>
          <w:color w:val="auto"/>
        </w:rPr>
        <w:t>, a fully human anti-interleukin-IL1ß antibody, for the treatment of CAPS.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also in development for atherosclerosis and a number of other inflammatory diseases. Novartis’ IL-1 antibody and these other drug candidates could offer competitive advantages over ARCALYST</w:t>
      </w:r>
      <w:r>
        <w:rPr>
          <w:rFonts w:ascii="Arial" w:cs="Arial" w:eastAsia="Arial" w:hAnsi="Arial"/>
          <w:sz w:val="17"/>
          <w:szCs w:val="17"/>
          <w:color w:val="auto"/>
          <w:vertAlign w:val="superscript"/>
        </w:rPr>
        <w:t>®</w:t>
      </w:r>
      <w:r>
        <w:rPr>
          <w:rFonts w:ascii="Arial" w:cs="Arial" w:eastAsia="Arial" w:hAnsi="Arial"/>
          <w:sz w:val="13"/>
          <w:szCs w:val="13"/>
          <w:color w:val="auto"/>
        </w:rPr>
        <w:t>. For example,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dosed once every eight weeks compared to the once-weekly dosing regimen for ARCALYST</w:t>
      </w:r>
      <w:r>
        <w:rPr>
          <w:rFonts w:ascii="Arial" w:cs="Arial" w:eastAsia="Arial" w:hAnsi="Arial"/>
          <w:sz w:val="17"/>
          <w:szCs w:val="17"/>
          <w:color w:val="auto"/>
          <w:vertAlign w:val="superscript"/>
        </w:rPr>
        <w:t>®</w:t>
      </w:r>
      <w:r>
        <w:rPr>
          <w:rFonts w:ascii="Arial" w:cs="Arial" w:eastAsia="Arial" w:hAnsi="Arial"/>
          <w:sz w:val="13"/>
          <w:szCs w:val="13"/>
          <w:color w:val="auto"/>
        </w:rPr>
        <w:t>. The successful development and/or commercialization of these competing molecules could adversely affect sales of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treatment of CAPS and delay or impair our ability to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indications other than CAPS.</w:t>
      </w:r>
    </w:p>
    <w:p>
      <w:pPr>
        <w:spacing w:after="0" w:line="127" w:lineRule="exact"/>
        <w:rPr>
          <w:sz w:val="20"/>
          <w:szCs w:val="20"/>
          <w:color w:val="auto"/>
        </w:rPr>
      </w:pPr>
    </w:p>
    <w:p>
      <w:pPr>
        <w:jc w:val="both"/>
        <w:ind w:firstLine="219"/>
        <w:spacing w:after="0" w:line="236" w:lineRule="auto"/>
        <w:rPr>
          <w:sz w:val="20"/>
          <w:szCs w:val="20"/>
          <w:color w:val="auto"/>
        </w:rPr>
      </w:pPr>
      <w:r>
        <w:rPr>
          <w:rFonts w:ascii="Arial" w:cs="Arial" w:eastAsia="Arial" w:hAnsi="Arial"/>
          <w:sz w:val="13"/>
          <w:szCs w:val="13"/>
          <w:color w:val="auto"/>
        </w:rPr>
        <w:t>We are developing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prevention of gout flares in patients initiating uric acid-lowering therapy and plan to submit a BLA for U.S. regulatory approval in the second half of 2011. In January 2011, Novartis announced that the results of two Phase 3 studies with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focused on reducing pain and preventing recurrent attacks or “flares” in patients with hard-to-treat gout were positive. Novartis has also reported that regulatory filings for the use of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gouty arthritis have been completed in the European Union in 2010 and in the U.S. in the first quarter of 2011, based on the results of these two Phase 3 studies. Ilaris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dosed less frequently for the treatment of CAPS, and if it is approved for the treatment of gout, it may be perceived by some physicians as offering competitive advantages over ARCALYST</w:t>
      </w:r>
      <w:r>
        <w:rPr>
          <w:rFonts w:ascii="Arial" w:cs="Arial" w:eastAsia="Arial" w:hAnsi="Arial"/>
          <w:sz w:val="17"/>
          <w:szCs w:val="17"/>
          <w:color w:val="auto"/>
          <w:vertAlign w:val="superscript"/>
        </w:rPr>
        <w:t>®</w:t>
      </w:r>
      <w:r>
        <w:rPr>
          <w:rFonts w:ascii="Arial" w:cs="Arial" w:eastAsia="Arial" w:hAnsi="Arial"/>
          <w:sz w:val="13"/>
          <w:szCs w:val="13"/>
          <w:color w:val="auto"/>
        </w:rPr>
        <w:t>, which would make it difficult for us to successfully commercialize ARCALYST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that disease.</w:t>
      </w:r>
    </w:p>
    <w:p>
      <w:pPr>
        <w:spacing w:after="0" w:line="138" w:lineRule="exact"/>
        <w:rPr>
          <w:sz w:val="20"/>
          <w:szCs w:val="20"/>
          <w:color w:val="auto"/>
        </w:rPr>
      </w:pPr>
    </w:p>
    <w:p>
      <w:pPr>
        <w:jc w:val="both"/>
        <w:ind w:firstLine="230"/>
        <w:spacing w:after="0" w:line="300" w:lineRule="auto"/>
        <w:rPr>
          <w:sz w:val="20"/>
          <w:szCs w:val="20"/>
          <w:color w:val="auto"/>
        </w:rPr>
      </w:pPr>
      <w:r>
        <w:rPr>
          <w:rFonts w:ascii="Arial" w:cs="Arial" w:eastAsia="Arial" w:hAnsi="Arial"/>
          <w:sz w:val="14"/>
          <w:szCs w:val="14"/>
          <w:color w:val="auto"/>
        </w:rPr>
        <w:t>Currently, inexpensive, oral therapies such as analgesics and other Nonsteroidal anti-inflammatory drugs (NSAIDS), are used as the standard of care to treat the symptoms of gout diseases. These established, inexpensive, orally delivered drugs may make it difficult for us to successfully commercialize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these diseases.</w:t>
      </w:r>
    </w:p>
    <w:p>
      <w:pPr>
        <w:spacing w:after="0" w:line="94" w:lineRule="exact"/>
        <w:rPr>
          <w:sz w:val="20"/>
          <w:szCs w:val="20"/>
          <w:color w:val="auto"/>
        </w:rPr>
      </w:pPr>
    </w:p>
    <w:p>
      <w:pPr>
        <w:jc w:val="both"/>
        <w:ind w:firstLine="263"/>
        <w:spacing w:after="0" w:line="226" w:lineRule="auto"/>
        <w:rPr>
          <w:sz w:val="20"/>
          <w:szCs w:val="20"/>
          <w:color w:val="auto"/>
        </w:rPr>
      </w:pPr>
      <w:r>
        <w:rPr>
          <w:rFonts w:ascii="Arial" w:cs="Arial" w:eastAsia="Arial" w:hAnsi="Arial"/>
          <w:sz w:val="14"/>
          <w:szCs w:val="14"/>
          <w:color w:val="auto"/>
        </w:rPr>
        <w:t xml:space="preserve">Our early-stage clinical candidates in development are all fully human monoclonal antibodies, which were generated using our </w:t>
      </w:r>
      <w:r>
        <w:rPr>
          <w:rFonts w:ascii="Arial" w:cs="Arial" w:eastAsia="Arial" w:hAnsi="Arial"/>
          <w:sz w:val="14"/>
          <w:szCs w:val="14"/>
          <w:i w:val="1"/>
          <w:iCs w:val="1"/>
          <w:color w:val="auto"/>
        </w:rPr>
        <w:t>VelocImmune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Our antibody generation technologies and early-stage clinical candidates face competition from many pharmaceutical and biotechnology companies using various technologies.</w:t>
      </w:r>
    </w:p>
    <w:p>
      <w:pPr>
        <w:spacing w:after="0" w:line="215" w:lineRule="exact"/>
        <w:rPr>
          <w:sz w:val="20"/>
          <w:szCs w:val="20"/>
          <w:color w:val="auto"/>
        </w:rPr>
      </w:pPr>
    </w:p>
    <w:p>
      <w:pPr>
        <w:jc w:val="both"/>
        <w:ind w:firstLine="241"/>
        <w:spacing w:after="0" w:line="276" w:lineRule="auto"/>
        <w:rPr>
          <w:sz w:val="20"/>
          <w:szCs w:val="20"/>
          <w:color w:val="auto"/>
        </w:rPr>
      </w:pPr>
      <w:r>
        <w:rPr>
          <w:rFonts w:ascii="Arial" w:cs="Arial" w:eastAsia="Arial" w:hAnsi="Arial"/>
          <w:sz w:val="14"/>
          <w:szCs w:val="14"/>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191" w:lineRule="exact"/>
        <w:rPr>
          <w:sz w:val="20"/>
          <w:szCs w:val="20"/>
          <w:color w:val="auto"/>
        </w:rPr>
      </w:pPr>
    </w:p>
    <w:p>
      <w:pPr>
        <w:jc w:val="both"/>
        <w:ind w:firstLine="241"/>
        <w:spacing w:after="0" w:line="289" w:lineRule="auto"/>
        <w:rPr>
          <w:sz w:val="20"/>
          <w:szCs w:val="20"/>
          <w:color w:val="auto"/>
        </w:rPr>
      </w:pPr>
      <w:r>
        <w:rPr>
          <w:rFonts w:ascii="Arial" w:cs="Arial" w:eastAsia="Arial" w:hAnsi="Arial"/>
          <w:sz w:val="13"/>
          <w:szCs w:val="13"/>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Centocor/Johnson &amp; 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We believe that several companies, including Amgen and Pfizer,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7" w:right="219" w:bottom="1440" w:gutter="0" w:footer="0" w:header="0"/>
        </w:sectPr>
      </w:pPr>
    </w:p>
    <w:bookmarkStart w:id="58" w:name="page59"/>
    <w:bookmarkEnd w:id="58"/>
    <w:p>
      <w:pPr>
        <w:jc w:val="both"/>
        <w:ind w:left="140"/>
        <w:spacing w:after="0" w:line="276" w:lineRule="auto"/>
        <w:rPr>
          <w:sz w:val="20"/>
          <w:szCs w:val="20"/>
          <w:color w:val="auto"/>
        </w:rPr>
      </w:pPr>
      <w:r>
        <w:rPr>
          <w:rFonts w:ascii="Arial" w:cs="Arial" w:eastAsia="Arial" w:hAnsi="Arial"/>
          <w:sz w:val="14"/>
          <w:szCs w:val="14"/>
          <w:b w:val="1"/>
          <w:bCs w:val="1"/>
          <w:i w:val="1"/>
          <w:iCs w:val="1"/>
          <w:color w:val="auto"/>
        </w:rPr>
        <w:t>The successful commercialization of our late-stage product candidates will depend on obtaining coverage and reimbursement for use of these products from third-party payers, including Medicare and Medicaid in the U.S., and these payers may not agree to cover or adequately reimburse for use of our products or may do so at levels that make our products uncompetitive and/or unprofitable, which would materially harm our business, operating results, and financial condition.</w:t>
      </w:r>
    </w:p>
    <w:p>
      <w:pPr>
        <w:spacing w:after="0" w:line="189" w:lineRule="exact"/>
        <w:rPr>
          <w:sz w:val="20"/>
          <w:szCs w:val="20"/>
          <w:color w:val="auto"/>
        </w:rPr>
      </w:pPr>
    </w:p>
    <w:p>
      <w:pPr>
        <w:jc w:val="both"/>
        <w:ind w:firstLine="219"/>
        <w:spacing w:after="0" w:line="253" w:lineRule="auto"/>
        <w:rPr>
          <w:sz w:val="20"/>
          <w:szCs w:val="20"/>
          <w:color w:val="auto"/>
        </w:rPr>
      </w:pPr>
      <w:r>
        <w:rPr>
          <w:rFonts w:ascii="Arial" w:cs="Arial" w:eastAsia="Arial" w:hAnsi="Arial"/>
          <w:sz w:val="14"/>
          <w:szCs w:val="14"/>
          <w:color w:val="auto"/>
        </w:rPr>
        <w:t>Our product candidates, if commercialized, may be significantly more expensive than traditional drug treatments. For example, we are developing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in patients initiating uric acid-lowering drug therapy. Patients suffering from this gout indication are currently treated with inexpensive therapies, including NSAIDS. These existing treatment options are likely to be considerably less expensive and may be preferable to a biologic medication for some patients. Our future revenues and profitability will be adversely affected in a material manner if U.S.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07" w:lineRule="exact"/>
        <w:rPr>
          <w:sz w:val="20"/>
          <w:szCs w:val="20"/>
          <w:color w:val="auto"/>
        </w:rPr>
      </w:pPr>
    </w:p>
    <w:p>
      <w:pPr>
        <w:jc w:val="both"/>
        <w:ind w:firstLine="219"/>
        <w:spacing w:after="0" w:line="266" w:lineRule="auto"/>
        <w:rPr>
          <w:sz w:val="20"/>
          <w:szCs w:val="20"/>
          <w:color w:val="auto"/>
        </w:rPr>
      </w:pPr>
      <w:r>
        <w:rPr>
          <w:rFonts w:ascii="Arial" w:cs="Arial" w:eastAsia="Arial" w:hAnsi="Arial"/>
          <w:sz w:val="14"/>
          <w:szCs w:val="14"/>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U.S. This legislation imposes cost containment measures that are likely to adversely affect the amount of reimbursement for our future products. The full effects of this legislation are unknown at this time and will not be known until regulations and guidance are issued by the Centers for Medicare and Medicaid Services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197"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4"/>
          <w:szCs w:val="14"/>
          <w:color w:val="auto"/>
        </w:rPr>
        <w:t>Since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the treatment of wet AMD and other eye diseases,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for oncology indications, and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will likely be too expensive for most patients to afford without health insurance coverage, if these products are approved for marketing but are unable to obtain adequate coverage and reimbursement by third-party payers, including Medicare and Medicaid in the U.S., our ability to successfully commercialize these products would be materially adversely impacted. We can provide no assurance that third-party payers, including Medicare and Medicaid in the U.S., will cover and/or reimburse for these products at levels required for us to successfully commercialize these products. Any limitation imposed by third-party payers on the use of our products if they are approved for marketing,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achieve profitability.</w:t>
      </w:r>
    </w:p>
    <w:p>
      <w:pPr>
        <w:spacing w:after="0" w:line="206" w:lineRule="exact"/>
        <w:rPr>
          <w:sz w:val="20"/>
          <w:szCs w:val="20"/>
          <w:color w:val="auto"/>
        </w:rPr>
      </w:pPr>
    </w:p>
    <w:p>
      <w:pPr>
        <w:jc w:val="both"/>
        <w:ind w:firstLine="307"/>
        <w:spacing w:after="0" w:line="266" w:lineRule="auto"/>
        <w:rPr>
          <w:sz w:val="20"/>
          <w:szCs w:val="20"/>
          <w:color w:val="auto"/>
        </w:rPr>
      </w:pPr>
      <w:r>
        <w:rPr>
          <w:rFonts w:ascii="Arial" w:cs="Arial" w:eastAsia="Arial" w:hAnsi="Arial"/>
          <w:sz w:val="14"/>
          <w:szCs w:val="14"/>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color w:val="auto"/>
        </w:rPr>
        <w:t>Regulatory and Litigation Risks</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If the testing or use of our products harms people, we could be subject to costly and damaging product liability claims.</w:t>
      </w:r>
    </w:p>
    <w:p>
      <w:pPr>
        <w:spacing w:after="0" w:line="234" w:lineRule="exact"/>
        <w:rPr>
          <w:sz w:val="20"/>
          <w:szCs w:val="20"/>
          <w:color w:val="auto"/>
        </w:rPr>
      </w:pPr>
    </w:p>
    <w:p>
      <w:pPr>
        <w:jc w:val="both"/>
        <w:ind w:firstLine="219"/>
        <w:spacing w:after="0" w:line="235" w:lineRule="auto"/>
        <w:rPr>
          <w:sz w:val="20"/>
          <w:szCs w:val="20"/>
          <w:color w:val="auto"/>
        </w:rPr>
      </w:pPr>
      <w:r>
        <w:rPr>
          <w:rFonts w:ascii="Arial" w:cs="Arial" w:eastAsia="Arial" w:hAnsi="Arial"/>
          <w:sz w:val="14"/>
          <w:szCs w:val="14"/>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or EYLEA</w:t>
      </w:r>
      <w:r>
        <w:rPr>
          <w:rFonts w:ascii="Arial" w:cs="Arial" w:eastAsia="Arial" w:hAnsi="Arial"/>
          <w:sz w:val="19"/>
          <w:szCs w:val="19"/>
          <w:color w:val="auto"/>
          <w:vertAlign w:val="superscript"/>
        </w:rPr>
        <w:t>TM</w:t>
      </w:r>
      <w:r>
        <w:rPr>
          <w:rFonts w:ascii="Arial" w:cs="Arial" w:eastAsia="Arial" w:hAnsi="Arial"/>
          <w:sz w:val="14"/>
          <w:szCs w:val="14"/>
          <w:color w:val="auto"/>
        </w:rPr>
        <w:t>, ZALTRAP</w:t>
      </w:r>
      <w:r>
        <w:rPr>
          <w:rFonts w:ascii="Arial" w:cs="Arial" w:eastAsia="Arial" w:hAnsi="Arial"/>
          <w:sz w:val="19"/>
          <w:szCs w:val="19"/>
          <w:color w:val="auto"/>
          <w:vertAlign w:val="superscript"/>
        </w:rPr>
        <w:t>TM</w:t>
      </w:r>
      <w:r>
        <w:rPr>
          <w:rFonts w:ascii="Arial" w:cs="Arial" w:eastAsia="Arial" w:hAnsi="Arial"/>
          <w:sz w:val="14"/>
          <w:szCs w:val="14"/>
          <w:color w:val="auto"/>
        </w:rPr>
        <w:t>, 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if those product candidates receive regulatory approval and become commercially available,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If we market and sell approved products, in a way that violates federal or state fraud and abuse laws, we may be subject to civil or criminal penalties.</w:t>
      </w:r>
    </w:p>
    <w:p>
      <w:pPr>
        <w:spacing w:after="0" w:line="234"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194" w:lineRule="exact"/>
        <w:rPr>
          <w:sz w:val="20"/>
          <w:szCs w:val="20"/>
          <w:color w:val="auto"/>
        </w:rPr>
      </w:pPr>
    </w:p>
    <w:p>
      <w:pPr>
        <w:jc w:val="both"/>
        <w:ind w:firstLine="241"/>
        <w:spacing w:after="0" w:line="269" w:lineRule="auto"/>
        <w:rPr>
          <w:sz w:val="20"/>
          <w:szCs w:val="20"/>
          <w:color w:val="auto"/>
        </w:rPr>
      </w:pPr>
      <w:r>
        <w:rPr>
          <w:rFonts w:ascii="Arial" w:cs="Arial" w:eastAsia="Arial" w:hAnsi="Arial"/>
          <w:sz w:val="14"/>
          <w:szCs w:val="14"/>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195"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4"/>
          <w:szCs w:val="14"/>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91" w:lineRule="exact"/>
        <w:rPr>
          <w:sz w:val="20"/>
          <w:szCs w:val="20"/>
          <w:color w:val="auto"/>
        </w:rPr>
      </w:pPr>
    </w:p>
    <w:p>
      <w:pPr>
        <w:jc w:val="both"/>
        <w:ind w:firstLine="241"/>
        <w:spacing w:after="0" w:line="276" w:lineRule="auto"/>
        <w:rPr>
          <w:sz w:val="20"/>
          <w:szCs w:val="20"/>
          <w:color w:val="auto"/>
        </w:rPr>
      </w:pPr>
      <w:r>
        <w:rPr>
          <w:rFonts w:ascii="Arial" w:cs="Arial" w:eastAsia="Arial" w:hAnsi="Arial"/>
          <w:sz w:val="14"/>
          <w:szCs w:val="14"/>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191" w:lineRule="exact"/>
        <w:rPr>
          <w:sz w:val="20"/>
          <w:szCs w:val="20"/>
          <w:color w:val="auto"/>
        </w:rPr>
      </w:pPr>
    </w:p>
    <w:p>
      <w:pPr>
        <w:jc w:val="both"/>
        <w:ind w:firstLine="263"/>
        <w:spacing w:after="0" w:line="267" w:lineRule="auto"/>
        <w:rPr>
          <w:sz w:val="20"/>
          <w:szCs w:val="20"/>
          <w:color w:val="auto"/>
        </w:rPr>
      </w:pPr>
      <w:r>
        <w:rPr>
          <w:rFonts w:ascii="Arial" w:cs="Arial" w:eastAsia="Arial" w:hAnsi="Arial"/>
          <w:sz w:val="14"/>
          <w:szCs w:val="14"/>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60" w:name="page61"/>
    <w:bookmarkEnd w:id="60"/>
    <w:p>
      <w:pPr>
        <w:ind w:left="140"/>
        <w:spacing w:after="0" w:line="291" w:lineRule="auto"/>
        <w:rPr>
          <w:sz w:val="20"/>
          <w:szCs w:val="20"/>
          <w:color w:val="auto"/>
        </w:rPr>
      </w:pPr>
      <w:r>
        <w:rPr>
          <w:rFonts w:ascii="Arial" w:cs="Arial" w:eastAsia="Arial" w:hAnsi="Arial"/>
          <w:sz w:val="14"/>
          <w:szCs w:val="14"/>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80" w:lineRule="exact"/>
        <w:rPr>
          <w:sz w:val="20"/>
          <w:szCs w:val="20"/>
          <w:color w:val="auto"/>
        </w:rPr>
      </w:pPr>
    </w:p>
    <w:p>
      <w:pPr>
        <w:jc w:val="both"/>
        <w:ind w:firstLine="219"/>
        <w:spacing w:after="0" w:line="271" w:lineRule="auto"/>
        <w:rPr>
          <w:sz w:val="20"/>
          <w:szCs w:val="20"/>
          <w:color w:val="auto"/>
        </w:rPr>
      </w:pPr>
      <w:r>
        <w:rPr>
          <w:rFonts w:ascii="Arial" w:cs="Arial" w:eastAsia="Arial" w:hAnsi="Arial"/>
          <w:sz w:val="14"/>
          <w:szCs w:val="14"/>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72"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180" w:lineRule="exact"/>
        <w:rPr>
          <w:sz w:val="20"/>
          <w:szCs w:val="20"/>
          <w:color w:val="auto"/>
        </w:rPr>
      </w:pPr>
    </w:p>
    <w:p>
      <w:pPr>
        <w:jc w:val="both"/>
        <w:ind w:firstLine="219"/>
        <w:spacing w:after="0" w:line="290" w:lineRule="auto"/>
        <w:rPr>
          <w:sz w:val="20"/>
          <w:szCs w:val="20"/>
          <w:color w:val="auto"/>
        </w:rPr>
      </w:pPr>
      <w:r>
        <w:rPr>
          <w:rFonts w:ascii="Arial" w:cs="Arial" w:eastAsia="Arial" w:hAnsi="Arial"/>
          <w:sz w:val="13"/>
          <w:szCs w:val="13"/>
          <w:color w:val="auto"/>
        </w:rPr>
        <w:t>We are subject to changing rules and regulations of various federal and state governmental authorities as well as the stock exchange on which our Common Stock is listed. These entities, including the Public Company Accounting Oversight Board (PCAOB),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such as shareholder approval of executive compensation (so-called “say on pay”) and proxy access. On January 25, 2011, the SEC adopted final rules concerning “say on pay”. Our efforts to comply with these requirements and regulations have resulted in, and are likely to continue to result in, an increase in expenses and a diversion of management’s time from other business activities.</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In future years, if we are unable to conclude that our internal control over financial reporting is effective, the market value of our Common Stock could be adversely affected.</w:t>
      </w:r>
    </w:p>
    <w:p>
      <w:pPr>
        <w:spacing w:after="0" w:line="245" w:lineRule="exact"/>
        <w:rPr>
          <w:sz w:val="20"/>
          <w:szCs w:val="20"/>
          <w:color w:val="auto"/>
        </w:rPr>
      </w:pPr>
    </w:p>
    <w:p>
      <w:pPr>
        <w:jc w:val="both"/>
        <w:ind w:firstLine="285"/>
        <w:spacing w:after="0" w:line="289" w:lineRule="auto"/>
        <w:rPr>
          <w:sz w:val="20"/>
          <w:szCs w:val="20"/>
          <w:color w:val="auto"/>
        </w:rPr>
      </w:pPr>
      <w:r>
        <w:rPr>
          <w:rFonts w:ascii="Arial" w:cs="Arial" w:eastAsia="Arial" w:hAnsi="Arial"/>
          <w:sz w:val="13"/>
          <w:szCs w:val="13"/>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2010, which report is included in our Annual Report on Form 10-K for the fiscal year ended on that date.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61" w:name="page62"/>
    <w:bookmarkEnd w:id="61"/>
    <w:p>
      <w:pPr>
        <w:ind w:left="140"/>
        <w:spacing w:after="0"/>
        <w:rPr>
          <w:sz w:val="20"/>
          <w:szCs w:val="20"/>
          <w:color w:val="auto"/>
        </w:rPr>
      </w:pPr>
      <w:r>
        <w:rPr>
          <w:rFonts w:ascii="Arial" w:cs="Arial" w:eastAsia="Arial" w:hAnsi="Arial"/>
          <w:sz w:val="14"/>
          <w:szCs w:val="14"/>
          <w:b w:val="1"/>
          <w:bCs w:val="1"/>
          <w:i w:val="1"/>
          <w:iCs w:val="1"/>
          <w:color w:val="auto"/>
        </w:rPr>
        <w:t>Changes in laws and regulations affecting the healthcare industry could adversely affect our business.</w:t>
      </w:r>
    </w:p>
    <w:p>
      <w:pPr>
        <w:spacing w:after="0" w:line="234" w:lineRule="exact"/>
        <w:rPr>
          <w:sz w:val="20"/>
          <w:szCs w:val="20"/>
          <w:color w:val="auto"/>
        </w:rPr>
      </w:pPr>
    </w:p>
    <w:p>
      <w:pPr>
        <w:jc w:val="both"/>
        <w:ind w:firstLine="307"/>
        <w:spacing w:after="0" w:line="291" w:lineRule="auto"/>
        <w:rPr>
          <w:sz w:val="20"/>
          <w:szCs w:val="20"/>
          <w:color w:val="auto"/>
        </w:rPr>
      </w:pPr>
      <w:r>
        <w:rPr>
          <w:rFonts w:ascii="Arial" w:cs="Arial" w:eastAsia="Arial" w:hAnsi="Arial"/>
          <w:sz w:val="14"/>
          <w:szCs w:val="14"/>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53340" cy="53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44" w:lineRule="auto"/>
        <w:rPr>
          <w:sz w:val="20"/>
          <w:szCs w:val="20"/>
          <w:color w:val="auto"/>
        </w:rPr>
      </w:pPr>
      <w:r>
        <w:rPr>
          <w:rFonts w:ascii="Arial" w:cs="Arial" w:eastAsia="Arial" w:hAnsi="Arial"/>
          <w:sz w:val="15"/>
          <w:szCs w:val="15"/>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-193040</wp:posOffset>
            </wp:positionV>
            <wp:extent cx="53340" cy="53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44" w:lineRule="auto"/>
        <w:rPr>
          <w:sz w:val="20"/>
          <w:szCs w:val="20"/>
          <w:color w:val="auto"/>
        </w:rPr>
      </w:pPr>
      <w:r>
        <w:rPr>
          <w:rFonts w:ascii="Arial" w:cs="Arial" w:eastAsia="Arial" w:hAnsi="Arial"/>
          <w:sz w:val="15"/>
          <w:szCs w:val="15"/>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-193040</wp:posOffset>
            </wp:positionV>
            <wp:extent cx="53340" cy="53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280" w:lineRule="auto"/>
        <w:rPr>
          <w:sz w:val="20"/>
          <w:szCs w:val="20"/>
          <w:color w:val="auto"/>
        </w:rPr>
      </w:pPr>
      <w:r>
        <w:rPr>
          <w:rFonts w:ascii="Arial" w:cs="Arial" w:eastAsia="Arial" w:hAnsi="Arial"/>
          <w:sz w:val="14"/>
          <w:szCs w:val="14"/>
          <w:color w:val="auto"/>
        </w:rPr>
        <w:t>changes in FDA and foreign cGMPs that may make it more difficult and costly for us to maintain regulatory compliance and/or manufacture our marketed product and product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-208915</wp:posOffset>
            </wp:positionV>
            <wp:extent cx="53340" cy="53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23" w:lineRule="exact"/>
        <w:rPr>
          <w:sz w:val="20"/>
          <w:szCs w:val="20"/>
          <w:color w:val="auto"/>
        </w:rPr>
      </w:pPr>
    </w:p>
    <w:p>
      <w:pPr>
        <w:jc w:val="both"/>
        <w:ind w:firstLine="252"/>
        <w:spacing w:after="0" w:line="276" w:lineRule="auto"/>
        <w:rPr>
          <w:sz w:val="20"/>
          <w:szCs w:val="20"/>
          <w:color w:val="auto"/>
        </w:rPr>
      </w:pPr>
      <w:r>
        <w:rPr>
          <w:rFonts w:ascii="Arial" w:cs="Arial" w:eastAsia="Arial" w:hAnsi="Arial"/>
          <w:sz w:val="14"/>
          <w:szCs w:val="14"/>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Reliance on Third Parties</w:t>
      </w:r>
    </w:p>
    <w:p>
      <w:pPr>
        <w:spacing w:after="0" w:line="216"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If our antibody collaboration with Sanofi is terminated, our business operations and financial condition, and our ability to discover, develop, manufacture, and commercialize our pipeline of product candidates in the time expected, or at all, would be materially harmed.</w:t>
      </w:r>
    </w:p>
    <w:p>
      <w:pPr>
        <w:spacing w:after="0" w:line="180" w:lineRule="exact"/>
        <w:rPr>
          <w:sz w:val="20"/>
          <w:szCs w:val="20"/>
          <w:color w:val="auto"/>
        </w:rPr>
      </w:pPr>
    </w:p>
    <w:p>
      <w:pPr>
        <w:jc w:val="both"/>
        <w:ind w:firstLine="252"/>
        <w:spacing w:after="0" w:line="285" w:lineRule="auto"/>
        <w:rPr>
          <w:sz w:val="20"/>
          <w:szCs w:val="20"/>
          <w:color w:val="auto"/>
        </w:rPr>
      </w:pPr>
      <w:r>
        <w:rPr>
          <w:rFonts w:ascii="Arial" w:cs="Arial" w:eastAsia="Arial" w:hAnsi="Arial"/>
          <w:sz w:val="13"/>
          <w:szCs w:val="13"/>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REGN727, sarilumab, REGN668, REGN421, REGN910, REGN475, and REGN728, we rely on Sanofi to lead much of the clinical development efforts and assist with obtaining regulatory approval, particularly outside the U.S.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If Sanofi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168" w:lineRule="exact"/>
        <w:rPr>
          <w:sz w:val="20"/>
          <w:szCs w:val="20"/>
          <w:color w:val="auto"/>
        </w:rPr>
      </w:pPr>
    </w:p>
    <w:p>
      <w:pPr>
        <w:ind w:left="140"/>
        <w:spacing w:after="0" w:line="239" w:lineRule="auto"/>
        <w:rPr>
          <w:sz w:val="20"/>
          <w:szCs w:val="20"/>
          <w:color w:val="auto"/>
        </w:rPr>
      </w:pPr>
      <w:r>
        <w:rPr>
          <w:rFonts w:ascii="Arial" w:cs="Arial" w:eastAsia="Arial" w:hAnsi="Arial"/>
          <w:sz w:val="14"/>
          <w:szCs w:val="14"/>
          <w:b w:val="1"/>
          <w:bCs w:val="1"/>
          <w:i w:val="1"/>
          <w:iCs w:val="1"/>
          <w:color w:val="auto"/>
        </w:rPr>
        <w:t>If our collaboration with Sanofi for ZALTRAP</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is terminated, or Sanofi materially breaches its obligations thereunder, our business operations and financial condition, and our ability to develop, manufacture, and commercialize ZALTRAP</w:t>
      </w:r>
      <w:r>
        <w:rPr>
          <w:rFonts w:ascii="Arial" w:cs="Arial" w:eastAsia="Arial" w:hAnsi="Arial"/>
          <w:sz w:val="19"/>
          <w:szCs w:val="19"/>
          <w:b w:val="1"/>
          <w:bCs w:val="1"/>
          <w:i w:val="1"/>
          <w:iCs w:val="1"/>
          <w:color w:val="auto"/>
          <w:vertAlign w:val="superscript"/>
        </w:rPr>
        <w:t>TM</w:t>
      </w:r>
      <w:r>
        <w:rPr>
          <w:rFonts w:ascii="Arial" w:cs="Arial" w:eastAsia="Arial" w:hAnsi="Arial"/>
          <w:sz w:val="14"/>
          <w:szCs w:val="14"/>
          <w:b w:val="1"/>
          <w:bCs w:val="1"/>
          <w:i w:val="1"/>
          <w:iCs w:val="1"/>
          <w:color w:val="auto"/>
        </w:rPr>
        <w:t xml:space="preserve"> in the time expected, or at all, would be materially harmed.</w:t>
      </w:r>
    </w:p>
    <w:p>
      <w:pPr>
        <w:spacing w:after="0" w:line="135" w:lineRule="exact"/>
        <w:rPr>
          <w:sz w:val="20"/>
          <w:szCs w:val="20"/>
          <w:color w:val="auto"/>
        </w:rPr>
      </w:pPr>
    </w:p>
    <w:p>
      <w:pPr>
        <w:jc w:val="both"/>
        <w:ind w:firstLine="340"/>
        <w:spacing w:after="0" w:line="222" w:lineRule="auto"/>
        <w:rPr>
          <w:sz w:val="20"/>
          <w:szCs w:val="20"/>
          <w:color w:val="auto"/>
        </w:rPr>
      </w:pPr>
      <w:r>
        <w:rPr>
          <w:rFonts w:ascii="Arial" w:cs="Arial" w:eastAsia="Arial" w:hAnsi="Arial"/>
          <w:sz w:val="14"/>
          <w:szCs w:val="14"/>
          <w:color w:val="auto"/>
        </w:rPr>
        <w:t>We rely heavily on Sanofi to lead much of the development of ZALTRAP</w:t>
      </w:r>
      <w:r>
        <w:rPr>
          <w:rFonts w:ascii="Arial" w:cs="Arial" w:eastAsia="Arial" w:hAnsi="Arial"/>
          <w:sz w:val="19"/>
          <w:szCs w:val="19"/>
          <w:color w:val="auto"/>
          <w:vertAlign w:val="superscript"/>
        </w:rPr>
        <w:t>TM</w:t>
      </w:r>
      <w:r>
        <w:rPr>
          <w:rFonts w:ascii="Arial" w:cs="Arial" w:eastAsia="Arial" w:hAnsi="Arial"/>
          <w:sz w:val="14"/>
          <w:szCs w:val="14"/>
          <w:color w:val="auto"/>
        </w:rPr>
        <w:t>. Sanofi initially funds all of the development expenses incurred by both companies in connection with the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program. If the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program continues, we will rely on Sanofi to assist with funding the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program, provide commercial manufacturing capacity, enroll and monitor clinical trials, obtain regulatory approval, particularly outside the U.S., and lead the commercialization of ZALTRAP</w:t>
      </w:r>
      <w:r>
        <w:rPr>
          <w:rFonts w:ascii="Arial" w:cs="Arial" w:eastAsia="Arial" w:hAnsi="Arial"/>
          <w:sz w:val="19"/>
          <w:szCs w:val="19"/>
          <w:color w:val="auto"/>
          <w:vertAlign w:val="superscript"/>
        </w:rPr>
        <w:t>TM</w:t>
      </w:r>
      <w:r>
        <w:rPr>
          <w:rFonts w:ascii="Arial" w:cs="Arial" w:eastAsia="Arial" w:hAnsi="Arial"/>
          <w:sz w:val="14"/>
          <w:szCs w:val="14"/>
          <w:color w:val="auto"/>
        </w:rPr>
        <w:t>. While we cannot assure you that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will ever be successfully developed and commercialized, if Sanofi does not perform its obligations in a timely manner, or at all, our ability to develop, manufacture, and commercialize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in cancer indications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result in substantial additional costs to us. We have limited commercial capabilities and would have to develop or outsource these capabilities. Termination of the Sanofi collaboration agreement for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would create substantial new and additional risks to the successful development and commercialization of ZALTRAP</w:t>
      </w:r>
      <w:r>
        <w:rPr>
          <w:rFonts w:ascii="Arial" w:cs="Arial" w:eastAsia="Arial" w:hAnsi="Arial"/>
          <w:sz w:val="19"/>
          <w:szCs w:val="19"/>
          <w:color w:val="auto"/>
          <w:vertAlign w:val="superscript"/>
        </w:rPr>
        <w:t>TM</w:t>
      </w:r>
      <w:r>
        <w:rPr>
          <w:rFonts w:ascii="Arial" w:cs="Arial" w:eastAsia="Arial" w:hAnsi="Arial"/>
          <w:sz w:val="14"/>
          <w:szCs w:val="14"/>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62" w:name="page63"/>
    <w:bookmarkEnd w:id="62"/>
    <w:p>
      <w:pPr>
        <w:ind w:left="140"/>
        <w:spacing w:after="0" w:line="295" w:lineRule="auto"/>
        <w:rPr>
          <w:sz w:val="20"/>
          <w:szCs w:val="20"/>
          <w:color w:val="auto"/>
        </w:rPr>
      </w:pPr>
      <w:r>
        <w:rPr>
          <w:rFonts w:ascii="Arial" w:cs="Arial" w:eastAsia="Arial" w:hAnsi="Arial"/>
          <w:sz w:val="13"/>
          <w:szCs w:val="13"/>
          <w:b w:val="1"/>
          <w:bCs w:val="1"/>
          <w:i w:val="1"/>
          <w:iCs w:val="1"/>
          <w:color w:val="auto"/>
        </w:rPr>
        <w:t>If our collaboration with Bayer HealthCare for EYLEA</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is terminated, or Bayer HealthCare materially breaches its obligations thereunder, our business operations and financial condition, and our ability to continue to develop EYLEA</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and commercialize EYLEA</w:t>
      </w:r>
      <w:r>
        <w:rPr>
          <w:rFonts w:ascii="Arial" w:cs="Arial" w:eastAsia="Arial" w:hAnsi="Arial"/>
          <w:sz w:val="17"/>
          <w:szCs w:val="17"/>
          <w:b w:val="1"/>
          <w:bCs w:val="1"/>
          <w:i w:val="1"/>
          <w:iCs w:val="1"/>
          <w:color w:val="auto"/>
          <w:vertAlign w:val="superscript"/>
        </w:rPr>
        <w:t>TM</w:t>
      </w:r>
      <w:r>
        <w:rPr>
          <w:rFonts w:ascii="Arial" w:cs="Arial" w:eastAsia="Arial" w:hAnsi="Arial"/>
          <w:sz w:val="13"/>
          <w:szCs w:val="13"/>
          <w:b w:val="1"/>
          <w:bCs w:val="1"/>
          <w:i w:val="1"/>
          <w:iCs w:val="1"/>
          <w:color w:val="auto"/>
        </w:rPr>
        <w:t xml:space="preserve"> outside the U.S. in the time expected, or at all, would be materially harmed.</w:t>
      </w:r>
    </w:p>
    <w:p>
      <w:pPr>
        <w:spacing w:after="0" w:line="90" w:lineRule="exact"/>
        <w:rPr>
          <w:sz w:val="20"/>
          <w:szCs w:val="20"/>
          <w:color w:val="auto"/>
        </w:rPr>
      </w:pPr>
    </w:p>
    <w:p>
      <w:pPr>
        <w:jc w:val="both"/>
        <w:ind w:firstLine="241"/>
        <w:spacing w:after="0"/>
        <w:rPr>
          <w:sz w:val="20"/>
          <w:szCs w:val="20"/>
          <w:color w:val="auto"/>
        </w:rPr>
      </w:pPr>
      <w:r>
        <w:rPr>
          <w:rFonts w:ascii="Arial" w:cs="Arial" w:eastAsia="Arial" w:hAnsi="Arial"/>
          <w:sz w:val="13"/>
          <w:szCs w:val="13"/>
          <w:color w:val="auto"/>
        </w:rPr>
        <w:t>We rely heavily on Bayer HealthCare to assist with the development, and the commercialization outside the U.S., of EYLEA</w:t>
      </w:r>
      <w:r>
        <w:rPr>
          <w:rFonts w:ascii="Arial" w:cs="Arial" w:eastAsia="Arial" w:hAnsi="Arial"/>
          <w:sz w:val="17"/>
          <w:szCs w:val="17"/>
          <w:color w:val="auto"/>
          <w:vertAlign w:val="superscript"/>
        </w:rPr>
        <w:t>TM</w:t>
      </w:r>
      <w:r>
        <w:rPr>
          <w:rFonts w:ascii="Arial" w:cs="Arial" w:eastAsia="Arial" w:hAnsi="Arial"/>
          <w:sz w:val="13"/>
          <w:szCs w:val="13"/>
          <w:color w:val="auto"/>
        </w:rPr>
        <w:t>. Under our agreement with them, Bayer HealthCare is required to fund approximately half of the development expenses incurred by both companies in connection with the global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program. As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program continues, we will continue to rely on Bayer HealthCare to assist with funding the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development program, continue to lead the development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obtain regulatory approval outside the U.S., and provide all sales, marketing, and commercial support for the product outside the U.S. In particular, Bayer HealthCare has responsibility for selling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using its sales force. While we cannot assure you that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will receive regulatory approval in or outside the U.S. or be successfully commercialized, if Bayer HealthCare does not perform its obligations in a timely manner, or at all, our ability to develop, manufacture, and commercialize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outside the U.S. and result in substantial additional costs to us. We currently have limited commercial capabilities and would have to develop or outsource these capabilities outside the U.S. Termination of the Bayer HealthCare collaboration agreement would create substantial new and additional risks to the successful development and commercialization of EYLEA</w:t>
      </w:r>
      <w:r>
        <w:rPr>
          <w:rFonts w:ascii="Arial" w:cs="Arial" w:eastAsia="Arial" w:hAnsi="Arial"/>
          <w:sz w:val="17"/>
          <w:szCs w:val="17"/>
          <w:color w:val="auto"/>
          <w:vertAlign w:val="superscript"/>
        </w:rPr>
        <w:t>TM</w:t>
      </w:r>
      <w:r>
        <w:rPr>
          <w:rFonts w:ascii="Arial" w:cs="Arial" w:eastAsia="Arial" w:hAnsi="Arial"/>
          <w:sz w:val="13"/>
          <w:szCs w:val="13"/>
          <w:color w:val="auto"/>
        </w:rPr>
        <w:t>, particularly outside the U.S.</w:t>
      </w:r>
    </w:p>
    <w:p>
      <w:pPr>
        <w:spacing w:after="0" w:line="118" w:lineRule="exact"/>
        <w:rPr>
          <w:sz w:val="20"/>
          <w:szCs w:val="20"/>
          <w:color w:val="auto"/>
        </w:rPr>
      </w:pPr>
    </w:p>
    <w:p>
      <w:pPr>
        <w:ind w:left="140"/>
        <w:spacing w:after="0" w:line="291" w:lineRule="auto"/>
        <w:rPr>
          <w:sz w:val="20"/>
          <w:szCs w:val="20"/>
          <w:color w:val="auto"/>
        </w:rPr>
      </w:pPr>
      <w:r>
        <w:rPr>
          <w:rFonts w:ascii="Arial" w:cs="Arial" w:eastAsia="Arial" w:hAnsi="Arial"/>
          <w:sz w:val="14"/>
          <w:szCs w:val="14"/>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8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and will also depend on some of these third parties in connection with the commercialization of our late-stage product candidates if they are approved for marketing. If any of our existing collaborators or service providers breaches or terminates its agreement with us or does not perform its development or manufacturing services under an agreement in a timely manner or in compliance with applicable GMPs, Good Laboratory Practices (GLPs), or GCP Standards, we could experience additional costs, delays, and difficulties in the manufacture or development of, or in obtaining approval by regulatory authorities for and successfully commercializing, our product candidates.</w:t>
      </w:r>
    </w:p>
    <w:p>
      <w:pPr>
        <w:spacing w:after="0" w:line="196" w:lineRule="exact"/>
        <w:rPr>
          <w:sz w:val="20"/>
          <w:szCs w:val="20"/>
          <w:color w:val="auto"/>
        </w:rPr>
      </w:pPr>
    </w:p>
    <w:p>
      <w:pPr>
        <w:jc w:val="both"/>
        <w:ind w:firstLine="241"/>
        <w:spacing w:after="0" w:line="214" w:lineRule="auto"/>
        <w:rPr>
          <w:sz w:val="20"/>
          <w:szCs w:val="20"/>
          <w:color w:val="auto"/>
        </w:rPr>
      </w:pPr>
      <w:r>
        <w:rPr>
          <w:rFonts w:ascii="Arial" w:cs="Arial" w:eastAsia="Arial" w:hAnsi="Arial"/>
          <w:sz w:val="14"/>
          <w:szCs w:val="14"/>
          <w:color w:val="auto"/>
        </w:rPr>
        <w:t>We rely on third-party service providers to support the distribution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many other related activities in connection with the commercialization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We cannot be certain that these third parties will perform adequately. If these service providers do not perform their services adequately, our sales of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treatment of CAPS will suffer.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5" w:right="2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auto"/>
        </w:rPr>
        <w:t>Risk Related to Employees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57" w:lineRule="exact"/>
        <w:rPr>
          <w:sz w:val="20"/>
          <w:szCs w:val="20"/>
          <w:color w:val="auto"/>
        </w:rPr>
      </w:pPr>
    </w:p>
    <w:p>
      <w:pPr>
        <w:jc w:val="both"/>
        <w:ind w:firstLine="230"/>
        <w:spacing w:after="0" w:line="266" w:lineRule="auto"/>
        <w:rPr>
          <w:sz w:val="20"/>
          <w:szCs w:val="20"/>
          <w:color w:val="auto"/>
        </w:rPr>
      </w:pPr>
      <w:r>
        <w:rPr>
          <w:rFonts w:ascii="Arial" w:cs="Arial" w:eastAsia="Arial" w:hAnsi="Arial"/>
          <w:sz w:val="14"/>
          <w:szCs w:val="14"/>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As we prepare for commercialization in the U.S. of our late-stage product candidates should they receive regulatory approval, we will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Technology Risks</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Significant disruptions of information technology systems or breaches of data security could adversely affect our business.</w:t>
      </w:r>
    </w:p>
    <w:p>
      <w:pPr>
        <w:spacing w:after="0" w:line="234" w:lineRule="exact"/>
        <w:rPr>
          <w:sz w:val="20"/>
          <w:szCs w:val="20"/>
          <w:color w:val="auto"/>
        </w:rPr>
      </w:pPr>
    </w:p>
    <w:p>
      <w:pPr>
        <w:jc w:val="both"/>
        <w:ind w:firstLine="219"/>
        <w:spacing w:after="0" w:line="276" w:lineRule="auto"/>
        <w:rPr>
          <w:sz w:val="20"/>
          <w:szCs w:val="20"/>
          <w:color w:val="auto"/>
        </w:rPr>
      </w:pPr>
      <w:r>
        <w:rPr>
          <w:rFonts w:ascii="Arial" w:cs="Arial" w:eastAsia="Arial" w:hAnsi="Arial"/>
          <w:sz w:val="14"/>
          <w:szCs w:val="14"/>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191" w:lineRule="exact"/>
        <w:rPr>
          <w:sz w:val="20"/>
          <w:szCs w:val="20"/>
          <w:color w:val="auto"/>
        </w:rPr>
      </w:pPr>
    </w:p>
    <w:p>
      <w:pPr>
        <w:jc w:val="both"/>
        <w:ind w:firstLine="285"/>
        <w:spacing w:after="0" w:line="276" w:lineRule="auto"/>
        <w:rPr>
          <w:sz w:val="20"/>
          <w:szCs w:val="20"/>
          <w:color w:val="auto"/>
        </w:rPr>
      </w:pPr>
      <w:r>
        <w:rPr>
          <w:rFonts w:ascii="Arial" w:cs="Arial" w:eastAsia="Arial" w:hAnsi="Arial"/>
          <w:sz w:val="14"/>
          <w:szCs w:val="14"/>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Such disruptions and breaches of security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Our stock price is extremely volatile.</w:t>
      </w:r>
    </w:p>
    <w:p>
      <w:pPr>
        <w:spacing w:after="0" w:line="234" w:lineRule="exact"/>
        <w:rPr>
          <w:sz w:val="20"/>
          <w:szCs w:val="20"/>
          <w:color w:val="auto"/>
        </w:rPr>
      </w:pPr>
    </w:p>
    <w:p>
      <w:pPr>
        <w:jc w:val="both"/>
        <w:ind w:firstLine="241"/>
        <w:spacing w:after="0" w:line="291" w:lineRule="auto"/>
        <w:rPr>
          <w:sz w:val="20"/>
          <w:szCs w:val="20"/>
          <w:color w:val="auto"/>
        </w:rPr>
      </w:pPr>
      <w:r>
        <w:rPr>
          <w:rFonts w:ascii="Arial" w:cs="Arial" w:eastAsia="Arial" w:hAnsi="Arial"/>
          <w:sz w:val="14"/>
          <w:szCs w:val="14"/>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3" w:lineRule="exact"/>
        <w:rPr>
          <w:sz w:val="20"/>
          <w:szCs w:val="20"/>
          <w:color w:val="auto"/>
        </w:rPr>
      </w:pPr>
    </w:p>
    <w:p>
      <w:pPr>
        <w:ind w:left="440"/>
        <w:spacing w:after="0" w:line="265" w:lineRule="auto"/>
        <w:rPr>
          <w:sz w:val="20"/>
          <w:szCs w:val="20"/>
          <w:color w:val="auto"/>
        </w:rPr>
      </w:pPr>
      <w:r>
        <w:rPr>
          <w:rFonts w:ascii="Arial" w:cs="Arial" w:eastAsia="Arial" w:hAnsi="Arial"/>
          <w:sz w:val="14"/>
          <w:szCs w:val="14"/>
          <w:color w:val="auto"/>
        </w:rPr>
        <w:t>announcement of actions by the FDA or foreign regulatory authorities or their respective advisory committees regarding our currently pending or future application(s) for regulatory approval of our late-stage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4000"/>
        <w:spacing w:after="0" w:line="261" w:lineRule="auto"/>
        <w:rPr>
          <w:sz w:val="20"/>
          <w:szCs w:val="20"/>
          <w:color w:val="auto"/>
        </w:rPr>
      </w:pPr>
      <w:r>
        <w:rPr>
          <w:rFonts w:ascii="Arial" w:cs="Arial" w:eastAsia="Arial" w:hAnsi="Arial"/>
          <w:sz w:val="14"/>
          <w:szCs w:val="14"/>
          <w:color w:val="auto"/>
        </w:rPr>
        <w:t>announcement of submission of an application for regulatory approval of one or more of our late-stage product candidates; 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-80010</wp:posOffset>
            </wp:positionV>
            <wp:extent cx="53340" cy="53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line="196" w:lineRule="auto"/>
        <w:rPr>
          <w:sz w:val="20"/>
          <w:szCs w:val="20"/>
          <w:color w:val="auto"/>
        </w:rPr>
      </w:pPr>
      <w:r>
        <w:rPr>
          <w:rFonts w:ascii="Arial" w:cs="Arial" w:eastAsia="Arial" w:hAnsi="Arial"/>
          <w:sz w:val="14"/>
          <w:szCs w:val="14"/>
          <w:color w:val="auto"/>
        </w:rPr>
        <w:t>fluctuations in our operating results; in particular, if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or any of our other late-stage product candidates is approved for marketing, and our revenues, market share, and/or market acceptance of EYLEA</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or such other products do not meet the expectations of investors or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-195580</wp:posOffset>
            </wp:positionV>
            <wp:extent cx="53340" cy="53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third-party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-75565</wp:posOffset>
            </wp:positionV>
            <wp:extent cx="53340"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right="1420"/>
        <w:spacing w:after="0" w:line="222" w:lineRule="auto"/>
        <w:rPr>
          <w:sz w:val="20"/>
          <w:szCs w:val="20"/>
          <w:color w:val="auto"/>
        </w:rPr>
      </w:pPr>
      <w:r>
        <w:rPr>
          <w:rFonts w:ascii="Arial" w:cs="Arial" w:eastAsia="Arial" w:hAnsi="Arial"/>
          <w:sz w:val="14"/>
          <w:szCs w:val="14"/>
          <w:color w:val="auto"/>
        </w:rPr>
        <w:t>public concern as to the safety or effectiveness of any of our product candidates, including EYLEA</w:t>
      </w:r>
      <w:r>
        <w:rPr>
          <w:rFonts w:ascii="Arial" w:cs="Arial" w:eastAsia="Arial" w:hAnsi="Arial"/>
          <w:sz w:val="19"/>
          <w:szCs w:val="19"/>
          <w:color w:val="auto"/>
          <w:vertAlign w:val="superscript"/>
        </w:rPr>
        <w:t>TM</w:t>
      </w:r>
      <w:r>
        <w:rPr>
          <w:rFonts w:ascii="Arial" w:cs="Arial" w:eastAsia="Arial" w:hAnsi="Arial"/>
          <w:sz w:val="14"/>
          <w:szCs w:val="14"/>
          <w:color w:val="auto"/>
        </w:rPr>
        <w:t>, ZALTRAP</w:t>
      </w:r>
      <w:r>
        <w:rPr>
          <w:rFonts w:ascii="Arial" w:cs="Arial" w:eastAsia="Arial" w:hAnsi="Arial"/>
          <w:sz w:val="19"/>
          <w:szCs w:val="19"/>
          <w:color w:val="auto"/>
          <w:vertAlign w:val="superscript"/>
        </w:rPr>
        <w:t>TM</w:t>
      </w:r>
      <w:r>
        <w:rPr>
          <w:rFonts w:ascii="Arial" w:cs="Arial" w:eastAsia="Arial" w:hAnsi="Arial"/>
          <w:sz w:val="14"/>
          <w:szCs w:val="14"/>
          <w:color w:val="auto"/>
        </w:rPr>
        <w:t>, 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for the prevention of gout flares; 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-191770</wp:posOffset>
            </wp:positionV>
            <wp:extent cx="53340" cy="53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340" cy="5334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-80645</wp:posOffset>
            </wp:positionV>
            <wp:extent cx="53340" cy="53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3" w:right="219" w:bottom="1440" w:gutter="0" w:footer="0" w:header="0"/>
        </w:sectPr>
      </w:pPr>
    </w:p>
    <w:bookmarkStart w:id="64" w:name="page65"/>
    <w:bookmarkEnd w:id="64"/>
    <w:p>
      <w:pPr>
        <w:jc w:val="both"/>
        <w:ind w:firstLine="219"/>
        <w:spacing w:after="0" w:line="291" w:lineRule="auto"/>
        <w:rPr>
          <w:sz w:val="20"/>
          <w:szCs w:val="20"/>
          <w:color w:val="auto"/>
        </w:rPr>
      </w:pPr>
      <w:r>
        <w:rPr>
          <w:rFonts w:ascii="Arial" w:cs="Arial" w:eastAsia="Arial" w:hAnsi="Arial"/>
          <w:sz w:val="14"/>
          <w:szCs w:val="14"/>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Future sales of our Common Stock by our significant shareholders or us may depress our stock price and impair our ability to raise funds in new share offerings.</w:t>
      </w:r>
    </w:p>
    <w:p>
      <w:pPr>
        <w:spacing w:after="0" w:line="234"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14"/>
          <w:szCs w:val="14"/>
          <w:color w:val="auto"/>
        </w:rPr>
        <w:t>A small number of our shareholders beneficially own a substantial amount of our Common Stock. As of April 13, 2011, our five largest shareholders plus Leonard S. Schleifer, M.D, Ph.D., our Chief Executive Officer, beneficially owned 55.0% of our outstanding shares of Common Stock, assuming, in the case of our Chief Executive Officer, the conversion of his Class A Stock into Common Stock and the exercise of all options held by him which are exercisable within 60 days of April 13, 2011.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April 13, 2011, Sanofi beneficially owned 15,816,953 shares of our Common Stock, representing approximately 17.8% of the shares of Common Stock then outstanding. If Sanofi,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Our existing shareholders may be able to exert significant influence over matters requiring shareholder approval.</w:t>
      </w:r>
    </w:p>
    <w:p>
      <w:pPr>
        <w:spacing w:after="0" w:line="234" w:lineRule="exact"/>
        <w:rPr>
          <w:sz w:val="20"/>
          <w:szCs w:val="20"/>
          <w:color w:val="auto"/>
        </w:rPr>
      </w:pPr>
    </w:p>
    <w:p>
      <w:pPr>
        <w:jc w:val="both"/>
        <w:ind w:firstLine="263"/>
        <w:spacing w:after="0" w:line="269" w:lineRule="auto"/>
        <w:rPr>
          <w:sz w:val="20"/>
          <w:szCs w:val="20"/>
          <w:color w:val="auto"/>
        </w:rPr>
      </w:pPr>
      <w:r>
        <w:rPr>
          <w:rFonts w:ascii="Arial" w:cs="Arial" w:eastAsia="Arial" w:hAnsi="Arial"/>
          <w:sz w:val="14"/>
          <w:szCs w:val="14"/>
          <w:color w:val="auto"/>
        </w:rPr>
        <w:t>Holders of Class A Stock, who are generally the shareholders who purchased their stock from us before our initial public offering, are entitled to ten votes per share, while holders of Common Stock are entitled to one vote per share. As of April 13, 2011, holders of Class A Stock held 19.5%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13, 2011:</w:t>
      </w:r>
    </w:p>
    <w:p>
      <w:pPr>
        <w:spacing w:after="0" w:line="118" w:lineRule="exact"/>
        <w:rPr>
          <w:sz w:val="20"/>
          <w:szCs w:val="20"/>
          <w:color w:val="auto"/>
        </w:rPr>
      </w:pPr>
    </w:p>
    <w:p>
      <w:pPr>
        <w:jc w:val="both"/>
        <w:ind w:left="440"/>
        <w:spacing w:after="0" w:line="264" w:lineRule="auto"/>
        <w:rPr>
          <w:sz w:val="20"/>
          <w:szCs w:val="20"/>
          <w:color w:val="auto"/>
        </w:rPr>
      </w:pPr>
      <w:r>
        <w:rPr>
          <w:rFonts w:ascii="Arial" w:cs="Arial" w:eastAsia="Arial" w:hAnsi="Arial"/>
          <w:sz w:val="14"/>
          <w:szCs w:val="14"/>
          <w:color w:val="auto"/>
        </w:rPr>
        <w:t>our current executive officers and directors beneficially owned 12.1% of our outstanding shares of Common Stock, assuming conversion of their Class A Stock into Common Stock and the exercise of all options held by such persons which are exercisable within 60 days of April 13, 2011, and 25.8% of the combined voting power of our outstanding shares of Common Stock and Class A Stock, assuming the exercise of all options held by such persons which are exercisable within 60 days of April 13, 2011;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-302895</wp:posOffset>
            </wp:positionV>
            <wp:extent cx="53340" cy="53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68" w:lineRule="auto"/>
        <w:rPr>
          <w:sz w:val="20"/>
          <w:szCs w:val="20"/>
          <w:color w:val="auto"/>
        </w:rPr>
      </w:pPr>
      <w:r>
        <w:rPr>
          <w:rFonts w:ascii="Arial" w:cs="Arial" w:eastAsia="Arial" w:hAnsi="Arial"/>
          <w:sz w:val="14"/>
          <w:szCs w:val="14"/>
          <w:color w:val="auto"/>
        </w:rPr>
        <w:t>our five largest shareholders plus Leonard S. Schleifer, M.D., Ph.D. our Chief Executive Officer, beneficially owned 55.0% of our outstanding shares of Common Stock, assuming, in the case of our Chief Executive Officer, the conversion of his Class A Stock into Common Stock and the exercise of all options held by him which are exercisable within 60 days of April 13, 2011. In addition, these six shareholders held 59.2% of the combined voting power of our outstanding shares of Common Stock and Class A Stock, assuming the exercise of all options held by our Chief Executive Officer which are exercisable within 60 days of April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-425450</wp:posOffset>
            </wp:positionV>
            <wp:extent cx="53340" cy="53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33" w:lineRule="exact"/>
        <w:rPr>
          <w:sz w:val="20"/>
          <w:szCs w:val="20"/>
          <w:color w:val="auto"/>
        </w:rPr>
      </w:pPr>
    </w:p>
    <w:p>
      <w:pPr>
        <w:jc w:val="both"/>
        <w:ind w:firstLine="241"/>
        <w:spacing w:after="0" w:line="307" w:lineRule="auto"/>
        <w:rPr>
          <w:sz w:val="20"/>
          <w:szCs w:val="20"/>
          <w:color w:val="auto"/>
        </w:rPr>
      </w:pPr>
      <w:r>
        <w:rPr>
          <w:rFonts w:ascii="Arial" w:cs="Arial" w:eastAsia="Arial" w:hAnsi="Arial"/>
          <w:sz w:val="13"/>
          <w:szCs w:val="13"/>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49" w:right="219" w:bottom="1440" w:gutter="0" w:footer="0" w:header="0"/>
        </w:sectPr>
      </w:pPr>
    </w:p>
    <w:bookmarkStart w:id="65" w:name="page66"/>
    <w:bookmarkEnd w:id="65"/>
    <w:p>
      <w:pPr>
        <w:ind w:left="140"/>
        <w:spacing w:after="0" w:line="291" w:lineRule="auto"/>
        <w:rPr>
          <w:sz w:val="20"/>
          <w:szCs w:val="20"/>
          <w:color w:val="auto"/>
        </w:rPr>
      </w:pPr>
      <w:r>
        <w:rPr>
          <w:rFonts w:ascii="Arial" w:cs="Arial" w:eastAsia="Arial" w:hAnsi="Arial"/>
          <w:sz w:val="14"/>
          <w:szCs w:val="14"/>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180" w:lineRule="exact"/>
        <w:rPr>
          <w:sz w:val="20"/>
          <w:szCs w:val="20"/>
          <w:color w:val="auto"/>
        </w:rPr>
      </w:pPr>
    </w:p>
    <w:p>
      <w:pPr>
        <w:jc w:val="both"/>
        <w:ind w:firstLine="274"/>
        <w:spacing w:after="0" w:line="271" w:lineRule="auto"/>
        <w:rPr>
          <w:sz w:val="20"/>
          <w:szCs w:val="20"/>
          <w:color w:val="auto"/>
        </w:rPr>
      </w:pPr>
      <w:r>
        <w:rPr>
          <w:rFonts w:ascii="Arial" w:cs="Arial" w:eastAsia="Arial" w:hAnsi="Arial"/>
          <w:sz w:val="14"/>
          <w:szCs w:val="14"/>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8" w:lineRule="exact"/>
        <w:rPr>
          <w:sz w:val="20"/>
          <w:szCs w:val="20"/>
          <w:color w:val="auto"/>
        </w:rPr>
      </w:pPr>
    </w:p>
    <w:p>
      <w:pPr>
        <w:jc w:val="both"/>
        <w:ind w:left="440"/>
        <w:spacing w:after="0" w:line="265" w:lineRule="auto"/>
        <w:rPr>
          <w:sz w:val="20"/>
          <w:szCs w:val="20"/>
          <w:color w:val="auto"/>
        </w:rPr>
      </w:pPr>
      <w:r>
        <w:rPr>
          <w:rFonts w:ascii="Arial" w:cs="Arial" w:eastAsia="Arial" w:hAnsi="Arial"/>
          <w:sz w:val="14"/>
          <w:szCs w:val="14"/>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-71120</wp:posOffset>
            </wp:positionV>
            <wp:extent cx="53340" cy="53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61" w:lineRule="auto"/>
        <w:rPr>
          <w:sz w:val="20"/>
          <w:szCs w:val="20"/>
          <w:color w:val="auto"/>
        </w:rPr>
      </w:pPr>
      <w:r>
        <w:rPr>
          <w:rFonts w:ascii="Arial" w:cs="Arial" w:eastAsia="Arial" w:hAnsi="Arial"/>
          <w:sz w:val="14"/>
          <w:szCs w:val="14"/>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61" w:lineRule="auto"/>
        <w:rPr>
          <w:sz w:val="20"/>
          <w:szCs w:val="20"/>
          <w:color w:val="auto"/>
        </w:rPr>
      </w:pPr>
      <w:r>
        <w:rPr>
          <w:rFonts w:ascii="Arial" w:cs="Arial" w:eastAsia="Arial" w:hAnsi="Arial"/>
          <w:sz w:val="14"/>
          <w:szCs w:val="14"/>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61" w:lineRule="auto"/>
        <w:rPr>
          <w:sz w:val="20"/>
          <w:szCs w:val="20"/>
          <w:color w:val="auto"/>
        </w:rPr>
      </w:pPr>
      <w:r>
        <w:rPr>
          <w:rFonts w:ascii="Arial" w:cs="Arial" w:eastAsia="Arial" w:hAnsi="Arial"/>
          <w:sz w:val="14"/>
          <w:szCs w:val="14"/>
          <w:color w:val="auto"/>
        </w:rPr>
        <w:t>a requirement that 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-191135</wp:posOffset>
            </wp:positionV>
            <wp:extent cx="53340" cy="53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jc w:val="both"/>
        <w:ind w:left="440"/>
        <w:spacing w:after="0" w:line="272" w:lineRule="auto"/>
        <w:rPr>
          <w:sz w:val="20"/>
          <w:szCs w:val="20"/>
          <w:color w:val="auto"/>
        </w:rPr>
      </w:pPr>
      <w:r>
        <w:rPr>
          <w:rFonts w:ascii="Arial" w:cs="Arial" w:eastAsia="Arial" w:hAnsi="Arial"/>
          <w:sz w:val="14"/>
          <w:szCs w:val="14"/>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4"/>
          <w:szCs w:val="14"/>
          <w:i w:val="1"/>
          <w:iCs w:val="1"/>
          <w:color w:val="auto"/>
        </w:rPr>
        <w:t>“Our</w:t>
      </w:r>
      <w:r>
        <w:rPr>
          <w:rFonts w:ascii="Arial" w:cs="Arial" w:eastAsia="Arial" w:hAnsi="Arial"/>
          <w:sz w:val="14"/>
          <w:szCs w:val="14"/>
          <w:color w:val="auto"/>
        </w:rPr>
        <w:t xml:space="preserve"> </w:t>
      </w:r>
      <w:r>
        <w:rPr>
          <w:rFonts w:ascii="Arial" w:cs="Arial" w:eastAsia="Arial" w:hAnsi="Arial"/>
          <w:sz w:val="14"/>
          <w:szCs w:val="14"/>
          <w:i w:val="1"/>
          <w:iCs w:val="1"/>
          <w:color w:val="auto"/>
        </w:rPr>
        <w:t>existing shareholders may be able to exert significant influence over 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-316865</wp:posOffset>
            </wp:positionV>
            <wp:extent cx="53340" cy="53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340" cy="53340"/>
                    </a:xfrm>
                    <a:prstGeom prst="rect">
                      <a:avLst/>
                    </a:prstGeom>
                    <a:noFill/>
                  </pic:spPr>
                </pic:pic>
              </a:graphicData>
            </a:graphic>
          </wp:anchor>
        </w:drawing>
      </w:r>
    </w:p>
    <w:p>
      <w:pPr>
        <w:spacing w:after="0" w:line="127" w:lineRule="exact"/>
        <w:rPr>
          <w:sz w:val="20"/>
          <w:szCs w:val="20"/>
          <w:color w:val="auto"/>
        </w:rPr>
      </w:pPr>
    </w:p>
    <w:p>
      <w:pPr>
        <w:jc w:val="both"/>
        <w:ind w:firstLine="241"/>
        <w:spacing w:after="0" w:line="237" w:lineRule="auto"/>
        <w:rPr>
          <w:sz w:val="20"/>
          <w:szCs w:val="20"/>
          <w:color w:val="auto"/>
        </w:rPr>
      </w:pPr>
      <w:r>
        <w:rPr>
          <w:rFonts w:ascii="Arial" w:cs="Arial" w:eastAsia="Arial" w:hAnsi="Arial"/>
          <w:sz w:val="14"/>
          <w:szCs w:val="14"/>
          <w:color w:val="auto"/>
        </w:rPr>
        <w:t>Until the later of the fifth anniversaries of the expiration or earlier termination of our antibody collaboration agreements with Sanofi or our ZALTRAP</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14" w:lineRule="exact"/>
        <w:rPr>
          <w:sz w:val="20"/>
          <w:szCs w:val="20"/>
          <w:color w:val="auto"/>
        </w:rPr>
      </w:pPr>
    </w:p>
    <w:p>
      <w:pPr>
        <w:jc w:val="both"/>
        <w:ind w:firstLine="219"/>
        <w:spacing w:after="0" w:line="307" w:lineRule="auto"/>
        <w:rPr>
          <w:sz w:val="20"/>
          <w:szCs w:val="20"/>
          <w:color w:val="auto"/>
        </w:rPr>
      </w:pPr>
      <w:r>
        <w:rPr>
          <w:rFonts w:ascii="Arial" w:cs="Arial" w:eastAsia="Arial" w:hAnsi="Arial"/>
          <w:sz w:val="13"/>
          <w:szCs w:val="13"/>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 Exhibits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40" w:type="dxa"/>
            <w:vAlign w:val="bottom"/>
          </w:tcPr>
          <w:p>
            <w:pPr>
              <w:spacing w:after="0"/>
              <w:rPr>
                <w:sz w:val="16"/>
                <w:szCs w:val="16"/>
                <w:color w:val="auto"/>
              </w:rPr>
            </w:pPr>
          </w:p>
        </w:tc>
      </w:tr>
      <w:tr>
        <w:trPr>
          <w:trHeight w:val="204"/>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C0C0C0"/>
            </w:tcBorders>
          </w:tcPr>
          <w:p>
            <w:pPr>
              <w:spacing w:after="0"/>
              <w:rPr>
                <w:sz w:val="17"/>
                <w:szCs w:val="17"/>
                <w:color w:val="auto"/>
              </w:rPr>
            </w:pPr>
          </w:p>
        </w:tc>
        <w:tc>
          <w:tcPr>
            <w:tcW w:w="10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8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10.1 (a) +</w:t>
            </w:r>
          </w:p>
        </w:tc>
        <w:tc>
          <w:tcPr>
            <w:tcW w:w="10440" w:type="dxa"/>
            <w:vAlign w:val="bottom"/>
            <w:shd w:val="clear" w:color="auto" w:fill="C0C0C0"/>
          </w:tcPr>
          <w:p>
            <w:pPr>
              <w:spacing w:after="0"/>
              <w:rPr>
                <w:sz w:val="20"/>
                <w:szCs w:val="20"/>
                <w:color w:val="auto"/>
              </w:rPr>
            </w:pPr>
            <w:r>
              <w:rPr>
                <w:rFonts w:ascii="Arial" w:cs="Arial" w:eastAsia="Arial" w:hAnsi="Arial"/>
                <w:sz w:val="14"/>
                <w:szCs w:val="14"/>
                <w:color w:val="auto"/>
              </w:rPr>
              <w:t>- Second Amended and Restated 2000 Long-Term Incentive Plan.</w:t>
            </w:r>
          </w:p>
        </w:tc>
      </w:tr>
      <w:tr>
        <w:trPr>
          <w:trHeight w:val="191"/>
        </w:trPr>
        <w:tc>
          <w:tcPr>
            <w:tcW w:w="580" w:type="dxa"/>
            <w:vAlign w:val="bottom"/>
          </w:tcPr>
          <w:p>
            <w:pPr>
              <w:spacing w:after="0"/>
              <w:rPr>
                <w:sz w:val="20"/>
                <w:szCs w:val="20"/>
                <w:color w:val="auto"/>
              </w:rPr>
            </w:pPr>
            <w:r>
              <w:rPr>
                <w:rFonts w:ascii="Arial" w:cs="Arial" w:eastAsia="Arial" w:hAnsi="Arial"/>
                <w:sz w:val="14"/>
                <w:szCs w:val="14"/>
                <w:color w:val="auto"/>
              </w:rPr>
              <w:t>31.1</w:t>
            </w:r>
          </w:p>
        </w:tc>
        <w:tc>
          <w:tcPr>
            <w:tcW w:w="220" w:type="dxa"/>
            <w:vAlign w:val="bottom"/>
          </w:tcPr>
          <w:p>
            <w:pPr>
              <w:spacing w:after="0"/>
              <w:rPr>
                <w:sz w:val="16"/>
                <w:szCs w:val="16"/>
                <w:color w:val="auto"/>
              </w:rPr>
            </w:pPr>
          </w:p>
        </w:tc>
        <w:tc>
          <w:tcPr>
            <w:tcW w:w="10440" w:type="dxa"/>
            <w:vAlign w:val="bottom"/>
          </w:tcPr>
          <w:p>
            <w:pPr>
              <w:spacing w:after="0"/>
              <w:rPr>
                <w:sz w:val="20"/>
                <w:szCs w:val="20"/>
                <w:color w:val="auto"/>
              </w:rPr>
            </w:pPr>
            <w:r>
              <w:rPr>
                <w:rFonts w:ascii="Arial" w:cs="Arial" w:eastAsia="Arial" w:hAnsi="Arial"/>
                <w:sz w:val="14"/>
                <w:szCs w:val="14"/>
                <w:color w:val="auto"/>
              </w:rPr>
              <w:t>- Certification of CEO pursuant to Rule 13a-14(a) under the Securities Exchange Act of 1934.</w:t>
            </w:r>
          </w:p>
        </w:tc>
      </w:tr>
      <w:tr>
        <w:trPr>
          <w:trHeight w:val="204"/>
        </w:trPr>
        <w:tc>
          <w:tcPr>
            <w:tcW w:w="580" w:type="dxa"/>
            <w:vAlign w:val="bottom"/>
            <w:shd w:val="clear" w:color="auto" w:fill="C0C0C0"/>
          </w:tcPr>
          <w:p>
            <w:pPr>
              <w:spacing w:after="0"/>
              <w:rPr>
                <w:sz w:val="20"/>
                <w:szCs w:val="20"/>
                <w:color w:val="auto"/>
              </w:rPr>
            </w:pPr>
            <w:r>
              <w:rPr>
                <w:rFonts w:ascii="Arial" w:cs="Arial" w:eastAsia="Arial" w:hAnsi="Arial"/>
                <w:sz w:val="14"/>
                <w:szCs w:val="14"/>
                <w:color w:val="auto"/>
              </w:rPr>
              <w:t>31.2</w:t>
            </w:r>
          </w:p>
        </w:tc>
        <w:tc>
          <w:tcPr>
            <w:tcW w:w="220" w:type="dxa"/>
            <w:vAlign w:val="bottom"/>
            <w:shd w:val="clear" w:color="auto" w:fill="C0C0C0"/>
          </w:tcPr>
          <w:p>
            <w:pPr>
              <w:spacing w:after="0"/>
              <w:rPr>
                <w:sz w:val="17"/>
                <w:szCs w:val="17"/>
                <w:color w:val="auto"/>
              </w:rPr>
            </w:pPr>
          </w:p>
        </w:tc>
        <w:tc>
          <w:tcPr>
            <w:tcW w:w="10440" w:type="dxa"/>
            <w:vAlign w:val="bottom"/>
            <w:shd w:val="clear" w:color="auto" w:fill="C0C0C0"/>
          </w:tcPr>
          <w:p>
            <w:pPr>
              <w:spacing w:after="0"/>
              <w:rPr>
                <w:sz w:val="20"/>
                <w:szCs w:val="20"/>
                <w:color w:val="auto"/>
              </w:rPr>
            </w:pPr>
            <w:r>
              <w:rPr>
                <w:rFonts w:ascii="Arial" w:cs="Arial" w:eastAsia="Arial" w:hAnsi="Arial"/>
                <w:sz w:val="14"/>
                <w:szCs w:val="14"/>
                <w:color w:val="auto"/>
              </w:rPr>
              <w:t>- Certification of CFO pursuant to Rule 13a-14(a) under the Securities Exchange Act of 1934.</w:t>
            </w:r>
          </w:p>
        </w:tc>
      </w:tr>
      <w:tr>
        <w:trPr>
          <w:trHeight w:val="191"/>
        </w:trPr>
        <w:tc>
          <w:tcPr>
            <w:tcW w:w="580" w:type="dxa"/>
            <w:vAlign w:val="bottom"/>
          </w:tcPr>
          <w:p>
            <w:pPr>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6"/>
                <w:szCs w:val="16"/>
                <w:color w:val="auto"/>
              </w:rPr>
            </w:pPr>
          </w:p>
        </w:tc>
        <w:tc>
          <w:tcPr>
            <w:tcW w:w="10440" w:type="dxa"/>
            <w:vAlign w:val="bottom"/>
          </w:tcPr>
          <w:p>
            <w:pPr>
              <w:spacing w:after="0"/>
              <w:rPr>
                <w:sz w:val="20"/>
                <w:szCs w:val="20"/>
                <w:color w:val="auto"/>
              </w:rPr>
            </w:pPr>
            <w:r>
              <w:rPr>
                <w:rFonts w:ascii="Arial" w:cs="Arial" w:eastAsia="Arial" w:hAnsi="Arial"/>
                <w:sz w:val="14"/>
                <w:szCs w:val="14"/>
                <w:color w:val="auto"/>
              </w:rPr>
              <w:t>- Certification of CEO and CFO pursuant to 18 U.S.C. Section 1350.</w:t>
            </w:r>
          </w:p>
        </w:tc>
      </w:tr>
      <w:tr>
        <w:trPr>
          <w:trHeight w:val="204"/>
        </w:trPr>
        <w:tc>
          <w:tcPr>
            <w:tcW w:w="580" w:type="dxa"/>
            <w:vAlign w:val="bottom"/>
            <w:shd w:val="clear" w:color="auto" w:fill="C0C0C0"/>
          </w:tcPr>
          <w:p>
            <w:pPr>
              <w:spacing w:after="0"/>
              <w:rPr>
                <w:sz w:val="20"/>
                <w:szCs w:val="20"/>
                <w:color w:val="auto"/>
              </w:rPr>
            </w:pPr>
            <w:r>
              <w:rPr>
                <w:rFonts w:ascii="Arial" w:cs="Arial" w:eastAsia="Arial" w:hAnsi="Arial"/>
                <w:sz w:val="14"/>
                <w:szCs w:val="14"/>
                <w:color w:val="auto"/>
              </w:rPr>
              <w:t>101</w:t>
            </w:r>
          </w:p>
        </w:tc>
        <w:tc>
          <w:tcPr>
            <w:tcW w:w="220" w:type="dxa"/>
            <w:vAlign w:val="bottom"/>
            <w:shd w:val="clear" w:color="auto" w:fill="C0C0C0"/>
          </w:tcPr>
          <w:p>
            <w:pPr>
              <w:spacing w:after="0"/>
              <w:rPr>
                <w:sz w:val="17"/>
                <w:szCs w:val="17"/>
                <w:color w:val="auto"/>
              </w:rPr>
            </w:pPr>
          </w:p>
        </w:tc>
        <w:tc>
          <w:tcPr>
            <w:tcW w:w="10440" w:type="dxa"/>
            <w:vAlign w:val="bottom"/>
            <w:shd w:val="clear" w:color="auto" w:fill="C0C0C0"/>
          </w:tcPr>
          <w:p>
            <w:pPr>
              <w:spacing w:after="0"/>
              <w:rPr>
                <w:sz w:val="20"/>
                <w:szCs w:val="20"/>
                <w:color w:val="auto"/>
              </w:rPr>
            </w:pPr>
            <w:r>
              <w:rPr>
                <w:rFonts w:ascii="Arial" w:cs="Arial" w:eastAsia="Arial" w:hAnsi="Arial"/>
                <w:sz w:val="14"/>
                <w:szCs w:val="14"/>
                <w:color w:val="auto"/>
              </w:rPr>
              <w:t>- Interactive Data File</w:t>
            </w:r>
          </w:p>
        </w:tc>
      </w:tr>
      <w:tr>
        <w:trPr>
          <w:trHeight w:val="191"/>
        </w:trPr>
        <w:tc>
          <w:tcPr>
            <w:tcW w:w="80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440" w:type="dxa"/>
            <w:vAlign w:val="bottom"/>
          </w:tcPr>
          <w:p>
            <w:pPr>
              <w:spacing w:after="0"/>
              <w:rPr>
                <w:sz w:val="20"/>
                <w:szCs w:val="20"/>
                <w:color w:val="auto"/>
              </w:rPr>
            </w:pPr>
            <w:r>
              <w:rPr>
                <w:rFonts w:ascii="Arial" w:cs="Arial" w:eastAsia="Arial" w:hAnsi="Arial"/>
                <w:sz w:val="14"/>
                <w:szCs w:val="14"/>
                <w:color w:val="auto"/>
              </w:rPr>
              <w:t>- XBRL Instance Document</w:t>
            </w:r>
          </w:p>
        </w:tc>
      </w:tr>
      <w:tr>
        <w:trPr>
          <w:trHeight w:val="204"/>
        </w:trPr>
        <w:tc>
          <w:tcPr>
            <w:tcW w:w="8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101.SCH</w:t>
            </w:r>
          </w:p>
        </w:tc>
        <w:tc>
          <w:tcPr>
            <w:tcW w:w="10440" w:type="dxa"/>
            <w:vAlign w:val="bottom"/>
            <w:shd w:val="clear" w:color="auto" w:fill="C0C0C0"/>
          </w:tcPr>
          <w:p>
            <w:pPr>
              <w:spacing w:after="0"/>
              <w:rPr>
                <w:sz w:val="20"/>
                <w:szCs w:val="20"/>
                <w:color w:val="auto"/>
              </w:rPr>
            </w:pPr>
            <w:r>
              <w:rPr>
                <w:rFonts w:ascii="Arial" w:cs="Arial" w:eastAsia="Arial" w:hAnsi="Arial"/>
                <w:sz w:val="14"/>
                <w:szCs w:val="14"/>
                <w:color w:val="auto"/>
              </w:rPr>
              <w:t>- XBRL Taxonomy Extension Schema</w:t>
            </w:r>
          </w:p>
        </w:tc>
      </w:tr>
      <w:tr>
        <w:trPr>
          <w:trHeight w:val="191"/>
        </w:trPr>
        <w:tc>
          <w:tcPr>
            <w:tcW w:w="80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440" w:type="dxa"/>
            <w:vAlign w:val="bottom"/>
          </w:tcPr>
          <w:p>
            <w:pPr>
              <w:spacing w:after="0"/>
              <w:rPr>
                <w:sz w:val="20"/>
                <w:szCs w:val="20"/>
                <w:color w:val="auto"/>
              </w:rPr>
            </w:pPr>
            <w:r>
              <w:rPr>
                <w:rFonts w:ascii="Arial" w:cs="Arial" w:eastAsia="Arial" w:hAnsi="Arial"/>
                <w:sz w:val="14"/>
                <w:szCs w:val="14"/>
                <w:color w:val="auto"/>
              </w:rPr>
              <w:t>- XBRL Taxonomy Extension Calculation Linkbase</w:t>
            </w:r>
          </w:p>
        </w:tc>
      </w:tr>
      <w:tr>
        <w:trPr>
          <w:trHeight w:val="204"/>
        </w:trPr>
        <w:tc>
          <w:tcPr>
            <w:tcW w:w="8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101.LAB</w:t>
            </w:r>
          </w:p>
        </w:tc>
        <w:tc>
          <w:tcPr>
            <w:tcW w:w="10440" w:type="dxa"/>
            <w:vAlign w:val="bottom"/>
            <w:shd w:val="clear" w:color="auto" w:fill="C0C0C0"/>
          </w:tcPr>
          <w:p>
            <w:pPr>
              <w:spacing w:after="0"/>
              <w:rPr>
                <w:sz w:val="20"/>
                <w:szCs w:val="20"/>
                <w:color w:val="auto"/>
              </w:rPr>
            </w:pPr>
            <w:r>
              <w:rPr>
                <w:rFonts w:ascii="Arial" w:cs="Arial" w:eastAsia="Arial" w:hAnsi="Arial"/>
                <w:sz w:val="14"/>
                <w:szCs w:val="14"/>
                <w:color w:val="auto"/>
              </w:rPr>
              <w:t>- XBRL Taxonomy Extension Label Linkbase</w:t>
            </w:r>
          </w:p>
        </w:tc>
      </w:tr>
      <w:tr>
        <w:trPr>
          <w:trHeight w:val="191"/>
        </w:trPr>
        <w:tc>
          <w:tcPr>
            <w:tcW w:w="80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440" w:type="dxa"/>
            <w:vAlign w:val="bottom"/>
          </w:tcPr>
          <w:p>
            <w:pPr>
              <w:spacing w:after="0"/>
              <w:rPr>
                <w:sz w:val="20"/>
                <w:szCs w:val="20"/>
                <w:color w:val="auto"/>
              </w:rPr>
            </w:pPr>
            <w:r>
              <w:rPr>
                <w:rFonts w:ascii="Arial" w:cs="Arial" w:eastAsia="Arial" w:hAnsi="Arial"/>
                <w:sz w:val="14"/>
                <w:szCs w:val="14"/>
                <w:color w:val="auto"/>
              </w:rPr>
              <w:t>- XBRL Taxonomy Extension Presentation Linkbase</w:t>
            </w:r>
          </w:p>
        </w:tc>
      </w:tr>
      <w:tr>
        <w:trPr>
          <w:trHeight w:val="204"/>
        </w:trPr>
        <w:tc>
          <w:tcPr>
            <w:tcW w:w="800" w:type="dxa"/>
            <w:vAlign w:val="bottom"/>
            <w:gridSpan w:val="2"/>
            <w:shd w:val="clear" w:color="auto" w:fill="C0C0C0"/>
          </w:tcPr>
          <w:p>
            <w:pPr>
              <w:spacing w:after="0"/>
              <w:rPr>
                <w:sz w:val="20"/>
                <w:szCs w:val="20"/>
                <w:color w:val="auto"/>
              </w:rPr>
            </w:pPr>
            <w:r>
              <w:rPr>
                <w:rFonts w:ascii="Arial" w:cs="Arial" w:eastAsia="Arial" w:hAnsi="Arial"/>
                <w:sz w:val="14"/>
                <w:szCs w:val="14"/>
                <w:color w:val="auto"/>
              </w:rPr>
              <w:t>101.DEF</w:t>
            </w:r>
          </w:p>
        </w:tc>
        <w:tc>
          <w:tcPr>
            <w:tcW w:w="10440" w:type="dxa"/>
            <w:vAlign w:val="bottom"/>
            <w:shd w:val="clear" w:color="auto" w:fill="C0C0C0"/>
          </w:tcPr>
          <w:p>
            <w:pPr>
              <w:spacing w:after="0"/>
              <w:rPr>
                <w:sz w:val="20"/>
                <w:szCs w:val="20"/>
                <w:color w:val="auto"/>
              </w:rPr>
            </w:pPr>
            <w:r>
              <w:rPr>
                <w:rFonts w:ascii="Arial" w:cs="Arial" w:eastAsia="Arial" w:hAnsi="Arial"/>
                <w:sz w:val="14"/>
                <w:szCs w:val="14"/>
                <w:color w:val="auto"/>
              </w:rPr>
              <w:t>- XBRL Taxonomy Extension Definition Document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12" w:lineRule="exact"/>
        <w:rPr>
          <w:sz w:val="20"/>
          <w:szCs w:val="20"/>
          <w:color w:val="auto"/>
        </w:rPr>
      </w:pPr>
    </w:p>
    <w:p>
      <w:pPr>
        <w:ind w:left="620" w:hanging="393"/>
        <w:spacing w:after="0"/>
        <w:tabs>
          <w:tab w:leader="none" w:pos="6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Incorporated by reference from the Form S-8 for Regeneron Pharmaceuticals, Inc., filed June 13, 2011.</w:t>
      </w:r>
    </w:p>
    <w:p>
      <w:pPr>
        <w:spacing w:after="0" w:line="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w:t>
      </w:r>
    </w:p>
    <w:p>
      <w:pPr>
        <w:spacing w:after="0" w:line="190" w:lineRule="exact"/>
        <w:rPr>
          <w:sz w:val="20"/>
          <w:szCs w:val="20"/>
          <w:color w:val="auto"/>
        </w:rPr>
      </w:pPr>
    </w:p>
    <w:p>
      <w:pPr>
        <w:ind w:left="620" w:hanging="393"/>
        <w:spacing w:after="0"/>
        <w:tabs>
          <w:tab w:leader="none" w:pos="6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Indicates a compensatory plan or arrangement.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527" w:right="219" w:bottom="1440" w:gutter="0" w:footer="0" w:header="0"/>
        </w:sectPr>
      </w:pPr>
    </w:p>
    <w:bookmarkStart w:id="66" w:name="page67"/>
    <w:bookmarkEnd w:id="66"/>
    <w:p>
      <w:pPr>
        <w:ind w:left="200" w:hanging="192"/>
        <w:spacing w:after="0"/>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b w:val="1"/>
          <w:bCs w:val="1"/>
          <w:u w:val="single" w:color="auto"/>
          <w:color w:val="auto"/>
        </w:rPr>
        <w:t>SIGNATURE</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REGENERON PHARMACEUTICALS, INC.</w:t>
      </w:r>
    </w:p>
    <w:p>
      <w:pPr>
        <w:spacing w:after="0" w:line="234" w:lineRule="exact"/>
        <w:rPr>
          <w:sz w:val="20"/>
          <w:szCs w:val="20"/>
          <w:color w:val="auto"/>
        </w:rPr>
      </w:pPr>
    </w:p>
    <w:p>
      <w:pPr>
        <w:spacing w:after="0"/>
        <w:tabs>
          <w:tab w:leader="none" w:pos="5760" w:val="left"/>
        </w:tabs>
        <w:rPr>
          <w:sz w:val="20"/>
          <w:szCs w:val="20"/>
          <w:color w:val="auto"/>
        </w:rPr>
      </w:pPr>
      <w:r>
        <w:rPr>
          <w:rFonts w:ascii="Arial" w:cs="Arial" w:eastAsia="Arial" w:hAnsi="Arial"/>
          <w:sz w:val="14"/>
          <w:szCs w:val="14"/>
          <w:color w:val="auto"/>
        </w:rPr>
        <w:t>Date: July 28, 2011</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u w:val="single" w:color="auto"/>
          <w:color w:val="auto"/>
        </w:rPr>
        <w:t>/s/ M</w:t>
      </w:r>
      <w:r>
        <w:rPr>
          <w:rFonts w:ascii="Arial" w:cs="Arial" w:eastAsia="Arial" w:hAnsi="Arial"/>
          <w:sz w:val="10"/>
          <w:szCs w:val="10"/>
          <w:u w:val="single" w:color="auto"/>
          <w:color w:val="auto"/>
        </w:rPr>
        <w:t>URRAY</w:t>
      </w:r>
      <w:r>
        <w:rPr>
          <w:rFonts w:ascii="Arial" w:cs="Arial" w:eastAsia="Arial" w:hAnsi="Arial"/>
          <w:sz w:val="14"/>
          <w:szCs w:val="14"/>
          <w:color w:val="auto"/>
        </w:rPr>
        <w:t xml:space="preserve"> </w:t>
      </w:r>
      <w:r>
        <w:rPr>
          <w:rFonts w:ascii="Arial" w:cs="Arial" w:eastAsia="Arial" w:hAnsi="Arial"/>
          <w:sz w:val="14"/>
          <w:szCs w:val="14"/>
          <w:u w:val="single" w:color="auto"/>
          <w:color w:val="auto"/>
        </w:rPr>
        <w:t>A. G</w:t>
      </w:r>
      <w:r>
        <w:rPr>
          <w:rFonts w:ascii="Arial" w:cs="Arial" w:eastAsia="Arial" w:hAnsi="Arial"/>
          <w:sz w:val="10"/>
          <w:szCs w:val="10"/>
          <w:u w:val="single" w:color="auto"/>
          <w:color w:val="auto"/>
        </w:rPr>
        <w:t>OLDBERG</w:t>
      </w:r>
    </w:p>
    <w:p>
      <w:pPr>
        <w:spacing w:after="0" w:line="245"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Murray A. Goldberg</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Senior Vice President, Finance &amp; Administration,</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Chief Financial Officer, Treasurer, and</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Assistant Secretary</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(Principal Financial Officer and</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Duly Authorized Officer)</w:t>
      </w:r>
    </w:p>
    <w:p>
      <w:pPr>
        <w:spacing w:after="0" w:line="223"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9170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0460"/>
          </w:cols>
          <w:pgMar w:left="220" w:top="523" w:right="121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color w:val="auto"/>
        </w:rPr>
        <w:t>Exhibit 31.1</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Certification of CEO Pursuant to</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Rule 13a-14(a) under the Securities Exchange Act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of 1934,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Regeneron Pharmaceuticals, Inc.;</w:t>
      </w:r>
    </w:p>
    <w:p>
      <w:pPr>
        <w:spacing w:after="0" w:line="211" w:lineRule="exact"/>
        <w:rPr>
          <w:rFonts w:ascii="Arial" w:cs="Arial" w:eastAsia="Arial" w:hAnsi="Arial"/>
          <w:sz w:val="14"/>
          <w:szCs w:val="14"/>
          <w:color w:val="auto"/>
        </w:rPr>
      </w:pPr>
    </w:p>
    <w:p>
      <w:pPr>
        <w:ind w:left="340" w:right="160" w:hanging="332"/>
        <w:spacing w:after="0" w:line="29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4"/>
          <w:szCs w:val="14"/>
          <w:color w:val="auto"/>
        </w:rPr>
      </w:pPr>
    </w:p>
    <w:p>
      <w:pPr>
        <w:ind w:left="340" w:right="220" w:hanging="332"/>
        <w:spacing w:after="0" w:line="29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4"/>
          <w:szCs w:val="14"/>
          <w:color w:val="auto"/>
        </w:rPr>
      </w:pPr>
    </w:p>
    <w:p>
      <w:pPr>
        <w:ind w:left="340" w:right="60" w:hanging="332"/>
        <w:spacing w:after="0" w:line="29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4"/>
          <w:szCs w:val="14"/>
          <w:color w:val="auto"/>
        </w:rPr>
      </w:pPr>
    </w:p>
    <w:p>
      <w:pPr>
        <w:ind w:left="920" w:right="100" w:hanging="334"/>
        <w:spacing w:after="0" w:line="380" w:lineRule="auto"/>
        <w:tabs>
          <w:tab w:leader="none" w:pos="920"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2"/>
          <w:szCs w:val="12"/>
          <w:color w:val="auto"/>
        </w:rPr>
      </w:pPr>
    </w:p>
    <w:p>
      <w:pPr>
        <w:ind w:left="920" w:right="180" w:hanging="334"/>
        <w:spacing w:after="0" w:line="380" w:lineRule="auto"/>
        <w:tabs>
          <w:tab w:leader="none" w:pos="920"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2"/>
          <w:szCs w:val="12"/>
          <w:color w:val="auto"/>
        </w:rPr>
      </w:pPr>
    </w:p>
    <w:p>
      <w:pPr>
        <w:ind w:left="920" w:right="360" w:hanging="334"/>
        <w:spacing w:after="0" w:line="291" w:lineRule="auto"/>
        <w:tabs>
          <w:tab w:leader="none" w:pos="920" w:val="left"/>
        </w:tabs>
        <w:numPr>
          <w:ilvl w:val="1"/>
          <w:numId w:val="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4"/>
          <w:szCs w:val="14"/>
          <w:color w:val="auto"/>
        </w:rPr>
      </w:pPr>
    </w:p>
    <w:p>
      <w:pPr>
        <w:ind w:left="920" w:right="340" w:hanging="334"/>
        <w:spacing w:after="0" w:line="332" w:lineRule="auto"/>
        <w:tabs>
          <w:tab w:leader="none" w:pos="920" w:val="left"/>
        </w:tabs>
        <w:numPr>
          <w:ilvl w:val="1"/>
          <w:numId w:val="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3"/>
          <w:szCs w:val="13"/>
          <w:color w:val="auto"/>
        </w:rPr>
      </w:pPr>
    </w:p>
    <w:p>
      <w:pPr>
        <w:ind w:left="340" w:hanging="332"/>
        <w:spacing w:after="0" w:line="29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4"/>
          <w:szCs w:val="14"/>
          <w:color w:val="auto"/>
        </w:rPr>
      </w:pPr>
    </w:p>
    <w:p>
      <w:pPr>
        <w:ind w:left="920" w:right="40" w:hanging="334"/>
        <w:spacing w:after="0" w:line="291" w:lineRule="auto"/>
        <w:tabs>
          <w:tab w:leader="none" w:pos="920" w:val="left"/>
        </w:tabs>
        <w:numPr>
          <w:ilvl w:val="1"/>
          <w:numId w:val="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4"/>
          <w:szCs w:val="14"/>
          <w:color w:val="auto"/>
        </w:rPr>
      </w:pPr>
    </w:p>
    <w:p>
      <w:pPr>
        <w:ind w:left="920" w:hanging="334"/>
        <w:spacing w:after="0"/>
        <w:tabs>
          <w:tab w:leader="none" w:pos="920" w:val="left"/>
        </w:tabs>
        <w:numPr>
          <w:ilvl w:val="1"/>
          <w:numId w:val="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tabs>
          <w:tab w:leader="none" w:pos="5760" w:val="left"/>
        </w:tabs>
        <w:rPr>
          <w:sz w:val="20"/>
          <w:szCs w:val="20"/>
          <w:color w:val="auto"/>
        </w:rPr>
      </w:pPr>
      <w:r>
        <w:rPr>
          <w:rFonts w:ascii="Arial" w:cs="Arial" w:eastAsia="Arial" w:hAnsi="Arial"/>
          <w:sz w:val="14"/>
          <w:szCs w:val="14"/>
          <w:color w:val="auto"/>
        </w:rPr>
        <w:t>Date: July 28, 2011</w:t>
      </w:r>
      <w:r>
        <w:rPr>
          <w:sz w:val="20"/>
          <w:szCs w:val="20"/>
          <w:color w:val="auto"/>
        </w:rPr>
        <w:tab/>
      </w:r>
      <w:r>
        <w:rPr>
          <w:rFonts w:ascii="Arial" w:cs="Arial" w:eastAsia="Arial" w:hAnsi="Arial"/>
          <w:sz w:val="14"/>
          <w:szCs w:val="14"/>
          <w:u w:val="single" w:color="auto"/>
          <w:color w:val="auto"/>
        </w:rPr>
        <w:t>/s/ L</w:t>
      </w:r>
      <w:r>
        <w:rPr>
          <w:rFonts w:ascii="Arial" w:cs="Arial" w:eastAsia="Arial" w:hAnsi="Arial"/>
          <w:sz w:val="10"/>
          <w:szCs w:val="10"/>
          <w:u w:val="single" w:color="auto"/>
          <w:color w:val="auto"/>
        </w:rPr>
        <w:t>EONARD</w:t>
      </w:r>
      <w:r>
        <w:rPr>
          <w:rFonts w:ascii="Arial" w:cs="Arial" w:eastAsia="Arial" w:hAnsi="Arial"/>
          <w:sz w:val="14"/>
          <w:szCs w:val="14"/>
          <w:u w:val="single" w:color="auto"/>
          <w:color w:val="auto"/>
        </w:rPr>
        <w:t xml:space="preserve"> S. S</w:t>
      </w:r>
      <w:r>
        <w:rPr>
          <w:rFonts w:ascii="Arial" w:cs="Arial" w:eastAsia="Arial" w:hAnsi="Arial"/>
          <w:sz w:val="10"/>
          <w:szCs w:val="10"/>
          <w:u w:val="single" w:color="auto"/>
          <w:color w:val="auto"/>
        </w:rPr>
        <w:t>CHLEIFER</w:t>
      </w:r>
    </w:p>
    <w:p>
      <w:pPr>
        <w:spacing w:after="0" w:line="47"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Leonard S. Schleifer, M.D., Ph.D.</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9170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330"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color w:val="auto"/>
        </w:rPr>
        <w:t>Exhibit 31.2</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Certification of CFO Pursuant to</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Rule 13a-14(a) under the Securities Exchange Act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of 1934,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I, Murray A. Goldberg, certify that:</w:t>
      </w:r>
    </w:p>
    <w:p>
      <w:pPr>
        <w:spacing w:after="0" w:line="21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Regeneron Pharmaceuticals, Inc.;</w:t>
      </w:r>
    </w:p>
    <w:p>
      <w:pPr>
        <w:spacing w:after="0" w:line="211" w:lineRule="exact"/>
        <w:rPr>
          <w:rFonts w:ascii="Arial" w:cs="Arial" w:eastAsia="Arial" w:hAnsi="Arial"/>
          <w:sz w:val="14"/>
          <w:szCs w:val="14"/>
          <w:color w:val="auto"/>
        </w:rPr>
      </w:pPr>
    </w:p>
    <w:p>
      <w:pPr>
        <w:ind w:left="340" w:right="160" w:hanging="332"/>
        <w:spacing w:after="0" w:line="29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4"/>
          <w:szCs w:val="14"/>
          <w:color w:val="auto"/>
        </w:rPr>
      </w:pPr>
    </w:p>
    <w:p>
      <w:pPr>
        <w:ind w:left="340" w:right="220" w:hanging="332"/>
        <w:spacing w:after="0" w:line="29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4"/>
          <w:szCs w:val="14"/>
          <w:color w:val="auto"/>
        </w:rPr>
      </w:pPr>
    </w:p>
    <w:p>
      <w:pPr>
        <w:ind w:left="340" w:right="60" w:hanging="332"/>
        <w:spacing w:after="0" w:line="29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4"/>
          <w:szCs w:val="14"/>
          <w:color w:val="auto"/>
        </w:rPr>
      </w:pPr>
    </w:p>
    <w:p>
      <w:pPr>
        <w:ind w:left="920" w:right="100" w:hanging="334"/>
        <w:spacing w:after="0" w:line="380" w:lineRule="auto"/>
        <w:tabs>
          <w:tab w:leader="none" w:pos="920"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2"/>
          <w:szCs w:val="12"/>
          <w:color w:val="auto"/>
        </w:rPr>
      </w:pPr>
    </w:p>
    <w:p>
      <w:pPr>
        <w:ind w:left="920" w:right="180" w:hanging="334"/>
        <w:spacing w:after="0" w:line="380" w:lineRule="auto"/>
        <w:tabs>
          <w:tab w:leader="none" w:pos="920"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2"/>
          <w:szCs w:val="12"/>
          <w:color w:val="auto"/>
        </w:rPr>
      </w:pPr>
    </w:p>
    <w:p>
      <w:pPr>
        <w:ind w:left="920" w:right="360" w:hanging="334"/>
        <w:spacing w:after="0" w:line="291" w:lineRule="auto"/>
        <w:tabs>
          <w:tab w:leader="none" w:pos="920" w:val="left"/>
        </w:tabs>
        <w:numPr>
          <w:ilvl w:val="1"/>
          <w:numId w:val="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4"/>
          <w:szCs w:val="14"/>
          <w:color w:val="auto"/>
        </w:rPr>
      </w:pPr>
    </w:p>
    <w:p>
      <w:pPr>
        <w:ind w:left="920" w:right="340" w:hanging="334"/>
        <w:spacing w:after="0" w:line="332" w:lineRule="auto"/>
        <w:tabs>
          <w:tab w:leader="none" w:pos="920" w:val="left"/>
        </w:tabs>
        <w:numPr>
          <w:ilvl w:val="1"/>
          <w:numId w:val="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3"/>
          <w:szCs w:val="13"/>
          <w:color w:val="auto"/>
        </w:rPr>
      </w:pPr>
    </w:p>
    <w:p>
      <w:pPr>
        <w:ind w:left="340" w:hanging="332"/>
        <w:spacing w:after="0" w:line="29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4"/>
          <w:szCs w:val="14"/>
          <w:color w:val="auto"/>
        </w:rPr>
      </w:pPr>
    </w:p>
    <w:p>
      <w:pPr>
        <w:ind w:left="920" w:right="40" w:hanging="334"/>
        <w:spacing w:after="0" w:line="291" w:lineRule="auto"/>
        <w:tabs>
          <w:tab w:leader="none" w:pos="920" w:val="left"/>
        </w:tabs>
        <w:numPr>
          <w:ilvl w:val="1"/>
          <w:numId w:val="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4"/>
          <w:szCs w:val="14"/>
          <w:color w:val="auto"/>
        </w:rPr>
      </w:pPr>
    </w:p>
    <w:p>
      <w:pPr>
        <w:ind w:left="920" w:hanging="334"/>
        <w:spacing w:after="0"/>
        <w:tabs>
          <w:tab w:leader="none" w:pos="920" w:val="left"/>
        </w:tabs>
        <w:numPr>
          <w:ilvl w:val="1"/>
          <w:numId w:val="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ind w:left="5780" w:right="4180" w:hanging="5780"/>
        <w:spacing w:after="0" w:line="302" w:lineRule="auto"/>
        <w:tabs>
          <w:tab w:leader="none" w:pos="5760" w:val="left"/>
        </w:tabs>
        <w:rPr>
          <w:sz w:val="20"/>
          <w:szCs w:val="20"/>
          <w:color w:val="auto"/>
        </w:rPr>
      </w:pPr>
      <w:r>
        <w:rPr>
          <w:rFonts w:ascii="Arial" w:cs="Arial" w:eastAsia="Arial" w:hAnsi="Arial"/>
          <w:sz w:val="14"/>
          <w:szCs w:val="14"/>
          <w:color w:val="auto"/>
        </w:rPr>
        <w:t>Date: July 28, 2011</w:t>
      </w:r>
      <w:r>
        <w:rPr>
          <w:sz w:val="20"/>
          <w:szCs w:val="20"/>
          <w:color w:val="auto"/>
        </w:rPr>
        <w:tab/>
      </w:r>
      <w:r>
        <w:rPr>
          <w:rFonts w:ascii="Arial" w:cs="Arial" w:eastAsia="Arial" w:hAnsi="Arial"/>
          <w:sz w:val="14"/>
          <w:szCs w:val="14"/>
          <w:u w:val="single" w:color="auto"/>
          <w:color w:val="auto"/>
        </w:rPr>
        <w:t>/s/ M</w:t>
      </w:r>
      <w:r>
        <w:rPr>
          <w:rFonts w:ascii="Arial" w:cs="Arial" w:eastAsia="Arial" w:hAnsi="Arial"/>
          <w:sz w:val="10"/>
          <w:szCs w:val="10"/>
          <w:u w:val="single" w:color="auto"/>
          <w:color w:val="auto"/>
        </w:rPr>
        <w:t>URRAY</w:t>
      </w:r>
      <w:r>
        <w:rPr>
          <w:rFonts w:ascii="Arial" w:cs="Arial" w:eastAsia="Arial" w:hAnsi="Arial"/>
          <w:sz w:val="14"/>
          <w:szCs w:val="14"/>
          <w:u w:val="single" w:color="auto"/>
          <w:color w:val="auto"/>
        </w:rPr>
        <w:t xml:space="preserve"> A. G</w:t>
      </w:r>
      <w:r>
        <w:rPr>
          <w:rFonts w:ascii="Arial" w:cs="Arial" w:eastAsia="Arial" w:hAnsi="Arial"/>
          <w:sz w:val="10"/>
          <w:szCs w:val="10"/>
          <w:u w:val="single" w:color="auto"/>
          <w:color w:val="auto"/>
        </w:rPr>
        <w:t>OLDBERG</w:t>
      </w:r>
      <w:r>
        <w:rPr>
          <w:rFonts w:ascii="Arial" w:cs="Arial" w:eastAsia="Arial" w:hAnsi="Arial"/>
          <w:sz w:val="14"/>
          <w:szCs w:val="14"/>
          <w:u w:val="single" w:color="auto"/>
          <w:color w:val="auto"/>
        </w:rPr>
        <w:t xml:space="preserve"> </w:t>
      </w:r>
      <w:r>
        <w:rPr>
          <w:rFonts w:ascii="Arial" w:cs="Arial" w:eastAsia="Arial" w:hAnsi="Arial"/>
          <w:sz w:val="14"/>
          <w:szCs w:val="14"/>
          <w:color w:val="auto"/>
        </w:rPr>
        <w:t>Murray A. Goldberg</w:t>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Senior Vice President, Finance &amp; Administration,</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Chief Financial Officer, Treasurer, and</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9170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p>
      <w:pPr>
        <w:sectPr>
          <w:pgSz w:w="11900" w:h="16838" w:orient="portrait"/>
          <w:cols w:equalWidth="0" w:num="1">
            <w:col w:w="11460"/>
          </w:cols>
          <w:pgMar w:left="220" w:top="330" w:right="21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color w:val="auto"/>
        </w:rPr>
        <w:t>Exhibit 32</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Certification of CEO and CFO Pursuant to</w:t>
      </w:r>
    </w:p>
    <w:p>
      <w:pPr>
        <w:spacing w:after="0" w:line="24"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18 U.S.C. Section 1350,</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06" w:lineRule="exact"/>
        <w:rPr>
          <w:sz w:val="20"/>
          <w:szCs w:val="20"/>
          <w:color w:val="auto"/>
        </w:rPr>
      </w:pPr>
    </w:p>
    <w:p>
      <w:pPr>
        <w:jc w:val="both"/>
        <w:ind w:right="260"/>
        <w:spacing w:after="0" w:line="307" w:lineRule="auto"/>
        <w:rPr>
          <w:sz w:val="20"/>
          <w:szCs w:val="20"/>
          <w:color w:val="auto"/>
        </w:rPr>
      </w:pPr>
      <w:r>
        <w:rPr>
          <w:rFonts w:ascii="Arial" w:cs="Arial" w:eastAsia="Arial" w:hAnsi="Arial"/>
          <w:sz w:val="13"/>
          <w:szCs w:val="13"/>
          <w:color w:val="auto"/>
        </w:rPr>
        <w:t>In connection with the Quarterly Report of Regeneron Pharmaceuticals, Inc. (the "Company") on Form 10-Q for the quarterly period ended June 30, 2011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50" w:lineRule="exact"/>
        <w:rPr>
          <w:sz w:val="20"/>
          <w:szCs w:val="20"/>
          <w:color w:val="auto"/>
        </w:rPr>
      </w:pPr>
    </w:p>
    <w:p>
      <w:pPr>
        <w:ind w:left="460" w:hanging="203"/>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11" w:lineRule="exact"/>
        <w:rPr>
          <w:rFonts w:ascii="Arial" w:cs="Arial" w:eastAsia="Arial" w:hAnsi="Arial"/>
          <w:sz w:val="14"/>
          <w:szCs w:val="14"/>
          <w:color w:val="auto"/>
        </w:rPr>
      </w:pPr>
    </w:p>
    <w:p>
      <w:pPr>
        <w:ind w:left="460" w:hanging="203"/>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L</w:t>
      </w:r>
      <w:r>
        <w:rPr>
          <w:rFonts w:ascii="Arial" w:cs="Arial" w:eastAsia="Arial" w:hAnsi="Arial"/>
          <w:sz w:val="10"/>
          <w:szCs w:val="10"/>
          <w:u w:val="single" w:color="auto"/>
          <w:color w:val="auto"/>
        </w:rPr>
        <w:t>EONARD</w:t>
      </w:r>
      <w:r>
        <w:rPr>
          <w:rFonts w:ascii="Arial" w:cs="Arial" w:eastAsia="Arial" w:hAnsi="Arial"/>
          <w:sz w:val="14"/>
          <w:szCs w:val="14"/>
          <w:u w:val="single" w:color="auto"/>
          <w:color w:val="auto"/>
        </w:rPr>
        <w:t xml:space="preserve"> S. S</w:t>
      </w:r>
      <w:r>
        <w:rPr>
          <w:rFonts w:ascii="Arial" w:cs="Arial" w:eastAsia="Arial" w:hAnsi="Arial"/>
          <w:sz w:val="10"/>
          <w:szCs w:val="10"/>
          <w:u w:val="single" w:color="auto"/>
          <w:color w:val="auto"/>
        </w:rPr>
        <w:t>CHLEIFER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July 28, 2011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w:t>
      </w:r>
      <w:r>
        <w:rPr>
          <w:rFonts w:ascii="Arial" w:cs="Arial" w:eastAsia="Arial" w:hAnsi="Arial"/>
          <w:sz w:val="10"/>
          <w:szCs w:val="10"/>
          <w:u w:val="single" w:color="auto"/>
          <w:color w:val="auto"/>
        </w:rPr>
        <w:t>URRAY</w:t>
      </w:r>
      <w:r>
        <w:rPr>
          <w:rFonts w:ascii="Arial" w:cs="Arial" w:eastAsia="Arial" w:hAnsi="Arial"/>
          <w:sz w:val="14"/>
          <w:szCs w:val="14"/>
          <w:u w:val="single" w:color="auto"/>
          <w:color w:val="auto"/>
        </w:rPr>
        <w:t xml:space="preserve"> A. G</w:t>
      </w:r>
      <w:r>
        <w:rPr>
          <w:rFonts w:ascii="Arial" w:cs="Arial" w:eastAsia="Arial" w:hAnsi="Arial"/>
          <w:sz w:val="10"/>
          <w:szCs w:val="10"/>
          <w:u w:val="single" w:color="auto"/>
          <w:color w:val="auto"/>
        </w:rPr>
        <w:t>OLDBERG</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July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9170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705" cy="19685"/>
                    </a:xfrm>
                    <a:prstGeom prst="rect">
                      <a:avLst/>
                    </a:prstGeom>
                    <a:noFill/>
                  </pic:spPr>
                </pic:pic>
              </a:graphicData>
            </a:graphic>
          </wp:anchor>
        </w:drawing>
      </w:r>
    </w:p>
    <w:sectPr>
      <w:pgSz w:w="11900" w:h="16838" w:orient="portrait"/>
      <w:cols w:equalWidth="0" w:num="1">
        <w:col w:w="11460"/>
      </w:cols>
      <w:pgMar w:left="220" w:top="33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2019-12-10T09:34:22Z</dcterms:created>
  <dcterms:modified xsi:type="dcterms:W3CDTF">2019-12-10T09:34:22Z</dcterms:modified>
</cp:coreProperties>
</file>