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0-19034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8460" w:type="dxa"/>
            <w:vAlign w:val="bottom"/>
            <w:tcBorders>
              <w:top w:val="single" w:sz="8" w:color="auto"/>
            </w:tcBorders>
            <w:gridSpan w:val="3"/>
          </w:tcPr>
          <w:p>
            <w:pPr>
              <w:ind w:left="2380"/>
              <w:spacing w:after="0"/>
              <w:rPr>
                <w:sz w:val="20"/>
                <w:szCs w:val="20"/>
                <w:color w:val="auto"/>
              </w:rPr>
            </w:pPr>
            <w:r>
              <w:rPr>
                <w:rFonts w:ascii="Arial" w:cs="Arial" w:eastAsia="Arial" w:hAnsi="Arial"/>
                <w:sz w:val="18"/>
                <w:szCs w:val="18"/>
                <w:color w:val="auto"/>
              </w:rPr>
              <w:t>(Exact name of registrant as specified in its charter)</w:t>
            </w:r>
          </w:p>
        </w:tc>
        <w:tc>
          <w:tcPr>
            <w:tcW w:w="1480" w:type="dxa"/>
            <w:vAlign w:val="bottom"/>
          </w:tcPr>
          <w:p>
            <w:pPr>
              <w:spacing w:after="0"/>
              <w:rPr>
                <w:sz w:val="20"/>
                <w:szCs w:val="20"/>
                <w:color w:val="auto"/>
              </w:rPr>
            </w:pPr>
          </w:p>
        </w:tc>
      </w:tr>
      <w:tr>
        <w:trPr>
          <w:trHeight w:val="411"/>
        </w:trPr>
        <w:tc>
          <w:tcPr>
            <w:tcW w:w="1480" w:type="dxa"/>
            <w:vAlign w:val="bottom"/>
          </w:tcPr>
          <w:p>
            <w:pPr>
              <w:spacing w:after="0"/>
              <w:rPr>
                <w:sz w:val="24"/>
                <w:szCs w:val="24"/>
                <w:color w:val="auto"/>
              </w:rPr>
            </w:pPr>
          </w:p>
        </w:tc>
        <w:tc>
          <w:tcPr>
            <w:tcW w:w="3940" w:type="dxa"/>
            <w:vAlign w:val="bottom"/>
          </w:tcPr>
          <w:p>
            <w:pPr>
              <w:jc w:val="center"/>
              <w:ind w:right="1390"/>
              <w:spacing w:after="0"/>
              <w:rPr>
                <w:sz w:val="20"/>
                <w:szCs w:val="20"/>
                <w:color w:val="auto"/>
              </w:rPr>
            </w:pPr>
            <w:r>
              <w:rPr>
                <w:rFonts w:ascii="Arial" w:cs="Arial" w:eastAsia="Arial" w:hAnsi="Arial"/>
                <w:sz w:val="18"/>
                <w:szCs w:val="18"/>
                <w:color w:val="auto"/>
                <w:w w:val="94"/>
              </w:rPr>
              <w:t>New York</w:t>
            </w:r>
          </w:p>
        </w:tc>
        <w:tc>
          <w:tcPr>
            <w:tcW w:w="4520" w:type="dxa"/>
            <w:vAlign w:val="bottom"/>
            <w:gridSpan w:val="2"/>
          </w:tcPr>
          <w:p>
            <w:pPr>
              <w:jc w:val="center"/>
              <w:ind w:left="1970"/>
              <w:spacing w:after="0"/>
              <w:rPr>
                <w:sz w:val="20"/>
                <w:szCs w:val="20"/>
                <w:color w:val="auto"/>
              </w:rPr>
            </w:pPr>
            <w:r>
              <w:rPr>
                <w:rFonts w:ascii="Arial" w:cs="Arial" w:eastAsia="Arial" w:hAnsi="Arial"/>
                <w:sz w:val="18"/>
                <w:szCs w:val="18"/>
                <w:color w:val="auto"/>
                <w:w w:val="89"/>
              </w:rPr>
              <w:t>13-3444607</w:t>
            </w:r>
          </w:p>
        </w:tc>
        <w:tc>
          <w:tcPr>
            <w:tcW w:w="1480" w:type="dxa"/>
            <w:vAlign w:val="bottom"/>
          </w:tcPr>
          <w:p>
            <w:pPr>
              <w:spacing w:after="0"/>
              <w:rPr>
                <w:sz w:val="24"/>
                <w:szCs w:val="24"/>
                <w:color w:val="auto"/>
              </w:rPr>
            </w:pPr>
          </w:p>
        </w:tc>
      </w:tr>
      <w:tr>
        <w:trPr>
          <w:trHeight w:val="209"/>
        </w:trPr>
        <w:tc>
          <w:tcPr>
            <w:tcW w:w="148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center"/>
              <w:ind w:right="1370"/>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1480" w:type="dxa"/>
            <w:vAlign w:val="bottom"/>
          </w:tcPr>
          <w:p>
            <w:pPr>
              <w:spacing w:after="0"/>
              <w:rPr>
                <w:sz w:val="20"/>
                <w:szCs w:val="20"/>
                <w:color w:val="auto"/>
              </w:rPr>
            </w:pPr>
          </w:p>
        </w:tc>
        <w:tc>
          <w:tcPr>
            <w:tcW w:w="3940" w:type="dxa"/>
            <w:vAlign w:val="bottom"/>
          </w:tcPr>
          <w:p>
            <w:pPr>
              <w:jc w:val="center"/>
              <w:ind w:right="1370"/>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1480" w:type="dxa"/>
            <w:vAlign w:val="bottom"/>
          </w:tcPr>
          <w:p>
            <w:pPr>
              <w:spacing w:after="0"/>
              <w:rPr>
                <w:sz w:val="24"/>
                <w:szCs w:val="24"/>
                <w:color w:val="auto"/>
              </w:rPr>
            </w:pPr>
          </w:p>
        </w:tc>
        <w:tc>
          <w:tcPr>
            <w:tcW w:w="3940" w:type="dxa"/>
            <w:vAlign w:val="bottom"/>
          </w:tcPr>
          <w:p>
            <w:pPr>
              <w:jc w:val="center"/>
              <w:ind w:right="1370"/>
              <w:spacing w:after="0"/>
              <w:rPr>
                <w:sz w:val="20"/>
                <w:szCs w:val="20"/>
                <w:color w:val="auto"/>
              </w:rPr>
            </w:pPr>
            <w:r>
              <w:rPr>
                <w:rFonts w:ascii="Arial" w:cs="Arial" w:eastAsia="Arial" w:hAnsi="Arial"/>
                <w:sz w:val="18"/>
                <w:szCs w:val="18"/>
                <w:color w:val="auto"/>
                <w:w w:val="93"/>
              </w:rPr>
              <w:t>777 Old Saw Mill River Road</w:t>
            </w:r>
          </w:p>
        </w:tc>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3940" w:type="dxa"/>
            <w:vAlign w:val="bottom"/>
          </w:tcPr>
          <w:p>
            <w:pPr>
              <w:jc w:val="center"/>
              <w:ind w:right="1390"/>
              <w:spacing w:after="0"/>
              <w:rPr>
                <w:sz w:val="20"/>
                <w:szCs w:val="20"/>
                <w:color w:val="auto"/>
              </w:rPr>
            </w:pPr>
            <w:r>
              <w:rPr>
                <w:rFonts w:ascii="Arial" w:cs="Arial" w:eastAsia="Arial" w:hAnsi="Arial"/>
                <w:sz w:val="18"/>
                <w:szCs w:val="18"/>
                <w:color w:val="auto"/>
                <w:w w:val="94"/>
              </w:rPr>
              <w:t>Tarrytown, New York</w:t>
            </w:r>
          </w:p>
        </w:tc>
        <w:tc>
          <w:tcPr>
            <w:tcW w:w="4520" w:type="dxa"/>
            <w:vAlign w:val="bottom"/>
            <w:gridSpan w:val="2"/>
          </w:tcPr>
          <w:p>
            <w:pPr>
              <w:jc w:val="center"/>
              <w:ind w:left="1970"/>
              <w:spacing w:after="0"/>
              <w:rPr>
                <w:sz w:val="20"/>
                <w:szCs w:val="20"/>
                <w:color w:val="auto"/>
              </w:rPr>
            </w:pPr>
            <w:r>
              <w:rPr>
                <w:rFonts w:ascii="Arial" w:cs="Arial" w:eastAsia="Arial" w:hAnsi="Arial"/>
                <w:sz w:val="18"/>
                <w:szCs w:val="18"/>
                <w:color w:val="auto"/>
                <w:w w:val="89"/>
              </w:rPr>
              <w:t>10591-6707</w:t>
            </w:r>
          </w:p>
        </w:tc>
        <w:tc>
          <w:tcPr>
            <w:tcW w:w="1480" w:type="dxa"/>
            <w:vAlign w:val="bottom"/>
          </w:tcPr>
          <w:p>
            <w:pPr>
              <w:spacing w:after="0"/>
              <w:rPr>
                <w:sz w:val="20"/>
                <w:szCs w:val="20"/>
                <w:color w:val="auto"/>
              </w:rPr>
            </w:pPr>
          </w:p>
        </w:tc>
      </w:tr>
      <w:tr>
        <w:trPr>
          <w:trHeight w:val="224"/>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(914) 347-7000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spacing w:after="0" w:line="207" w:lineRule="exact"/>
        <w:tabs>
          <w:tab w:leader="none" w:pos="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14" w:lineRule="exact"/>
        <w:rPr>
          <w:sz w:val="20"/>
          <w:szCs w:val="20"/>
          <w:color w:val="auto"/>
        </w:rPr>
      </w:pPr>
    </w:p>
    <w:p>
      <w:pPr>
        <w:ind w:left="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56" w:lineRule="exact"/>
        <w:rPr>
          <w:sz w:val="20"/>
          <w:szCs w:val="20"/>
          <w:color w:val="auto"/>
        </w:rPr>
      </w:pPr>
    </w:p>
    <w:p>
      <w:pPr>
        <w:sectPr>
          <w:pgSz w:w="11900" w:h="16838" w:orient="portrait"/>
          <w:cols w:equalWidth="0" w:num="4">
            <w:col w:w="2420" w:space="720"/>
            <w:col w:w="1440" w:space="720"/>
            <w:col w:w="3340" w:space="500"/>
            <w:col w:w="2280"/>
          </w:cols>
          <w:pgMar w:left="240" w:top="122"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ind w:left="516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April 15, 2008: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Class of Common Stock</w:t>
            </w:r>
          </w:p>
        </w:tc>
        <w:tc>
          <w:tcPr>
            <w:tcW w:w="580" w:type="dxa"/>
            <w:vAlign w:val="bottom"/>
          </w:tcPr>
          <w:p>
            <w:pPr>
              <w:spacing w:after="0"/>
              <w:rPr>
                <w:sz w:val="20"/>
                <w:szCs w:val="20"/>
                <w:color w:val="auto"/>
              </w:rPr>
            </w:pPr>
          </w:p>
        </w:tc>
        <w:tc>
          <w:tcPr>
            <w:tcW w:w="542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Number of Shares</w:t>
            </w:r>
          </w:p>
        </w:tc>
      </w:tr>
      <w:tr>
        <w:trPr>
          <w:trHeight w:val="209"/>
        </w:trPr>
        <w:tc>
          <w:tcPr>
            <w:tcW w:w="5420" w:type="dxa"/>
            <w:vAlign w:val="bottom"/>
          </w:tcPr>
          <w:p>
            <w:pPr>
              <w:jc w:val="center"/>
              <w:spacing w:after="0"/>
              <w:rPr>
                <w:sz w:val="20"/>
                <w:szCs w:val="20"/>
                <w:color w:val="auto"/>
              </w:rPr>
            </w:pPr>
            <w:r>
              <w:rPr>
                <w:rFonts w:ascii="Arial" w:cs="Arial" w:eastAsia="Arial" w:hAnsi="Arial"/>
                <w:sz w:val="18"/>
                <w:szCs w:val="18"/>
                <w:color w:val="auto"/>
                <w:w w:val="89"/>
              </w:rPr>
              <w:t>Class A Stock, $0.001 par value</w:t>
            </w:r>
          </w:p>
        </w:tc>
        <w:tc>
          <w:tcPr>
            <w:tcW w:w="580" w:type="dxa"/>
            <w:vAlign w:val="bottom"/>
          </w:tcPr>
          <w:p>
            <w:pPr>
              <w:spacing w:after="0"/>
              <w:rPr>
                <w:sz w:val="18"/>
                <w:szCs w:val="18"/>
                <w:color w:val="auto"/>
              </w:rPr>
            </w:pPr>
          </w:p>
        </w:tc>
        <w:tc>
          <w:tcPr>
            <w:tcW w:w="5420" w:type="dxa"/>
            <w:vAlign w:val="bottom"/>
          </w:tcPr>
          <w:p>
            <w:pPr>
              <w:jc w:val="right"/>
              <w:ind w:right="2270"/>
              <w:spacing w:after="0"/>
              <w:rPr>
                <w:sz w:val="20"/>
                <w:szCs w:val="20"/>
                <w:color w:val="auto"/>
              </w:rPr>
            </w:pPr>
            <w:r>
              <w:rPr>
                <w:rFonts w:ascii="Arial" w:cs="Arial" w:eastAsia="Arial" w:hAnsi="Arial"/>
                <w:sz w:val="18"/>
                <w:szCs w:val="18"/>
                <w:color w:val="auto"/>
              </w:rPr>
              <w:t>2,257,698</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6000" w:type="dxa"/>
            <w:vAlign w:val="bottom"/>
            <w:gridSpan w:val="2"/>
          </w:tcPr>
          <w:p>
            <w:pPr>
              <w:jc w:val="right"/>
              <w:ind w:right="2210"/>
              <w:spacing w:after="0"/>
              <w:rPr>
                <w:sz w:val="20"/>
                <w:szCs w:val="20"/>
                <w:color w:val="auto"/>
              </w:rPr>
            </w:pPr>
            <w:r>
              <w:rPr>
                <w:rFonts w:ascii="Arial" w:cs="Arial" w:eastAsia="Arial" w:hAnsi="Arial"/>
                <w:sz w:val="18"/>
                <w:szCs w:val="18"/>
                <w:color w:val="auto"/>
              </w:rPr>
              <w:t>76,848,479</w:t>
            </w:r>
          </w:p>
        </w:tc>
      </w:tr>
      <w:tr>
        <w:trPr>
          <w:trHeight w:val="237"/>
        </w:trPr>
        <w:tc>
          <w:tcPr>
            <w:tcW w:w="5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r>
      <w:tr>
        <w:trPr>
          <w:trHeight w:val="631"/>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020" w:type="dxa"/>
            <w:vAlign w:val="bottom"/>
            <w:gridSpan w:val="7"/>
            <w:vMerge w:val="restart"/>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Page Numbers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11"/>
            <w:vMerge w:val="continue"/>
          </w:tcPr>
          <w:p>
            <w:pPr>
              <w:spacing w:after="0"/>
              <w:rPr>
                <w:sz w:val="14"/>
                <w:szCs w:val="14"/>
                <w:color w:val="auto"/>
              </w:rPr>
            </w:pPr>
          </w:p>
        </w:tc>
        <w:tc>
          <w:tcPr>
            <w:tcW w:w="5020" w:type="dxa"/>
            <w:vAlign w:val="bottom"/>
            <w:gridSpan w:val="7"/>
            <w:vMerge w:val="continue"/>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0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2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balance sheets (unaudited) at March 31, 2008 and December 31, 2007</w:t>
              </w:r>
            </w:hyperlink>
          </w:p>
        </w:tc>
        <w:tc>
          <w:tcPr>
            <w:tcW w:w="1960" w:type="dxa"/>
            <w:vAlign w:val="bottom"/>
            <w:gridSpan w:val="4"/>
          </w:tcPr>
          <w:p>
            <w:pPr>
              <w:spacing w:after="0"/>
              <w:rPr>
                <w:sz w:val="24"/>
                <w:szCs w:val="24"/>
                <w:color w:val="auto"/>
              </w:rPr>
            </w:pPr>
          </w:p>
        </w:tc>
        <w:tc>
          <w:tcPr>
            <w:tcW w:w="3360" w:type="dxa"/>
            <w:vAlign w:val="bottom"/>
            <w:gridSpan w:val="2"/>
          </w:tcPr>
          <w:p>
            <w:pPr>
              <w:ind w:left="24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operations (unaudited) for the three months ended March 31, 2008 and 2007</w:t>
              </w:r>
            </w:hyperlink>
          </w:p>
        </w:tc>
        <w:tc>
          <w:tcPr>
            <w:tcW w:w="500" w:type="dxa"/>
            <w:vAlign w:val="bottom"/>
          </w:tcPr>
          <w:p>
            <w:pPr>
              <w:spacing w:after="0"/>
              <w:rPr>
                <w:sz w:val="24"/>
                <w:szCs w:val="24"/>
                <w:color w:val="auto"/>
              </w:rPr>
            </w:pPr>
          </w:p>
        </w:tc>
        <w:tc>
          <w:tcPr>
            <w:tcW w:w="3360" w:type="dxa"/>
            <w:vAlign w:val="bottom"/>
            <w:gridSpan w:val="2"/>
          </w:tcPr>
          <w:p>
            <w:pPr>
              <w:ind w:left="24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40" w:type="dxa"/>
            <w:vAlign w:val="bottom"/>
            <w:gridSpan w:val="16"/>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statement of stockholders’ equity (unaudited) for the three months ended March 31, 2008</w:t>
              </w:r>
            </w:hyperlink>
          </w:p>
        </w:tc>
        <w:tc>
          <w:tcPr>
            <w:tcW w:w="3360" w:type="dxa"/>
            <w:vAlign w:val="bottom"/>
            <w:gridSpan w:val="2"/>
          </w:tcPr>
          <w:p>
            <w:pPr>
              <w:ind w:left="24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40" w:type="dxa"/>
            <w:vAlign w:val="bottom"/>
            <w:gridSpan w:val="16"/>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statements of cash flows (unaudited) for the three months ended March 31, 2008 and 2007</w:t>
              </w:r>
            </w:hyperlink>
          </w:p>
        </w:tc>
        <w:tc>
          <w:tcPr>
            <w:tcW w:w="3360" w:type="dxa"/>
            <w:vAlign w:val="bottom"/>
            <w:gridSpan w:val="2"/>
          </w:tcPr>
          <w:p>
            <w:pPr>
              <w:ind w:left="24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financial statements (unaudited)</w:t>
              </w:r>
            </w:hyperlink>
          </w:p>
        </w:tc>
        <w:tc>
          <w:tcPr>
            <w:tcW w:w="3580" w:type="dxa"/>
            <w:vAlign w:val="bottom"/>
            <w:tcBorders>
              <w:top w:val="single" w:sz="8" w:color="0000EE"/>
            </w:tcBorders>
            <w:gridSpan w:val="5"/>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gridSpan w:val="2"/>
          </w:tcPr>
          <w:p>
            <w:pPr>
              <w:ind w:left="24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412"/>
        </w:trPr>
        <w:tc>
          <w:tcPr>
            <w:tcW w:w="698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Item 2 Management’s Discussion and Analysis of Financial Condition and Results of Operations</w:t>
              </w:r>
            </w:hyperlink>
          </w:p>
        </w:tc>
        <w:tc>
          <w:tcPr>
            <w:tcW w:w="1080" w:type="dxa"/>
            <w:vAlign w:val="bottom"/>
            <w:gridSpan w:val="3"/>
          </w:tcPr>
          <w:p>
            <w:pPr>
              <w:spacing w:after="0"/>
              <w:rPr>
                <w:sz w:val="24"/>
                <w:szCs w:val="24"/>
                <w:color w:val="auto"/>
              </w:rPr>
            </w:pPr>
          </w:p>
        </w:tc>
        <w:tc>
          <w:tcPr>
            <w:tcW w:w="3360" w:type="dxa"/>
            <w:vAlign w:val="bottom"/>
            <w:gridSpan w:val="2"/>
          </w:tcPr>
          <w:p>
            <w:pPr>
              <w:ind w:left="242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412"/>
        </w:trPr>
        <w:tc>
          <w:tcPr>
            <w:tcW w:w="500" w:type="dxa"/>
            <w:vAlign w:val="bottom"/>
            <w:gridSpan w:val="3"/>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3</w:t>
              </w:r>
            </w:hyperlink>
          </w:p>
        </w:tc>
        <w:tc>
          <w:tcPr>
            <w:tcW w:w="7560" w:type="dxa"/>
            <w:vAlign w:val="bottom"/>
            <w:gridSpan w:val="15"/>
          </w:tcPr>
          <w:p>
            <w:pPr>
              <w:ind w:left="20"/>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 About Market Risk</w:t>
              </w:r>
            </w:hyperlink>
          </w:p>
        </w:tc>
        <w:tc>
          <w:tcPr>
            <w:tcW w:w="3360" w:type="dxa"/>
            <w:vAlign w:val="bottom"/>
            <w:gridSpan w:val="2"/>
          </w:tcPr>
          <w:p>
            <w:pPr>
              <w:ind w:left="24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gridSpan w:val="3"/>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4</w:t>
              </w:r>
            </w:hyperlink>
          </w:p>
        </w:tc>
        <w:tc>
          <w:tcPr>
            <w:tcW w:w="4300" w:type="dxa"/>
            <w:vAlign w:val="bottom"/>
            <w:tcBorders>
              <w:top w:val="single" w:sz="8" w:color="0000EE"/>
            </w:tcBorders>
            <w:gridSpan w:val="10"/>
          </w:tcPr>
          <w:p>
            <w:pPr>
              <w:ind w:left="20"/>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3260" w:type="dxa"/>
            <w:vAlign w:val="bottom"/>
            <w:gridSpan w:val="5"/>
          </w:tcPr>
          <w:p>
            <w:pPr>
              <w:spacing w:after="0"/>
              <w:rPr>
                <w:sz w:val="24"/>
                <w:szCs w:val="24"/>
                <w:color w:val="auto"/>
              </w:rPr>
            </w:pPr>
          </w:p>
        </w:tc>
        <w:tc>
          <w:tcPr>
            <w:tcW w:w="3360" w:type="dxa"/>
            <w:vAlign w:val="bottom"/>
            <w:gridSpan w:val="2"/>
          </w:tcPr>
          <w:p>
            <w:pPr>
              <w:ind w:left="242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40" w:type="dxa"/>
            <w:vAlign w:val="bottom"/>
            <w:gridSpan w:val="8"/>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60" w:type="dxa"/>
            <w:vAlign w:val="bottom"/>
            <w:gridSpan w:val="18"/>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2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Item 1</w:t>
              </w:r>
            </w:hyperlink>
          </w:p>
        </w:tc>
        <w:tc>
          <w:tcPr>
            <w:tcW w:w="136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860" w:type="dxa"/>
            <w:vAlign w:val="bottom"/>
            <w:tcBorders>
              <w:top w:val="single" w:sz="8" w:color="0000EE"/>
            </w:tcBorders>
            <w:gridSpan w:val="3"/>
          </w:tcPr>
          <w:p>
            <w:pPr>
              <w:spacing w:after="0"/>
              <w:rPr>
                <w:sz w:val="24"/>
                <w:szCs w:val="24"/>
                <w:color w:val="auto"/>
              </w:rPr>
            </w:pPr>
          </w:p>
        </w:tc>
        <w:tc>
          <w:tcPr>
            <w:tcW w:w="5340" w:type="dxa"/>
            <w:vAlign w:val="bottom"/>
            <w:gridSpan w:val="8"/>
          </w:tcPr>
          <w:p>
            <w:pPr>
              <w:spacing w:after="0"/>
              <w:rPr>
                <w:sz w:val="24"/>
                <w:szCs w:val="24"/>
                <w:color w:val="auto"/>
              </w:rPr>
            </w:pPr>
          </w:p>
        </w:tc>
        <w:tc>
          <w:tcPr>
            <w:tcW w:w="3360" w:type="dxa"/>
            <w:vAlign w:val="bottom"/>
            <w:gridSpan w:val="2"/>
          </w:tcPr>
          <w:p>
            <w:pPr>
              <w:ind w:left="24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5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1A Risk Factors</w:t>
              </w:r>
            </w:hyperlink>
          </w:p>
        </w:tc>
        <w:tc>
          <w:tcPr>
            <w:tcW w:w="6500" w:type="dxa"/>
            <w:vAlign w:val="bottom"/>
            <w:gridSpan w:val="13"/>
          </w:tcPr>
          <w:p>
            <w:pPr>
              <w:spacing w:after="0"/>
              <w:rPr>
                <w:sz w:val="24"/>
                <w:szCs w:val="24"/>
                <w:color w:val="auto"/>
              </w:rPr>
            </w:pPr>
          </w:p>
        </w:tc>
        <w:tc>
          <w:tcPr>
            <w:tcW w:w="3360" w:type="dxa"/>
            <w:vAlign w:val="bottom"/>
            <w:gridSpan w:val="2"/>
          </w:tcPr>
          <w:p>
            <w:pPr>
              <w:ind w:left="2420"/>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Item 6</w:t>
              </w:r>
            </w:hyperlink>
          </w:p>
        </w:tc>
        <w:tc>
          <w:tcPr>
            <w:tcW w:w="620" w:type="dxa"/>
            <w:vAlign w:val="bottom"/>
            <w:tcBorders>
              <w:bottom w:val="single" w:sz="8" w:color="0000EE"/>
            </w:tcBorders>
          </w:tcPr>
          <w:p>
            <w:pPr>
              <w:ind w:left="20"/>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Exhibits</w:t>
              </w:r>
            </w:hyperlink>
          </w:p>
        </w:tc>
        <w:tc>
          <w:tcPr>
            <w:tcW w:w="6940" w:type="dxa"/>
            <w:vAlign w:val="bottom"/>
            <w:gridSpan w:val="14"/>
          </w:tcPr>
          <w:p>
            <w:pPr>
              <w:spacing w:after="0"/>
              <w:rPr>
                <w:sz w:val="24"/>
                <w:szCs w:val="24"/>
                <w:color w:val="auto"/>
              </w:rPr>
            </w:pPr>
          </w:p>
        </w:tc>
        <w:tc>
          <w:tcPr>
            <w:tcW w:w="3360" w:type="dxa"/>
            <w:vAlign w:val="bottom"/>
            <w:gridSpan w:val="2"/>
          </w:tcPr>
          <w:p>
            <w:pPr>
              <w:ind w:left="24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6"/>
          </w:tcPr>
          <w:p>
            <w:pPr>
              <w:spacing w:after="0"/>
              <w:rPr>
                <w:rFonts w:ascii="Arial" w:cs="Arial" w:eastAsia="Arial" w:hAnsi="Arial"/>
                <w:sz w:val="18"/>
                <w:szCs w:val="18"/>
                <w:b w:val="1"/>
                <w:bCs w:val="1"/>
                <w:color w:val="0000EE"/>
                <w:w w:val="97"/>
              </w:rPr>
            </w:pPr>
            <w:hyperlink w:anchor="page57">
              <w:r>
                <w:rPr>
                  <w:rFonts w:ascii="Arial" w:cs="Arial" w:eastAsia="Arial" w:hAnsi="Arial"/>
                  <w:sz w:val="18"/>
                  <w:szCs w:val="18"/>
                  <w:b w:val="1"/>
                  <w:bCs w:val="1"/>
                  <w:color w:val="0000EE"/>
                  <w:w w:val="97"/>
                </w:rPr>
                <w:t>SIGNATURE PAGE</w:t>
              </w:r>
            </w:hyperlink>
          </w:p>
        </w:tc>
        <w:tc>
          <w:tcPr>
            <w:tcW w:w="6460" w:type="dxa"/>
            <w:vAlign w:val="bottom"/>
            <w:gridSpan w:val="12"/>
          </w:tcPr>
          <w:p>
            <w:pPr>
              <w:spacing w:after="0"/>
              <w:rPr>
                <w:sz w:val="24"/>
                <w:szCs w:val="24"/>
                <w:color w:val="auto"/>
              </w:rPr>
            </w:pPr>
          </w:p>
        </w:tc>
        <w:tc>
          <w:tcPr>
            <w:tcW w:w="3360" w:type="dxa"/>
            <w:vAlign w:val="bottom"/>
            <w:gridSpan w:val="2"/>
          </w:tcPr>
          <w:p>
            <w:pPr>
              <w:ind w:left="24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0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2"/>
              </w:rPr>
              <w:t>EX-12.1: STATEMENT RE: COMPUTATION OF RATIO OF EARNINGS TO COMBINED FIXED CHARGES</w:t>
            </w:r>
          </w:p>
        </w:tc>
        <w:tc>
          <w:tcPr>
            <w:tcW w:w="2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00" w:type="dxa"/>
            <w:vAlign w:val="bottom"/>
            <w:gridSpan w:val="17"/>
          </w:tcPr>
          <w:p>
            <w:pPr>
              <w:spacing w:after="0" w:line="196" w:lineRule="exact"/>
              <w:rPr>
                <w:sz w:val="20"/>
                <w:szCs w:val="20"/>
                <w:color w:val="auto"/>
              </w:rPr>
            </w:pPr>
            <w:r>
              <w:rPr>
                <w:rFonts w:ascii="Arial" w:cs="Arial" w:eastAsia="Arial" w:hAnsi="Arial"/>
                <w:sz w:val="18"/>
                <w:szCs w:val="18"/>
                <w:color w:val="0000EE"/>
              </w:rPr>
              <w:t>EX-31.1: CERTIFICATION</w:t>
            </w:r>
          </w:p>
        </w:tc>
        <w:tc>
          <w:tcPr>
            <w:tcW w:w="2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MARCH 31, 2008 AND DECEMBER 31, 2007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520,875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222,373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267,532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from the sanofi-aventis Group</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31,100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Accounts receivable — 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787,505</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83,010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58,419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930,876</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37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30,314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from sanofi-aventis, current portion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18,855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Deferred revenue — other, current portion</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36,785</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285,954</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from sanofi-aventis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121,718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revenue — other</w:t>
            </w:r>
          </w:p>
        </w:tc>
        <w:tc>
          <w:tcPr>
            <w:tcW w:w="10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62,601</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470,273</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Class A Stock, convertible, $.001 par value; 40,000,000 shares authorized;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- 2,257,698 in 2008 and 2,260,266 in 2007</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200"/>
              <w:spacing w:after="0" w:line="201" w:lineRule="exact"/>
              <w:rPr>
                <w:sz w:val="20"/>
                <w:szCs w:val="20"/>
                <w:color w:val="auto"/>
              </w:rPr>
            </w:pPr>
            <w:r>
              <w:rPr>
                <w:rFonts w:ascii="Arial" w:cs="Arial" w:eastAsia="Arial" w:hAnsi="Arial"/>
                <w:sz w:val="18"/>
                <w:szCs w:val="18"/>
                <w:color w:val="auto"/>
              </w:rPr>
              <w:t>Common Stock, $.001 par value; 160,000,000 shares authorized;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shares issued and outstanding - 76,838,871 in 2008 and 76,592,218 in 2007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1,264,531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1,253,235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(804,835)</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(793,217)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460,603</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930,876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Contract research and development from sanofi-aventis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35,734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contract research and development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Technology licensing</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56,383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15,788</w:t>
            </w:r>
          </w:p>
        </w:tc>
        <w:tc>
          <w:tcPr>
            <w:tcW w:w="0" w:type="dxa"/>
            <w:vAlign w:val="bottom"/>
          </w:tcPr>
          <w:p>
            <w:pPr>
              <w:spacing w:after="0"/>
              <w:rPr>
                <w:sz w:val="1"/>
                <w:szCs w:val="1"/>
                <w:color w:val="auto"/>
              </w:rPr>
            </w:pPr>
          </w:p>
        </w:tc>
      </w:tr>
      <w:tr>
        <w:trPr>
          <w:trHeight w:val="439"/>
        </w:trPr>
        <w:tc>
          <w:tcPr>
            <w:tcW w:w="67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61,270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11,024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72,294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49,437</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7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(15,911)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(33,649)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Investment income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7,304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(11,618)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(29,917)</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4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(0.15)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78,493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65,563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40" w:type="dxa"/>
            <w:vAlign w:val="bottom"/>
            <w:gridSpan w:val="4"/>
            <w:vMerge w:val="restart"/>
          </w:tcPr>
          <w:p>
            <w:pPr>
              <w:jc w:val="right"/>
              <w:ind w:right="73"/>
              <w:spacing w:after="0"/>
              <w:rPr>
                <w:sz w:val="20"/>
                <w:szCs w:val="20"/>
                <w:color w:val="auto"/>
              </w:rPr>
            </w:pPr>
            <w:r>
              <w:rPr>
                <w:rFonts w:ascii="Arial" w:cs="Arial" w:eastAsia="Arial" w:hAnsi="Arial"/>
                <w:sz w:val="13"/>
                <w:szCs w:val="13"/>
                <w:b w:val="1"/>
                <w:bCs w:val="1"/>
                <w:color w:val="auto"/>
              </w:rPr>
              <w:t>Class A Stock</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3"/>
            <w:vMerge w:val="restart"/>
          </w:tcPr>
          <w:p>
            <w:pPr>
              <w:jc w:val="right"/>
              <w:ind w:right="45"/>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ind w:left="180"/>
              <w:spacing w:after="0" w:line="140" w:lineRule="exact"/>
              <w:rPr>
                <w:sz w:val="20"/>
                <w:szCs w:val="20"/>
                <w:color w:val="auto"/>
              </w:rPr>
            </w:pPr>
            <w:r>
              <w:rPr>
                <w:rFonts w:ascii="Arial" w:cs="Arial" w:eastAsia="Arial" w:hAnsi="Arial"/>
                <w:sz w:val="13"/>
                <w:szCs w:val="13"/>
                <w:b w:val="1"/>
                <w:bCs w:val="1"/>
                <w:color w:val="auto"/>
              </w:rPr>
              <w:t>Paid-in</w:t>
            </w:r>
          </w:p>
        </w:tc>
        <w:tc>
          <w:tcPr>
            <w:tcW w:w="110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Accumulated</w:t>
            </w:r>
          </w:p>
        </w:tc>
        <w:tc>
          <w:tcPr>
            <w:tcW w:w="1040" w:type="dxa"/>
            <w:vAlign w:val="bottom"/>
            <w:gridSpan w:val="3"/>
          </w:tcPr>
          <w:p>
            <w:pPr>
              <w:jc w:val="right"/>
              <w:ind w:right="200"/>
              <w:spacing w:after="0" w:line="140" w:lineRule="exact"/>
              <w:rPr>
                <w:sz w:val="20"/>
                <w:szCs w:val="20"/>
                <w:color w:val="auto"/>
              </w:rPr>
            </w:pPr>
            <w:r>
              <w:rPr>
                <w:rFonts w:ascii="Arial" w:cs="Arial" w:eastAsia="Arial" w:hAnsi="Arial"/>
                <w:sz w:val="13"/>
                <w:szCs w:val="13"/>
                <w:b w:val="1"/>
                <w:bCs w:val="1"/>
                <w:color w:val="auto"/>
                <w:w w:val="84"/>
              </w:rPr>
              <w:t>Comprehensive</w:t>
            </w:r>
          </w:p>
        </w:tc>
        <w:tc>
          <w:tcPr>
            <w:tcW w:w="200" w:type="dxa"/>
            <w:vAlign w:val="bottom"/>
          </w:tcPr>
          <w:p>
            <w:pPr>
              <w:spacing w:after="0"/>
              <w:rPr>
                <w:sz w:val="12"/>
                <w:szCs w:val="12"/>
                <w:color w:val="auto"/>
              </w:rPr>
            </w:pPr>
          </w:p>
        </w:tc>
        <w:tc>
          <w:tcPr>
            <w:tcW w:w="116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Stockholders’</w:t>
            </w:r>
          </w:p>
        </w:tc>
        <w:tc>
          <w:tcPr>
            <w:tcW w:w="94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4"/>
              </w:rPr>
              <w:t>Comprehensive</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520" w:type="dxa"/>
            <w:vAlign w:val="bottom"/>
            <w:tcBorders>
              <w:bottom w:val="single" w:sz="8" w:color="auto"/>
            </w:tcBorders>
          </w:tcPr>
          <w:p>
            <w:pPr>
              <w:jc w:val="right"/>
              <w:ind w:right="12"/>
              <w:spacing w:after="0" w:line="129" w:lineRule="exact"/>
              <w:rPr>
                <w:sz w:val="20"/>
                <w:szCs w:val="20"/>
                <w:color w:val="auto"/>
              </w:rPr>
            </w:pPr>
            <w:r>
              <w:rPr>
                <w:rFonts w:ascii="Arial" w:cs="Arial" w:eastAsia="Arial" w:hAnsi="Arial"/>
                <w:sz w:val="13"/>
                <w:szCs w:val="13"/>
                <w:b w:val="1"/>
                <w:bCs w:val="1"/>
                <w:color w:val="auto"/>
                <w:w w:val="96"/>
              </w:rPr>
              <w:t>Shares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380" w:type="dxa"/>
            <w:vAlign w:val="bottom"/>
          </w:tcPr>
          <w:p>
            <w:pPr>
              <w:spacing w:after="0"/>
              <w:rPr>
                <w:sz w:val="11"/>
                <w:szCs w:val="11"/>
                <w:color w:val="auto"/>
              </w:rPr>
            </w:pPr>
          </w:p>
        </w:tc>
        <w:tc>
          <w:tcPr>
            <w:tcW w:w="560" w:type="dxa"/>
            <w:vAlign w:val="bottom"/>
            <w:tcBorders>
              <w:bottom w:val="single" w:sz="8" w:color="auto"/>
            </w:tcBorders>
          </w:tcPr>
          <w:p>
            <w:pPr>
              <w:jc w:val="right"/>
              <w:ind w:right="34"/>
              <w:spacing w:after="0" w:line="129" w:lineRule="exact"/>
              <w:rPr>
                <w:sz w:val="20"/>
                <w:szCs w:val="20"/>
                <w:color w:val="auto"/>
              </w:rPr>
            </w:pPr>
            <w:r>
              <w:rPr>
                <w:rFonts w:ascii="Arial" w:cs="Arial" w:eastAsia="Arial" w:hAnsi="Arial"/>
                <w:sz w:val="13"/>
                <w:szCs w:val="13"/>
                <w:b w:val="1"/>
                <w:bCs w:val="1"/>
                <w:color w:val="auto"/>
              </w:rPr>
              <w:t>Shares</w:t>
            </w:r>
          </w:p>
        </w:tc>
        <w:tc>
          <w:tcPr>
            <w:tcW w:w="40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bottom w:val="single" w:sz="8" w:color="auto"/>
            </w:tcBorders>
          </w:tcPr>
          <w:p>
            <w:pPr>
              <w:jc w:val="right"/>
              <w:ind w:right="95"/>
              <w:spacing w:after="0" w:line="129" w:lineRule="exact"/>
              <w:rPr>
                <w:sz w:val="20"/>
                <w:szCs w:val="20"/>
                <w:color w:val="auto"/>
              </w:rPr>
            </w:pPr>
            <w:r>
              <w:rPr>
                <w:rFonts w:ascii="Arial" w:cs="Arial" w:eastAsia="Arial" w:hAnsi="Arial"/>
                <w:sz w:val="13"/>
                <w:szCs w:val="13"/>
                <w:b w:val="1"/>
                <w:bCs w:val="1"/>
                <w:color w:val="auto"/>
              </w:rPr>
              <w:t>Capital</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Deficit</w:t>
            </w: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72"/>
              <w:spacing w:after="0" w:line="129" w:lineRule="exact"/>
              <w:rPr>
                <w:sz w:val="20"/>
                <w:szCs w:val="20"/>
                <w:color w:val="auto"/>
              </w:rPr>
            </w:pPr>
            <w:r>
              <w:rPr>
                <w:rFonts w:ascii="Arial" w:cs="Arial" w:eastAsia="Arial" w:hAnsi="Arial"/>
                <w:sz w:val="13"/>
                <w:szCs w:val="13"/>
                <w:b w:val="1"/>
                <w:bCs w:val="1"/>
                <w:color w:val="auto"/>
                <w:w w:val="87"/>
              </w:rPr>
              <w:t>Income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50"/>
              <w:spacing w:after="0" w:line="129" w:lineRule="exact"/>
              <w:rPr>
                <w:sz w:val="20"/>
                <w:szCs w:val="20"/>
                <w:color w:val="auto"/>
              </w:rPr>
            </w:pPr>
            <w:r>
              <w:rPr>
                <w:rFonts w:ascii="Arial" w:cs="Arial" w:eastAsia="Arial" w:hAnsi="Arial"/>
                <w:sz w:val="13"/>
                <w:szCs w:val="13"/>
                <w:b w:val="1"/>
                <w:bCs w:val="1"/>
                <w:color w:val="auto"/>
                <w:w w:val="90"/>
              </w:rPr>
              <w:t>Equity</w:t>
            </w: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0"/>
              <w:spacing w:after="0" w:line="129" w:lineRule="exact"/>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2007</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2,260</w:t>
            </w:r>
          </w:p>
        </w:tc>
        <w:tc>
          <w:tcPr>
            <w:tcW w:w="2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93"/>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340" w:type="dxa"/>
            <w:vAlign w:val="bottom"/>
            <w:gridSpan w:val="3"/>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76,592</w:t>
            </w:r>
          </w:p>
        </w:tc>
        <w:tc>
          <w:tcPr>
            <w:tcW w:w="300" w:type="dxa"/>
            <w:vAlign w:val="bottom"/>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77</w:t>
            </w:r>
          </w:p>
        </w:tc>
        <w:tc>
          <w:tcPr>
            <w:tcW w:w="1300" w:type="dxa"/>
            <w:vAlign w:val="bottom"/>
            <w:gridSpan w:val="3"/>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$ 1,253,235</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(793,217)</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170</w:t>
            </w:r>
          </w:p>
        </w:tc>
        <w:tc>
          <w:tcPr>
            <w:tcW w:w="34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460,267</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Issuance of Common Stock in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220"/>
              <w:spacing w:after="0" w:line="149" w:lineRule="exact"/>
              <w:rPr>
                <w:sz w:val="20"/>
                <w:szCs w:val="20"/>
                <w:color w:val="auto"/>
              </w:rPr>
            </w:pPr>
            <w:r>
              <w:rPr>
                <w:rFonts w:ascii="Arial" w:cs="Arial" w:eastAsia="Arial" w:hAnsi="Arial"/>
                <w:sz w:val="14"/>
                <w:szCs w:val="14"/>
                <w:color w:val="auto"/>
              </w:rPr>
              <w:t>connection with exercise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220"/>
              <w:spacing w:after="0" w:line="149" w:lineRule="exact"/>
              <w:rPr>
                <w:sz w:val="20"/>
                <w:szCs w:val="20"/>
                <w:color w:val="auto"/>
              </w:rPr>
            </w:pPr>
            <w:r>
              <w:rPr>
                <w:rFonts w:ascii="Arial" w:cs="Arial" w:eastAsia="Arial" w:hAnsi="Arial"/>
                <w:sz w:val="14"/>
                <w:szCs w:val="14"/>
                <w:color w:val="auto"/>
              </w:rPr>
              <w:t>stock options, net of shares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220"/>
              <w:spacing w:after="0"/>
              <w:rPr>
                <w:sz w:val="20"/>
                <w:szCs w:val="20"/>
                <w:color w:val="auto"/>
              </w:rPr>
            </w:pPr>
            <w:r>
              <w:rPr>
                <w:rFonts w:ascii="Arial" w:cs="Arial" w:eastAsia="Arial" w:hAnsi="Arial"/>
                <w:sz w:val="14"/>
                <w:szCs w:val="14"/>
                <w:color w:val="auto"/>
              </w:rPr>
              <w:t>tendered</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4"/>
                <w:szCs w:val="14"/>
                <w:color w:val="auto"/>
              </w:rPr>
              <w:t>186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4"/>
                <w:szCs w:val="14"/>
                <w:color w:val="auto"/>
              </w:rPr>
              <w:t>1,903</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1,903</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in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connection with Company</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401(k) Savings Plan</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contribution</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59</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1,107</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1,107</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Conversion of Class A Stock to</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220"/>
              <w:spacing w:after="0"/>
              <w:rPr>
                <w:sz w:val="20"/>
                <w:szCs w:val="20"/>
                <w:color w:val="auto"/>
              </w:rPr>
            </w:pPr>
            <w:r>
              <w:rPr>
                <w:rFonts w:ascii="Arial" w:cs="Arial" w:eastAsia="Arial" w:hAnsi="Arial"/>
                <w:sz w:val="14"/>
                <w:szCs w:val="14"/>
                <w:color w:val="auto"/>
              </w:rPr>
              <w:t>Common Stock</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expense</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8,286</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8,286</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(11,618)</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(11,618)</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(11,618)</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net unrealized gain on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marketable securities</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Balance, March 31, 2008</w:t>
            </w: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80" w:type="dxa"/>
            <w:vAlign w:val="bottom"/>
            <w:vMerge w:val="continue"/>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2,258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ind w:right="193"/>
              <w:spacing w:after="0"/>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76,839</w:t>
            </w:r>
          </w:p>
        </w:tc>
        <w:tc>
          <w:tcPr>
            <w:tcW w:w="400" w:type="dxa"/>
            <w:vAlign w:val="bottom"/>
          </w:tcPr>
          <w:p>
            <w:pPr>
              <w:spacing w:after="0"/>
              <w:rPr>
                <w:sz w:val="24"/>
                <w:szCs w:val="24"/>
                <w:color w:val="auto"/>
              </w:rPr>
            </w:pPr>
          </w:p>
        </w:tc>
        <w:tc>
          <w:tcPr>
            <w:tcW w:w="300" w:type="dxa"/>
            <w:vAlign w:val="bottom"/>
          </w:tcPr>
          <w:p>
            <w:pPr>
              <w:jc w:val="right"/>
              <w:ind w:right="185"/>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77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1"/>
              </w:rPr>
              <w:t>$ 1,264,531</w:t>
            </w:r>
          </w:p>
        </w:tc>
        <w:tc>
          <w:tcPr>
            <w:tcW w:w="4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(804,835)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828</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460,603</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(10,960)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14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500" w:type="dxa"/>
            <w:vAlign w:val="bottom"/>
            <w:gridSpan w:val="3"/>
          </w:tcPr>
          <w:p>
            <w:pPr>
              <w:jc w:val="right"/>
              <w:ind w:right="300"/>
              <w:spacing w:after="0"/>
              <w:rPr>
                <w:sz w:val="20"/>
                <w:szCs w:val="20"/>
                <w:color w:val="auto"/>
              </w:rPr>
            </w:pPr>
            <w:r>
              <w:rPr>
                <w:rFonts w:ascii="Arial" w:cs="Arial" w:eastAsia="Arial" w:hAnsi="Arial"/>
                <w:sz w:val="18"/>
                <w:szCs w:val="18"/>
                <w:color w:val="auto"/>
              </w:rPr>
              <w:t>$ (11,618)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500" w:type="dxa"/>
            <w:vAlign w:val="bottom"/>
            <w:gridSpan w:val="3"/>
          </w:tcPr>
          <w:p>
            <w:pPr>
              <w:jc w:val="right"/>
              <w:ind w:right="360"/>
              <w:spacing w:after="0"/>
              <w:rPr>
                <w:sz w:val="20"/>
                <w:szCs w:val="20"/>
                <w:color w:val="auto"/>
              </w:rPr>
            </w:pPr>
            <w:r>
              <w:rPr>
                <w:rFonts w:ascii="Arial" w:cs="Arial" w:eastAsia="Arial" w:hAnsi="Arial"/>
                <w:sz w:val="18"/>
                <w:szCs w:val="18"/>
                <w:color w:val="auto"/>
              </w:rPr>
              <w:t>2,946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compensation expense</w:t>
            </w:r>
          </w:p>
        </w:tc>
        <w:tc>
          <w:tcPr>
            <w:tcW w:w="2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8,286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Changes in assets and liabilities</w:t>
            </w: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accounts receivable</w:t>
            </w:r>
          </w:p>
        </w:tc>
        <w:tc>
          <w:tcPr>
            <w:tcW w:w="2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(14,640)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Decrease (increase) in prepaid expenses and other assets</w:t>
            </w:r>
          </w:p>
        </w:tc>
        <w:tc>
          <w:tcPr>
            <w:tcW w:w="2500" w:type="dxa"/>
            <w:vAlign w:val="bottom"/>
            <w:gridSpan w:val="3"/>
          </w:tcPr>
          <w:p>
            <w:pPr>
              <w:jc w:val="right"/>
              <w:ind w:right="360"/>
              <w:spacing w:after="0"/>
              <w:rPr>
                <w:sz w:val="20"/>
                <w:szCs w:val="20"/>
                <w:color w:val="auto"/>
              </w:rPr>
            </w:pPr>
            <w:r>
              <w:rPr>
                <w:rFonts w:ascii="Arial" w:cs="Arial" w:eastAsia="Arial" w:hAnsi="Arial"/>
                <w:sz w:val="18"/>
                <w:szCs w:val="18"/>
                <w:color w:val="auto"/>
              </w:rPr>
              <w:t>1,493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deferred revenue</w:t>
            </w:r>
          </w:p>
        </w:tc>
        <w:tc>
          <w:tcPr>
            <w:tcW w:w="2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(Decrease) increase in accounts payable, accrued expenses, and other liabilities</w:t>
            </w:r>
          </w:p>
        </w:tc>
        <w:tc>
          <w:tcPr>
            <w:tcW w:w="14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(7,564)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adjustments</w:t>
            </w:r>
          </w:p>
        </w:tc>
        <w:tc>
          <w:tcPr>
            <w:tcW w:w="1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2500" w:type="dxa"/>
            <w:vAlign w:val="bottom"/>
            <w:gridSpan w:val="3"/>
          </w:tcPr>
          <w:p>
            <w:pPr>
              <w:jc w:val="right"/>
              <w:ind w:right="300"/>
              <w:spacing w:after="0"/>
              <w:rPr>
                <w:sz w:val="20"/>
                <w:szCs w:val="20"/>
                <w:color w:val="auto"/>
              </w:rPr>
            </w:pPr>
            <w:r>
              <w:rPr>
                <w:rFonts w:ascii="Arial" w:cs="Arial" w:eastAsia="Arial" w:hAnsi="Arial"/>
                <w:sz w:val="18"/>
                <w:szCs w:val="18"/>
                <w:color w:val="auto"/>
              </w:rPr>
              <w:t>(91,518)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(186,177)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or maturities of marketable securities</w:t>
            </w:r>
          </w:p>
        </w:tc>
        <w:tc>
          <w:tcPr>
            <w:tcW w:w="2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132,509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4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(3,047)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(used in) investing activities</w:t>
            </w:r>
          </w:p>
        </w:tc>
        <w:tc>
          <w:tcPr>
            <w:tcW w:w="1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(74,112)</w:t>
            </w:r>
          </w:p>
        </w:tc>
        <w:tc>
          <w:tcPr>
            <w:tcW w:w="0" w:type="dxa"/>
            <w:vAlign w:val="bottom"/>
          </w:tcPr>
          <w:p>
            <w:pPr>
              <w:spacing w:after="0"/>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the issuance of Common Stock</w:t>
            </w:r>
          </w:p>
        </w:tc>
        <w:tc>
          <w:tcPr>
            <w:tcW w:w="2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21,950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(81,392)</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500" w:type="dxa"/>
            <w:vAlign w:val="bottom"/>
            <w:gridSpan w:val="3"/>
          </w:tcPr>
          <w:p>
            <w:pPr>
              <w:jc w:val="right"/>
              <w:ind w:right="360"/>
              <w:spacing w:after="0"/>
              <w:rPr>
                <w:sz w:val="20"/>
                <w:szCs w:val="20"/>
                <w:color w:val="auto"/>
              </w:rPr>
            </w:pPr>
            <w:r>
              <w:rPr>
                <w:rFonts w:ascii="Arial" w:cs="Arial" w:eastAsia="Arial" w:hAnsi="Arial"/>
                <w:sz w:val="18"/>
                <w:szCs w:val="18"/>
                <w:color w:val="auto"/>
              </w:rPr>
              <w:t>498,925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237,876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$ 520,875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156,484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2007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ARCALYST™ (rilonacept) Product Revenue and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 xml:space="preserve">In late March 2008, ARCALYST™ (rilonacept) became available for prescription in the United States for the treatment of Cryopyrin-Associated Periodic Syndromes (CAPS) and the Company made its first shipments of ARCALYST™ to its distributors. The Company will recognize revenue from product sales in accordance with Staff Accounting Bulletin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104”). Revenue from product sales is recognized when persuasive evidence of an arrangement exists, title to product and associated risk of loss has passed to the customer, the price is fixed or determinable, collection from the customer is reasonably assured and we have no further performance obligations. When recognized, revenues from product sales will be recorded net of applicable provisions for prompt pay discounts, product returns, and estimated rebates. The Company will account for these reductions in accordance with Emerging Issues Task Force Issue No. 01-9, </w:t>
      </w:r>
      <w:r>
        <w:rPr>
          <w:rFonts w:ascii="Arial" w:cs="Arial" w:eastAsia="Arial" w:hAnsi="Arial"/>
          <w:sz w:val="16"/>
          <w:szCs w:val="16"/>
          <w:i w:val="1"/>
          <w:iCs w:val="1"/>
          <w:color w:val="auto"/>
        </w:rPr>
        <w:t>Accounting for Consideration Given by a Vendor to a Customer (Including a Reseller of the Vendor’s Products)</w:t>
      </w:r>
      <w:r>
        <w:rPr>
          <w:rFonts w:ascii="Arial" w:cs="Arial" w:eastAsia="Arial" w:hAnsi="Arial"/>
          <w:sz w:val="16"/>
          <w:szCs w:val="16"/>
          <w:color w:val="auto"/>
        </w:rPr>
        <w:t xml:space="preserve"> (“EITF 01-9”), and Statement of Financial Accounting Standards No. (“SFAS”) 48, </w:t>
      </w:r>
      <w:r>
        <w:rPr>
          <w:rFonts w:ascii="Arial" w:cs="Arial" w:eastAsia="Arial" w:hAnsi="Arial"/>
          <w:sz w:val="16"/>
          <w:szCs w:val="16"/>
          <w:i w:val="1"/>
          <w:iCs w:val="1"/>
          <w:color w:val="auto"/>
        </w:rPr>
        <w:t>Revenue Recognition When Right of Return Exists</w:t>
      </w:r>
      <w:r>
        <w:rPr>
          <w:rFonts w:ascii="Arial" w:cs="Arial" w:eastAsia="Arial" w:hAnsi="Arial"/>
          <w:sz w:val="16"/>
          <w:szCs w:val="16"/>
          <w:color w:val="auto"/>
        </w:rPr>
        <w:t>, as applicable.</w:t>
      </w:r>
    </w:p>
    <w:p>
      <w:pPr>
        <w:spacing w:after="0" w:line="58" w:lineRule="exact"/>
        <w:rPr>
          <w:sz w:val="20"/>
          <w:szCs w:val="20"/>
          <w:color w:val="auto"/>
        </w:rPr>
      </w:pPr>
    </w:p>
    <w:p>
      <w:pPr>
        <w:jc w:val="both"/>
        <w:ind w:right="240" w:firstLine="225"/>
        <w:spacing w:after="0" w:line="312" w:lineRule="auto"/>
        <w:rPr>
          <w:sz w:val="20"/>
          <w:szCs w:val="20"/>
          <w:color w:val="auto"/>
        </w:rPr>
      </w:pPr>
      <w:r>
        <w:rPr>
          <w:rFonts w:ascii="Arial" w:cs="Arial" w:eastAsia="Arial" w:hAnsi="Arial"/>
          <w:sz w:val="16"/>
          <w:szCs w:val="16"/>
          <w:color w:val="auto"/>
        </w:rPr>
        <w:t>Since the Company has no historical return or rebate experience for ARCALYST™, no product sales revenue has been recognized in the first quarter of 2008, and revenue recognition has been fully deferred until the right of return no longer exists and rebates have been processed, or until the Company can reasonably estimate returns and rebates. At March 31, 2008, deferred revenue related to ARCALYST™ product sales totaled $0.8 million.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The Company began capitalizing inventory costs associated with commercial supplies of ARCALYST™ (rilonacept) subsequent to receipt of marketing approval from the U.S. Food and Drug Administration (“FDA”) on February 27, 2008. Costs for manufacturing supplies of ARCALYST™ prior to receipt of FDA approval were recognized as research and development expenses in the period incurred; therefore, these costs will not be included in cost of goods sold when those supplies of ARCALYST™ are sold. At March 31, 2008, inventoried costs related to ARCALYST™ were insignificant.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 Share Data</w:t>
      </w:r>
    </w:p>
    <w:p>
      <w:pPr>
        <w:spacing w:after="0" w:line="121" w:lineRule="exact"/>
        <w:rPr>
          <w:sz w:val="20"/>
          <w:szCs w:val="20"/>
          <w:color w:val="auto"/>
        </w:rPr>
      </w:pPr>
    </w:p>
    <w:p>
      <w:pPr>
        <w:ind w:right="220" w:firstLine="222"/>
        <w:spacing w:after="0" w:line="276" w:lineRule="auto"/>
        <w:rPr>
          <w:sz w:val="20"/>
          <w:szCs w:val="20"/>
          <w:color w:val="auto"/>
        </w:rPr>
      </w:pPr>
      <w:r>
        <w:rPr>
          <w:rFonts w:ascii="Arial" w:cs="Arial" w:eastAsia="Arial" w:hAnsi="Arial"/>
          <w:sz w:val="17"/>
          <w:szCs w:val="17"/>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months ended March 31, 2008 and 2007,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2008</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9"/>
              </w:rPr>
              <w:t>(11,618)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(29,917)</w:t>
            </w: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34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color w:val="auto"/>
                <w:w w:val="98"/>
              </w:rPr>
              <w:t>78,493</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65,563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Shares issuable upon the exercise of stock options, vesting of restricted stock awards, and conversion of convertible debt, which have been excluded from the March 31, 2008 and 2007 diluted per share amounts because their effect would have been antidilutive, include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color w:val="auto"/>
              </w:rPr>
              <w:t>Three months ended March 31,</w:t>
            </w:r>
          </w:p>
        </w:tc>
      </w:tr>
      <w:tr>
        <w:trPr>
          <w:trHeight w:val="142"/>
        </w:trPr>
        <w:tc>
          <w:tcPr>
            <w:tcW w:w="43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2008</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5"/>
              <w:spacing w:after="0"/>
              <w:rPr>
                <w:sz w:val="20"/>
                <w:szCs w:val="20"/>
                <w:color w:val="auto"/>
              </w:rPr>
            </w:pPr>
            <w:r>
              <w:rPr>
                <w:rFonts w:ascii="Arial" w:cs="Arial" w:eastAsia="Arial" w:hAnsi="Arial"/>
                <w:sz w:val="18"/>
                <w:szCs w:val="18"/>
                <w:color w:val="auto"/>
                <w:w w:val="87"/>
              </w:rPr>
              <w:t>17,680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4"/>
              <w:spacing w:after="0"/>
              <w:rPr>
                <w:sz w:val="20"/>
                <w:szCs w:val="20"/>
                <w:color w:val="auto"/>
              </w:rPr>
            </w:pPr>
            <w:r>
              <w:rPr>
                <w:rFonts w:ascii="Arial" w:cs="Arial" w:eastAsia="Arial" w:hAnsi="Arial"/>
                <w:sz w:val="18"/>
                <w:szCs w:val="18"/>
                <w:color w:val="auto"/>
                <w:w w:val="87"/>
              </w:rPr>
              <w:t>15,549</w:t>
            </w: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exercise price</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17.16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15.65</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Restricted Stock:</w:t>
            </w: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500</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Convertible Debt:</w:t>
            </w: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6,611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6,611</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Conversion price</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30.25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30.25</w:t>
            </w:r>
          </w:p>
        </w:tc>
      </w:tr>
      <w:tr>
        <w:trPr>
          <w:trHeight w:val="391"/>
        </w:trPr>
        <w:tc>
          <w:tcPr>
            <w:tcW w:w="4380" w:type="dxa"/>
            <w:vAlign w:val="bottom"/>
          </w:tcPr>
          <w:p>
            <w:pPr>
              <w:spacing w:after="0"/>
              <w:rPr>
                <w:sz w:val="24"/>
                <w:szCs w:val="24"/>
                <w:color w:val="auto"/>
              </w:rPr>
            </w:pPr>
          </w:p>
        </w:tc>
        <w:tc>
          <w:tcPr>
            <w:tcW w:w="4120" w:type="dxa"/>
            <w:vAlign w:val="bottom"/>
          </w:tcPr>
          <w:p>
            <w:pPr>
              <w:jc w:val="right"/>
              <w:ind w:right="265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6"/>
        </w:trPr>
        <w:tc>
          <w:tcPr>
            <w:tcW w:w="438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In the first quarter of 2008, the Company recognized $0.6 million of compensation expense related to Restricted Stock awards, the fair value of which is expensed, on a pro rata basis, over the period that the restrictions on the shares lapse.</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Included in accounts payable and accrued expenses at March 31, 2008 and December 31, 2007 were $1.5 million and $1.7 million, respectively, of accrued capital expenditures. Included in accounts payable and accrued expenses at March 31, 2007 and December 31, 2006 were $0.6 million and $0.8 million, respectively, of accrued capital expenditures.</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Included in accounts payable and accrued expenses at December 31, 2007 and 2006 were $1.1 million and $1.4 million, respectively, of accrued Company 401(k) Savings Plan contribution expense. In the first quarter of 2008 and 2007, the Company contributed 58,575 and 64,532 shares, respectively, of Common Stock to the 401(k) Savings Plan in satisfaction of these obligations.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Included in marketable securities at March 31, 2008 and December 31, 2007 were $2.1 million and $2.2 million, respectively, of accrued interest income.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Included in marketable securities at March 31, 2007 and December 31, 2006 were $2.1 million and $1.5 million, respectively, of accrued interest income.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Statement of Financial Accounting Standards No. 157</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In September 2006, the Financial Accounting Standards Board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157 defines fair value, establishes a framework for measuring fair value in accordance with accounting principles generally accepted in the United States, and expands disclosures about fair value measurements. The Company adopted the provisions of SFAS 157 as of January 1, 2008, for financial instruments. Although the adoption of SFAS 157 did not materially impact the Company’s financial condition, results of operations, or cash flows, the Company is now required to provide additional disclosures as part of its financial statements.</w:t>
      </w:r>
    </w:p>
    <w:p>
      <w:pPr>
        <w:spacing w:after="0" w:line="80"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SFAS 157 establishes a three-tier fair value hierarchy, which prioritizes the inputs used in measuring fair value. The three tiers are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Company’s assets that are measured at fair value on a recurring basis, and subject to the disclosure requirements of SFAS 157 at March 31, 2008,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3"/>
              </w:rPr>
              <w:t>Fair Value Measurements at Reporting Date Using</w:t>
            </w:r>
          </w:p>
        </w:tc>
      </w:tr>
      <w:tr>
        <w:trPr>
          <w:trHeight w:val="123"/>
        </w:trPr>
        <w:tc>
          <w:tcPr>
            <w:tcW w:w="4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spacing w:after="0" w:line="123" w:lineRule="exact"/>
              <w:rPr>
                <w:sz w:val="20"/>
                <w:szCs w:val="20"/>
                <w:color w:val="auto"/>
              </w:rPr>
            </w:pPr>
            <w:r>
              <w:rPr>
                <w:rFonts w:ascii="Arial" w:cs="Arial" w:eastAsia="Arial" w:hAnsi="Arial"/>
                <w:sz w:val="14"/>
                <w:szCs w:val="14"/>
                <w:color w:val="auto"/>
                <w:w w:val="99"/>
              </w:rPr>
              <w:t>Significant</w:t>
            </w: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9"/>
        </w:trPr>
        <w:tc>
          <w:tcPr>
            <w:tcW w:w="4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Quoted Prices in</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Other</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4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Active Markets for</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2"/>
              </w:rPr>
              <w:t>Observable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Unobservable</w:t>
            </w:r>
          </w:p>
        </w:tc>
      </w:tr>
      <w:tr>
        <w:trPr>
          <w:trHeight w:val="149"/>
        </w:trPr>
        <w:tc>
          <w:tcPr>
            <w:tcW w:w="4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Fair Value at</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Identical Assets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Inputs</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4"/>
              </w:rPr>
              <w:t>Inputs</w:t>
            </w:r>
          </w:p>
        </w:tc>
      </w:tr>
      <w:tr>
        <w:trPr>
          <w:trHeight w:val="167"/>
        </w:trPr>
        <w:tc>
          <w:tcPr>
            <w:tcW w:w="4660" w:type="dxa"/>
            <w:vAlign w:val="bottom"/>
          </w:tcPr>
          <w:p>
            <w:pPr>
              <w:spacing w:after="0"/>
              <w:rPr>
                <w:sz w:val="20"/>
                <w:szCs w:val="20"/>
                <w:color w:val="auto"/>
              </w:rPr>
            </w:pPr>
            <w:r>
              <w:rPr>
                <w:rFonts w:ascii="Arial" w:cs="Arial" w:eastAsia="Arial" w:hAnsi="Arial"/>
                <w:sz w:val="14"/>
                <w:szCs w:val="14"/>
                <w:color w:val="auto"/>
              </w:rPr>
              <w:t>Description</w:t>
            </w:r>
          </w:p>
        </w:tc>
        <w:tc>
          <w:tcPr>
            <w:tcW w:w="840" w:type="dxa"/>
            <w:vAlign w:val="bottom"/>
          </w:tcPr>
          <w:p>
            <w:pPr>
              <w:spacing w:after="0"/>
              <w:rPr>
                <w:sz w:val="14"/>
                <w:szCs w:val="14"/>
                <w:color w:val="auto"/>
              </w:rPr>
            </w:pPr>
          </w:p>
        </w:tc>
        <w:tc>
          <w:tcPr>
            <w:tcW w:w="2200" w:type="dxa"/>
            <w:vAlign w:val="bottom"/>
            <w:gridSpan w:val="2"/>
          </w:tcPr>
          <w:p>
            <w:pPr>
              <w:ind w:left="220"/>
              <w:spacing w:after="0"/>
              <w:rPr>
                <w:sz w:val="20"/>
                <w:szCs w:val="20"/>
                <w:color w:val="auto"/>
              </w:rPr>
            </w:pPr>
            <w:r>
              <w:rPr>
                <w:rFonts w:ascii="Arial" w:cs="Arial" w:eastAsia="Arial" w:hAnsi="Arial"/>
                <w:sz w:val="14"/>
                <w:szCs w:val="14"/>
                <w:color w:val="auto"/>
              </w:rPr>
              <w:t>March 31, 2008</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(Level 1)</w:t>
            </w: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(Level 2)</w:t>
            </w: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(Level 3)</w:t>
            </w:r>
          </w:p>
        </w:tc>
      </w:tr>
      <w:tr>
        <w:trPr>
          <w:trHeight w:val="224"/>
        </w:trPr>
        <w:tc>
          <w:tcPr>
            <w:tcW w:w="4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Available-for-sale marketable securities</w:t>
            </w:r>
          </w:p>
        </w:tc>
        <w:tc>
          <w:tcPr>
            <w:tcW w:w="840" w:type="dxa"/>
            <w:vAlign w:val="bottom"/>
          </w:tcPr>
          <w:p>
            <w:pPr>
              <w:spacing w:after="0"/>
              <w:rPr>
                <w:sz w:val="19"/>
                <w:szCs w:val="19"/>
                <w:color w:val="auto"/>
              </w:rPr>
            </w:pPr>
          </w:p>
        </w:tc>
        <w:tc>
          <w:tcPr>
            <w:tcW w:w="13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$305,383</w:t>
            </w:r>
          </w:p>
        </w:tc>
        <w:tc>
          <w:tcPr>
            <w:tcW w:w="8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top w:val="single" w:sz="8" w:color="auto"/>
            </w:tcBorders>
          </w:tcPr>
          <w:p>
            <w:pPr>
              <w:jc w:val="right"/>
              <w:ind w:right="225"/>
              <w:spacing w:after="0"/>
              <w:rPr>
                <w:sz w:val="20"/>
                <w:szCs w:val="20"/>
                <w:color w:val="auto"/>
              </w:rPr>
            </w:pPr>
            <w:r>
              <w:rPr>
                <w:rFonts w:ascii="Arial" w:cs="Arial" w:eastAsia="Arial" w:hAnsi="Arial"/>
                <w:sz w:val="18"/>
                <w:szCs w:val="18"/>
                <w:color w:val="auto"/>
              </w:rPr>
              <w:t>$297,433</w:t>
            </w:r>
          </w:p>
        </w:tc>
        <w:tc>
          <w:tcPr>
            <w:tcW w:w="180" w:type="dxa"/>
            <w:vAlign w:val="bottom"/>
          </w:tcPr>
          <w:p>
            <w:pPr>
              <w:spacing w:after="0"/>
              <w:rPr>
                <w:sz w:val="19"/>
                <w:szCs w:val="19"/>
                <w:color w:val="auto"/>
              </w:rPr>
            </w:pPr>
          </w:p>
        </w:tc>
        <w:tc>
          <w:tcPr>
            <w:tcW w:w="1080" w:type="dxa"/>
            <w:vAlign w:val="bottom"/>
            <w:tcBorders>
              <w:top w:val="single" w:sz="8" w:color="auto"/>
            </w:tcBorders>
          </w:tcPr>
          <w:p>
            <w:pPr>
              <w:jc w:val="right"/>
              <w:ind w:right="264"/>
              <w:spacing w:after="0"/>
              <w:rPr>
                <w:sz w:val="20"/>
                <w:szCs w:val="20"/>
                <w:color w:val="auto"/>
              </w:rPr>
            </w:pPr>
            <w:r>
              <w:rPr>
                <w:rFonts w:ascii="Arial" w:cs="Arial" w:eastAsia="Arial" w:hAnsi="Arial"/>
                <w:sz w:val="18"/>
                <w:szCs w:val="18"/>
                <w:color w:val="auto"/>
              </w:rPr>
              <w:t>$7,950</w:t>
            </w:r>
          </w:p>
        </w:tc>
      </w:tr>
    </w:tbl>
    <w:p>
      <w:pPr>
        <w:spacing w:after="0" w:line="79" w:lineRule="exact"/>
        <w:rPr>
          <w:sz w:val="20"/>
          <w:szCs w:val="20"/>
          <w:color w:val="auto"/>
        </w:rPr>
      </w:pPr>
    </w:p>
    <w:p>
      <w:pPr>
        <w:jc w:val="both"/>
        <w:ind w:right="120" w:firstLine="225"/>
        <w:spacing w:after="0" w:line="277" w:lineRule="auto"/>
        <w:rPr>
          <w:sz w:val="20"/>
          <w:szCs w:val="20"/>
          <w:color w:val="auto"/>
        </w:rPr>
      </w:pPr>
      <w:r>
        <w:rPr>
          <w:rFonts w:ascii="Arial" w:cs="Arial" w:eastAsia="Arial" w:hAnsi="Arial"/>
          <w:sz w:val="18"/>
          <w:szCs w:val="18"/>
          <w:color w:val="auto"/>
        </w:rPr>
        <w:t>Marketable securities included in Level 2 above were valued using a market approach utilizing prices and other relevant information generated by market transactions involving identical or comparable assets.</w:t>
      </w:r>
    </w:p>
    <w:p>
      <w:pPr>
        <w:spacing w:after="0" w:line="62"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Marketable securities included in Level 3 above were valued using information provided by the Company’s investment advisors, including quoted bid prices which take into consideration the securities’ current lack of liquidity. There were no realized or unrealized gains or losses related to the Company’s Level 3 marketable securities for the three months ended March 31, 2008. In addition, there were no purchases, sales, or maturities of Level 3 marketable securities, and no transfers of marketable securities between the Level 2 and Level 3 classifications, during the quarter ended March 31, 2008. The Company held no Level 1 marketable securities during the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as of March 31, 2008 and December 31, 2007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color w:val="auto"/>
                <w:w w:val="96"/>
              </w:rPr>
              <w:t>March 31,</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3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the sanofi-aventis Group</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31,100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Receivable from Bayer HealthCare LLC</w:t>
            </w: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32,960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840" w:type="dxa"/>
            <w:vAlign w:val="bottom"/>
            <w:vMerge w:val="restart"/>
          </w:tcPr>
          <w:p>
            <w:pPr>
              <w:jc w:val="right"/>
              <w:ind w:right="327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2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2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Payable and Accrued Expenses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 and accrued expenses as of March 31, 2008 and December 31, 2007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March 31,</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59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9,475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Payable to Bayer HealthCare</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1,053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4,892</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costs</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Accrued clinical trial expense</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5,609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other</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Interest payable on convertible notes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5,042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2,292</w:t>
            </w:r>
          </w:p>
        </w:tc>
      </w:tr>
      <w:tr>
        <w:trPr>
          <w:trHeight w:val="27"/>
        </w:trPr>
        <w:tc>
          <w:tcPr>
            <w:tcW w:w="59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0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30,314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39,232</w:t>
            </w:r>
          </w:p>
        </w:tc>
      </w:tr>
      <w:tr>
        <w:trPr>
          <w:trHeight w:val="20"/>
        </w:trPr>
        <w:tc>
          <w:tcPr>
            <w:tcW w:w="5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Loss</w:t>
      </w:r>
    </w:p>
    <w:p>
      <w:pPr>
        <w:spacing w:after="0" w:line="121" w:lineRule="exact"/>
        <w:rPr>
          <w:sz w:val="20"/>
          <w:szCs w:val="20"/>
          <w:color w:val="auto"/>
        </w:rPr>
      </w:pPr>
    </w:p>
    <w:p>
      <w:pPr>
        <w:ind w:right="280" w:firstLine="222"/>
        <w:spacing w:after="0" w:line="286" w:lineRule="auto"/>
        <w:rPr>
          <w:sz w:val="20"/>
          <w:szCs w:val="20"/>
          <w:color w:val="auto"/>
        </w:rPr>
      </w:pPr>
      <w:r>
        <w:rPr>
          <w:rFonts w:ascii="Arial" w:cs="Arial" w:eastAsia="Arial" w:hAnsi="Arial"/>
          <w:sz w:val="17"/>
          <w:szCs w:val="17"/>
          <w:color w:val="auto"/>
        </w:rPr>
        <w:t xml:space="preserve">The Company presents comprehensive income (loss) in accordance with SFAS 130,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Comprehensive loss of the Company includes net loss adjusted for the change in net unrealized gain (loss) on marketable securities. The net effect of income taxes on comprehensive loss is immaterial. For the three months ended March 31, 2008 and 2007, the components of comprehensive loss are: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40" w:type="dxa"/>
            <w:vAlign w:val="bottom"/>
            <w:gridSpan w:val="5"/>
          </w:tcPr>
          <w:p>
            <w:pPr>
              <w:jc w:val="right"/>
              <w:ind w:right="220"/>
              <w:spacing w:after="0"/>
              <w:rPr>
                <w:sz w:val="20"/>
                <w:szCs w:val="20"/>
                <w:color w:val="auto"/>
              </w:rPr>
            </w:pPr>
            <w:r>
              <w:rPr>
                <w:rFonts w:ascii="Arial" w:cs="Arial" w:eastAsia="Arial" w:hAnsi="Arial"/>
                <w:sz w:val="14"/>
                <w:szCs w:val="14"/>
                <w:color w:val="auto"/>
                <w:w w:val="97"/>
              </w:rPr>
              <w:t>Three months ended March 31,</w:t>
            </w:r>
          </w:p>
        </w:tc>
      </w:tr>
      <w:tr>
        <w:trPr>
          <w:trHeight w:val="142"/>
        </w:trPr>
        <w:tc>
          <w:tcPr>
            <w:tcW w:w="6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(11,618)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(29,917)</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658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72</w:t>
            </w:r>
          </w:p>
        </w:tc>
      </w:tr>
      <w:tr>
        <w:trPr>
          <w:trHeight w:val="27"/>
        </w:trPr>
        <w:tc>
          <w:tcPr>
            <w:tcW w:w="6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(10,960)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(29,845)</w:t>
            </w:r>
          </w:p>
        </w:tc>
      </w:tr>
      <w:tr>
        <w:trPr>
          <w:trHeight w:val="20"/>
        </w:trPr>
        <w:tc>
          <w:tcPr>
            <w:tcW w:w="6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Legal Matters</w:t>
      </w:r>
    </w:p>
    <w:p>
      <w:pPr>
        <w:spacing w:after="0" w:line="121" w:lineRule="exact"/>
        <w:rPr>
          <w:sz w:val="20"/>
          <w:szCs w:val="20"/>
          <w:color w:val="auto"/>
        </w:rPr>
      </w:pPr>
    </w:p>
    <w:p>
      <w:pPr>
        <w:ind w:right="20" w:firstLine="225"/>
        <w:spacing w:after="0" w:line="232" w:lineRule="auto"/>
        <w:rPr>
          <w:sz w:val="20"/>
          <w:szCs w:val="20"/>
          <w:color w:val="auto"/>
        </w:rPr>
      </w:pPr>
      <w:r>
        <w:rPr>
          <w:rFonts w:ascii="Arial" w:cs="Arial" w:eastAsia="Arial" w:hAnsi="Arial"/>
          <w:sz w:val="18"/>
          <w:szCs w:val="18"/>
          <w:color w:val="auto"/>
        </w:rPr>
        <w:t xml:space="preserve">In December 2003, the Company entered into a non-exclusive license agreement with Cellectis Inc. that granted the Company certain rights in a family of patents relating to homologous recombination. Cellectis now claims that the Company’s use of </w:t>
      </w:r>
      <w:r>
        <w:rPr>
          <w:rFonts w:ascii="Arial" w:cs="Arial" w:eastAsia="Arial" w:hAnsi="Arial"/>
          <w:sz w:val="18"/>
          <w:szCs w:val="18"/>
          <w:i w:val="1"/>
          <w:iCs w:val="1"/>
          <w:color w:val="auto"/>
        </w:rPr>
        <w:t>VelocImmune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the Company’s agreements with AstraZeneca UK Limited, Astellas Pharma Inc., and sanofi-aventis are outside the scope of the Company’s license from Cellectis. As a result, Cellectis claims that it has terminated the Company’s non-exclusive license agreement and has requested that the Company cease and desist from using the patents licensed from Cellectis. The Company disagrees with Cellectis’ position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and is in discussions with Cellectis regarding this matter. If the Company is not able to resolve this dispute, Cellectis may commence a lawsuit against the</w:t>
      </w:r>
    </w:p>
    <w:p>
      <w:pPr>
        <w:spacing w:after="0" w:line="46" w:lineRule="exact"/>
        <w:rPr>
          <w:sz w:val="20"/>
          <w:szCs w:val="20"/>
          <w:color w:val="auto"/>
        </w:rPr>
      </w:pPr>
    </w:p>
    <w:p>
      <w:pPr>
        <w:jc w:val="both"/>
        <w:ind w:right="460"/>
        <w:spacing w:after="0" w:line="217" w:lineRule="auto"/>
        <w:rPr>
          <w:sz w:val="20"/>
          <w:szCs w:val="20"/>
          <w:color w:val="auto"/>
        </w:rPr>
      </w:pPr>
      <w:r>
        <w:rPr>
          <w:rFonts w:ascii="Arial" w:cs="Arial" w:eastAsia="Arial" w:hAnsi="Arial"/>
          <w:sz w:val="18"/>
          <w:szCs w:val="18"/>
          <w:color w:val="auto"/>
        </w:rPr>
        <w:t xml:space="preserve">Company, sanofi-aventis, the Company’s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licensees, and the Company’s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customers alleging infringement of the patents the Company licensed from Cellectis. The Company is unable to estimate the losses or expenses, if any, that may result from the resolution of this matter; however, such losses or expenses could be material.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Future Impact of Recently Issued Accounting Standards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In November 2007, the Emerging Issues Task Force issued Statement No. 07-1, </w:t>
      </w:r>
      <w:r>
        <w:rPr>
          <w:rFonts w:ascii="Arial" w:cs="Arial" w:eastAsia="Arial" w:hAnsi="Arial"/>
          <w:sz w:val="17"/>
          <w:szCs w:val="17"/>
          <w:i w:val="1"/>
          <w:iCs w:val="1"/>
          <w:color w:val="auto"/>
        </w:rPr>
        <w:t>Accounting for Collaborative Arrangements</w:t>
      </w:r>
      <w:r>
        <w:rPr>
          <w:rFonts w:ascii="Arial" w:cs="Arial" w:eastAsia="Arial" w:hAnsi="Arial"/>
          <w:sz w:val="17"/>
          <w:szCs w:val="17"/>
          <w:color w:val="auto"/>
        </w:rPr>
        <w:t xml:space="preserve"> (“EITF 07-1”). EITF 07-01 defines collaborative arrangements and establishes reporting requirements for transactions between participants in a collaborative arrangement and between participants in the arrangement and third parties. EITF 07-1 also establishes the appropriate income statement presentation and classification for joint operating activities and payments between participants, as well as the sufficiency of the disclosures related to these arrangements. EITF 07-1 is effective for fiscal years beginning after December 15, 2008, and will be applied retrospectively as a change in accounting principle for collaborative arrangements existing at the effective date. The Company is required to adopt EITF 07-1 for the fiscal year beginning January 1, 2009. Management does not anticipate that the adoption of EITF 07-1 will have a material impact on the Company’s financial statements.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events or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Regeneron Pharmaceuticals, Inc. is a biopharmaceutical company that discovers, develops, and commercializes pharmaceutical products for the treatment of serious medical conditions. We currently have one marketed product: ARCALYSTÔ (rilonacept) Injection for Subcutaneous Use is now available for prescription in the United States for the treatment of Cryopyrin-Associated Periodic Syndromes (CAPS), including Familial Cold Auto-inflammatory Syndrome (FCAS) and Muckle-Wells Syndrome (MWS) in adults and children 12 and older. We also have four clinical development programs, including two late-stage clinical programs. The late stage programs are aflibercept (VEGF Trap), which is being developed in oncology in collaboration with the sanofi-aventis Group and VEGF Trap-Eye, which is being developed in eye diseases using intraocular delivery in collaboration with Bayer HealthCare LLC. ARCALYST™ (rilonacept; also known as IL-1 Trap) is also in a Phase 2 safety and efficacy trial for the prevention of gout flares induced by the initiation of uric acid-lowering drug therapy used to control gout. Our fourth clinical development program is REGN88, an antibody to the Interleukin-6 receptor (IL-6R) that is being developed with sanofi-aventis. REGN88 entered clinical development in patients with rheumatoid arthritis in the fourth quarter of 2007.</w:t>
      </w:r>
    </w:p>
    <w:p>
      <w:pPr>
        <w:spacing w:after="0" w:line="59"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expect that our next generation of product candidates will be based on our proprietary technologies for developing human monoclonal antibodies. Our antibody program is being conducted in collaboration with sanofi-aventis. Our preclinical research programs are in the areas of oncology and angiogenesis, ophthalmology, metabolic and related diseases, muscle diseases and disorders, inflammation and immune diseases, bone and cartilage, pain, and cardiovascular diseases. Developing and commercializing new medicines entails significant risk and expense. Since inception we have not generated any sales or profits from the commercialization of any of our product candidates.</w:t>
      </w:r>
    </w:p>
    <w:p>
      <w:pPr>
        <w:spacing w:after="0" w:line="8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We believe that our ability to develop product candidates is enhanced by the application of our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technology platforms. Our discovery platforms are designed to identify specific genes of therapeutic interest for a particular disease or cell type and validate targets through high-throughput production of mammalian models. Our human monoclonal antibody technology (</w:t>
      </w:r>
      <w:r>
        <w:rPr>
          <w:rFonts w:ascii="Arial" w:cs="Arial" w:eastAsia="Arial" w:hAnsi="Arial"/>
          <w:sz w:val="16"/>
          <w:szCs w:val="16"/>
          <w:i w:val="1"/>
          <w:iCs w:val="1"/>
          <w:color w:val="auto"/>
        </w:rPr>
        <w:t>VelocImmune</w:t>
      </w:r>
      <w:r>
        <w:rPr>
          <w:rFonts w:ascii="Arial" w:cs="Arial" w:eastAsia="Arial" w:hAnsi="Arial"/>
          <w:sz w:val="23"/>
          <w:szCs w:val="23"/>
          <w:b w:val="1"/>
          <w:bCs w:val="1"/>
          <w:i w:val="1"/>
          <w:iCs w:val="1"/>
          <w:color w:val="auto"/>
          <w:vertAlign w:val="superscript"/>
        </w:rPr>
        <w:t>®</w:t>
      </w:r>
      <w:r>
        <w:rPr>
          <w:rFonts w:ascii="Arial" w:cs="Arial" w:eastAsia="Arial" w:hAnsi="Arial"/>
          <w:sz w:val="16"/>
          <w:szCs w:val="16"/>
          <w:color w:val="auto"/>
        </w:rPr>
        <w:t xml:space="preserve">) and cell line expression technologies may then be utilized to design and produce new product candidates directed against the disease target. Based on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platform which we believe, in conjunction with our other proprietary technologies, can accelerate the development of fully human monoclonal antibodies, we moved our first antibody product candidate (REGN88) into clinical trials in 2007. We plan to advance two new antibody product candidates into clinical development in 2008 and an additional two to three antibody product candidates each year thereafter beginning in 2009. We continue to invest in the development of enabling technologies to assist in our efforts to identify, develop, and commercialize new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ARCALYST™ (rilonacept) – Inflammatory Diseases:</w:t>
      </w:r>
    </w:p>
    <w:p>
      <w:pPr>
        <w:spacing w:after="0" w:line="121" w:lineRule="exact"/>
        <w:rPr>
          <w:sz w:val="20"/>
          <w:szCs w:val="20"/>
          <w:color w:val="auto"/>
        </w:rPr>
      </w:pPr>
    </w:p>
    <w:p>
      <w:pPr>
        <w:ind w:right="160" w:firstLine="215"/>
        <w:spacing w:after="0" w:line="257" w:lineRule="auto"/>
        <w:rPr>
          <w:sz w:val="20"/>
          <w:szCs w:val="20"/>
          <w:color w:val="auto"/>
        </w:rPr>
      </w:pPr>
      <w:r>
        <w:rPr>
          <w:rFonts w:ascii="Arial" w:cs="Arial" w:eastAsia="Arial" w:hAnsi="Arial"/>
          <w:sz w:val="18"/>
          <w:szCs w:val="18"/>
          <w:color w:val="auto"/>
        </w:rPr>
        <w:t>ARCALYST™ (rilonacept; also known as IL-1 Trap) is a protein-based product designed to bind the interleukin-1 (called IL-1) cytokine and prevent its interaction with cell surface receptors. In February 2008, we announced that we had received approval from the U.S. Food and Drug Administration (FDA) for ARCALYST™ Injection for Subcutaneous Use for the treatment of Cryopyrin-Associated Periodic Syndromes (CAPS), including Familial Cold Auto-inflammatory Syndrome (FCAS) and Muckle-Wells Syndrome (MWS) in adults and children 12 and older. In July 2007, ARCALYST™ for the treatment of CAPS received Orphan Drug designation in the European Union.</w:t>
      </w:r>
    </w:p>
    <w:p>
      <w:pPr>
        <w:spacing w:after="0" w:line="8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CAPS represents a group of rare inherited auto-inflammatory conditions. In addition to FCAS and MWS, CAPS includes Neonatal Onset Multisystem Inflammatory Disease (NOMID). ARCALYST™ has not been studied for the treatment of NOMID. The syndromes included in CAPS are characterized by spontaneous, systemic inflammation and are termed auto-inflammatory disorders. A novel feature of these conditions (particularly FCAS and MWS) is that exposure to mild degrees of cold temperature can provoke a major inflammatory episode that occurs within hours. CAPS is caused by a range of mutations in the gene NLRP3 (formerly known as </w:t>
      </w:r>
      <w:r>
        <w:rPr>
          <w:rFonts w:ascii="Arial" w:cs="Arial" w:eastAsia="Arial" w:hAnsi="Arial"/>
          <w:sz w:val="17"/>
          <w:szCs w:val="17"/>
          <w:i w:val="1"/>
          <w:iCs w:val="1"/>
          <w:color w:val="auto"/>
        </w:rPr>
        <w:t>CIAS1</w:t>
      </w:r>
      <w:r>
        <w:rPr>
          <w:rFonts w:ascii="Arial" w:cs="Arial" w:eastAsia="Arial" w:hAnsi="Arial"/>
          <w:sz w:val="17"/>
          <w:szCs w:val="17"/>
          <w:color w:val="auto"/>
        </w:rPr>
        <w:t>) which encodes a protein named cryopyrin.</w:t>
      </w:r>
    </w:p>
    <w:p>
      <w:pPr>
        <w:spacing w:after="0" w:line="64" w:lineRule="exact"/>
        <w:rPr>
          <w:sz w:val="20"/>
          <w:szCs w:val="20"/>
          <w:color w:val="auto"/>
        </w:rPr>
      </w:pPr>
    </w:p>
    <w:p>
      <w:pPr>
        <w:ind w:right="160" w:firstLine="222"/>
        <w:spacing w:after="0" w:line="291" w:lineRule="auto"/>
        <w:rPr>
          <w:sz w:val="20"/>
          <w:szCs w:val="20"/>
          <w:color w:val="auto"/>
        </w:rPr>
      </w:pPr>
      <w:r>
        <w:rPr>
          <w:rFonts w:ascii="Arial" w:cs="Arial" w:eastAsia="Arial" w:hAnsi="Arial"/>
          <w:sz w:val="16"/>
          <w:szCs w:val="16"/>
          <w:color w:val="auto"/>
        </w:rPr>
        <w:t>We are also evaluating ARCALYST™ in a number of diseases and disorders where IL-1 may play an important role. We have initiated a Phase 2 safety and efficacy trial of ARCALYST™ in the prevention of gout flares induced by the initiation of uric acid-lowering drug therapy used to control gout. We previously reported positive results from an exploratory proof of concept study of ARCALYST™ in ten patients with chronic active gout. In those patients, treatment with ARCALYST™ demonstrated a statistically significant reduction in patient pain scores in the single-blind, placebo-controlled study. Mean patients’ pain scores, the key symptom measure in persistent gout, were reduced 41% (p=0.025) during the first two weeks of active treatment and reduced 56% (p&lt;0.004) after six weeks of active treatment. In this study, in which safety was the primary endpoint measure, treatment with ARCALYST™ was generally well-tolerated. We are also evaluating the potential use of ARCALYST™ in other indications in which IL-1 may play a role.</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w:t>
      </w:r>
    </w:p>
    <w:p>
      <w:pPr>
        <w:spacing w:after="0" w:line="5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Under the collaboration agreement, Novartis has the right to elect to collaborate in the development and commercialization of a second generation IL-1 Trap following completion of its Phase 2 development, should we decide to clinically develop such a second generation product candidate. Novartis does not have any rights or options with respect to ARCALYST™ (rilonacept).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Late-Stage Clinical Programs: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summary of the status of our late-stage clinical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Aflibercept (VEGF Trap) – Oncology</w:t>
      </w:r>
    </w:p>
    <w:p>
      <w:pPr>
        <w:spacing w:after="0" w:line="11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Aflibercept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that are needed for tumors to grow and is a potent regulator of vascular permeability and leakage.</w:t>
      </w:r>
    </w:p>
    <w:p>
      <w:pPr>
        <w:spacing w:after="0" w:line="79"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Aflibercept is being developed in cancer indications in collaboration with sanofi-aventis. We and sanofi-aventis began four Phase 3 trials of aflibercept in the second half of 2007. One trial is evaluating aflibercept as a 1</w:t>
      </w:r>
      <w:r>
        <w:rPr>
          <w:rFonts w:ascii="Arial" w:cs="Arial" w:eastAsia="Arial" w:hAnsi="Arial"/>
          <w:sz w:val="15"/>
          <w:szCs w:val="15"/>
          <w:color w:val="auto"/>
        </w:rPr>
        <w:t>st</w:t>
      </w:r>
      <w:r>
        <w:rPr>
          <w:rFonts w:ascii="Arial" w:cs="Arial" w:eastAsia="Arial" w:hAnsi="Arial"/>
          <w:sz w:val="18"/>
          <w:szCs w:val="18"/>
          <w:color w:val="auto"/>
        </w:rPr>
        <w:t xml:space="preserve"> line treatment for metastatic androgen independent prostate cancer in combination with docetaxel/prednisone. A second trial is evaluating aflibercept as a 2</w:t>
      </w:r>
      <w:r>
        <w:rPr>
          <w:rFonts w:ascii="Arial" w:cs="Arial" w:eastAsia="Arial" w:hAnsi="Arial"/>
          <w:sz w:val="15"/>
          <w:szCs w:val="15"/>
          <w:color w:val="auto"/>
        </w:rPr>
        <w:t>nd</w:t>
      </w:r>
      <w:r>
        <w:rPr>
          <w:rFonts w:ascii="Arial" w:cs="Arial" w:eastAsia="Arial" w:hAnsi="Arial"/>
          <w:sz w:val="18"/>
          <w:szCs w:val="18"/>
          <w:color w:val="auto"/>
        </w:rPr>
        <w:t xml:space="preserve"> line treatment for metastatic non-small cell lung cancer in combination with docetaxel. The third Phase 3 trial is evaluating aflibercept as a 1</w:t>
      </w:r>
      <w:r>
        <w:rPr>
          <w:rFonts w:ascii="Arial" w:cs="Arial" w:eastAsia="Arial" w:hAnsi="Arial"/>
          <w:sz w:val="15"/>
          <w:szCs w:val="15"/>
          <w:color w:val="auto"/>
        </w:rPr>
        <w:t>st</w:t>
      </w:r>
      <w:r>
        <w:rPr>
          <w:rFonts w:ascii="Arial" w:cs="Arial" w:eastAsia="Arial" w:hAnsi="Arial"/>
          <w:sz w:val="18"/>
          <w:szCs w:val="18"/>
          <w:color w:val="auto"/>
        </w:rPr>
        <w:t xml:space="preserve"> line treatment for metastatic pancreatic cancer in combination with gemcitabine. The fourth Phase 3 trial is evaluating aflibercept as a 2</w:t>
      </w:r>
      <w:r>
        <w:rPr>
          <w:rFonts w:ascii="Arial" w:cs="Arial" w:eastAsia="Arial" w:hAnsi="Arial"/>
          <w:sz w:val="15"/>
          <w:szCs w:val="15"/>
          <w:color w:val="auto"/>
        </w:rPr>
        <w:t>nd</w:t>
      </w:r>
      <w:r>
        <w:rPr>
          <w:rFonts w:ascii="Arial" w:cs="Arial" w:eastAsia="Arial" w:hAnsi="Arial"/>
          <w:sz w:val="18"/>
          <w:szCs w:val="18"/>
          <w:color w:val="auto"/>
        </w:rPr>
        <w:t xml:space="preserve"> line treatment for metastatic colorectal cancer in combination with FOLFIRI (Folinic Acid (leucovorin), 5-fluorouracil, and irinotecan). In all of these trials, aflibercept is being combined with the current standard of chemotherapy care for the stated development stage of the cancer type.</w:t>
      </w:r>
    </w:p>
    <w:p>
      <w:pPr>
        <w:spacing w:after="0" w:line="8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collaboration is conducting a number of other trials in the global development program for aflibercept. Five safety and tolerability studies of aflibercept in combination with standard chemotherapy regimens are continuing in a variety of cancer types to support the Phase 3 clinical program. Sanofi-aventis has also expanded the development program to Japan, where they are conducting a Phase 1 safety and tolerability study in combination with another investigational agent in patients with advanced solid malignancies.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222"/>
        <w:spacing w:after="0" w:line="259" w:lineRule="auto"/>
        <w:rPr>
          <w:sz w:val="20"/>
          <w:szCs w:val="20"/>
          <w:color w:val="auto"/>
        </w:rPr>
      </w:pPr>
      <w:r>
        <w:rPr>
          <w:rFonts w:ascii="Arial" w:cs="Arial" w:eastAsia="Arial" w:hAnsi="Arial"/>
          <w:sz w:val="18"/>
          <w:szCs w:val="18"/>
          <w:color w:val="auto"/>
        </w:rPr>
        <w:t>The collaboration is also conducting Phase 2 single-agent studies of aflibercept in advanced ovarian cancer (AOC), non-small cell lung adenocarcinoma (NSCLA), and AOC patients with symptomatic malignant ascites (SMA). We expect to report results from the AOC trial in the second quarter of 2008 and the NSCLA trial by the end of the year. The SMA trial is approximately 50% enrolled and continues to enroll patients. In 2004, the FDA granted Fast Track designation to aflibercept for the treatment of SMA.</w:t>
      </w:r>
    </w:p>
    <w:p>
      <w:pPr>
        <w:spacing w:after="0" w:line="7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 addition, more than 13 studies are currently underway or scheduled to begin that are being conducted in conjunction with the National Cancer Institute (NCI) Cancer Therapy Evaluation Program (CTEP) evaluating aflibercept as a single agent or in combination with chemotherapy regimens in a variety of cancer indications.</w:t>
      </w:r>
    </w:p>
    <w:p>
      <w:pPr>
        <w:spacing w:after="0" w:line="73" w:lineRule="exact"/>
        <w:rPr>
          <w:sz w:val="20"/>
          <w:szCs w:val="20"/>
          <w:color w:val="auto"/>
        </w:rPr>
      </w:pPr>
    </w:p>
    <w:p>
      <w:pPr>
        <w:ind w:right="240" w:firstLine="222"/>
        <w:spacing w:after="0" w:line="302" w:lineRule="auto"/>
        <w:rPr>
          <w:sz w:val="20"/>
          <w:szCs w:val="20"/>
          <w:color w:val="auto"/>
        </w:rPr>
      </w:pPr>
      <w:r>
        <w:rPr>
          <w:rFonts w:ascii="Arial" w:cs="Arial" w:eastAsia="Arial" w:hAnsi="Arial"/>
          <w:sz w:val="16"/>
          <w:szCs w:val="16"/>
          <w:color w:val="auto"/>
        </w:rPr>
        <w:t>The first registration submission to a regulatory agency for aflibercept is possible during 2008, potentially as third line treatment as a single agent in advanced ovarian cancer (AOC) or in AOC patients with SMA. However, in order for our ongoing Phase 2 study in AOC to be sufficient to support such a submission, we believe that the final unblinded results of the study would have to demonstrate a more robust response rate than that reported in the interim analysis of blinded data from the study presented in June 2007 at the annual meeting of the American Society of Clinical Oncology (ASCO).</w:t>
      </w:r>
    </w:p>
    <w:p>
      <w:pPr>
        <w:spacing w:after="0" w:line="46"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Cancer is a heterogeneous set of diseases and one of the leading causes of death in the developed world. A mutation in any one of dozens of normal genes can eventually result in a cell becoming cancerous; however, a common feature of cancer cells is that they need to obtain nutrients and remove waste products, just as normal cells do. The vascular system normally supplies nutrients to and removes waste from normal tissues. Cancer cells can use the vascular system either by taking over preexisting blood vessels or by promoting the growth of new blood vessels (a process known as angiogenesis). Vascular Endothelial Growth Factor (VEGF) is secreted by many tumors to stimulate the growth of new blood vessels to supply nutrients and oxygen to the tumor. VEGF blockers have been shown to inhibit new vessel growth, and, in some cases, can cause regression of existing tumor vasculature. Countering the effects of VEGF, thereby blocking the blood supply to tumors, has been shown in clinical trials to have therapeutic benefits. This approach of inhibiting angiogenesis as a mechanism of action for an oncology medicine was validated in February 2004, when the FDA approved Genentech, Inc.’s VEGF inhibitor, Avastin</w:t>
      </w:r>
      <w:r>
        <w:rPr>
          <w:rFonts w:ascii="Arial" w:cs="Arial" w:eastAsia="Arial" w:hAnsi="Arial"/>
          <w:sz w:val="13"/>
          <w:szCs w:val="13"/>
          <w:color w:val="auto"/>
        </w:rPr>
        <w:t>®</w:t>
      </w:r>
      <w:r>
        <w:rPr>
          <w:rFonts w:ascii="Arial" w:cs="Arial" w:eastAsia="Arial" w:hAnsi="Arial"/>
          <w:sz w:val="16"/>
          <w:szCs w:val="16"/>
          <w:color w:val="auto"/>
        </w:rPr>
        <w:t>. Avastin</w:t>
      </w:r>
      <w:r>
        <w:rPr>
          <w:rFonts w:ascii="Arial" w:cs="Arial" w:eastAsia="Arial" w:hAnsi="Arial"/>
          <w:sz w:val="13"/>
          <w:szCs w:val="13"/>
          <w:color w:val="auto"/>
        </w:rPr>
        <w:t>®</w:t>
      </w:r>
      <w:r>
        <w:rPr>
          <w:rFonts w:ascii="Arial" w:cs="Arial" w:eastAsia="Arial" w:hAnsi="Arial"/>
          <w:sz w:val="16"/>
          <w:szCs w:val="16"/>
          <w:color w:val="auto"/>
        </w:rPr>
        <w:t xml:space="preserve"> (a trademark of Genentech, Inc.) is an antibody product designed to inhibit VEGF and interfere with the blood supply to tumors.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Aflibercept Collaboration with the sanofi-aventis Group</w:t>
      </w:r>
    </w:p>
    <w:p>
      <w:pPr>
        <w:spacing w:after="0" w:line="12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In September 2003, we entered into a collaboration agreement with Aventis Pharmaceuticals, Inc. (predecessor to sanofi-aventis U.S.) to collaborate on the development and commercialization of aflibercept in all countries other than Japan, where we retained the exclusive right to develop and commercialize aflibercept. In January 2005, we and sanofi-aventis amended the collaboration agreement to exclude, from the scope of the collaboration, the development and commercialization of aflibercept for intraocular delivery to the eye. In December 2005, we and sanofi-aventis amended our collaboration agreement to expand the territory in which the companies are collaborating on the development of aflibercept to include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Japan. Under the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$400.0 million in milestone payments upon receipt of specified marketing approvals. This total includes up to $360.0 million in milestone payments related to receipt of marketing approvals for up to eight aflibercept oncology and other indications in the United States or the European Union. Another $40.0 million of milestone payments relate to receipt of marketing approvals for up to five oncology indications in Japan.</w:t>
      </w:r>
    </w:p>
    <w:p>
      <w:pPr>
        <w:spacing w:after="0" w:line="85"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VEGF Trap – Eye Diseases</w:t>
      </w:r>
    </w:p>
    <w:p>
      <w:pPr>
        <w:spacing w:after="0" w:line="117" w:lineRule="exact"/>
        <w:rPr>
          <w:sz w:val="20"/>
          <w:szCs w:val="20"/>
          <w:color w:val="auto"/>
        </w:rPr>
      </w:pPr>
    </w:p>
    <w:p>
      <w:pPr>
        <w:ind w:right="140" w:firstLine="222"/>
        <w:spacing w:after="0" w:line="272" w:lineRule="auto"/>
        <w:rPr>
          <w:sz w:val="20"/>
          <w:szCs w:val="20"/>
          <w:color w:val="auto"/>
        </w:rPr>
      </w:pPr>
      <w:r>
        <w:rPr>
          <w:rFonts w:ascii="Arial" w:cs="Arial" w:eastAsia="Arial" w:hAnsi="Arial"/>
          <w:sz w:val="17"/>
          <w:szCs w:val="17"/>
          <w:color w:val="auto"/>
        </w:rPr>
        <w:t>VEGF Trap-Eye is a form of the VEGF Trap that has been purified and formulated with excipients and at concentrations suitable for direct injection into the eye. We and Bayer HealthCare are currently testing VEGF Trap-Eye in a Phase 3 program in patients with the neovascular form of Age-related Macular Degeneration (wet AMD). The first Phase 3 trial in wet AMD, known as VIEW 1 (</w:t>
      </w:r>
      <w:r>
        <w:rPr>
          <w:rFonts w:ascii="Arial" w:cs="Arial" w:eastAsia="Arial" w:hAnsi="Arial"/>
          <w:sz w:val="17"/>
          <w:szCs w:val="17"/>
          <w:u w:val="single" w:color="auto"/>
          <w:color w:val="auto"/>
        </w:rPr>
        <w:t>V</w:t>
      </w:r>
      <w:r>
        <w:rPr>
          <w:rFonts w:ascii="Arial" w:cs="Arial" w:eastAsia="Arial" w:hAnsi="Arial"/>
          <w:sz w:val="17"/>
          <w:szCs w:val="17"/>
          <w:color w:val="auto"/>
        </w:rPr>
        <w:t xml:space="preserve">EGF Trap: </w:t>
      </w:r>
      <w:r>
        <w:rPr>
          <w:rFonts w:ascii="Arial" w:cs="Arial" w:eastAsia="Arial" w:hAnsi="Arial"/>
          <w:sz w:val="17"/>
          <w:szCs w:val="17"/>
          <w:u w:val="single" w:color="auto"/>
          <w:color w:val="auto"/>
        </w:rPr>
        <w:t>I</w:t>
      </w:r>
      <w:r>
        <w:rPr>
          <w:rFonts w:ascii="Arial" w:cs="Arial" w:eastAsia="Arial" w:hAnsi="Arial"/>
          <w:sz w:val="17"/>
          <w:szCs w:val="17"/>
          <w:color w:val="auto"/>
        </w:rPr>
        <w:t xml:space="preserve">nvestigation of </w:t>
      </w:r>
      <w:r>
        <w:rPr>
          <w:rFonts w:ascii="Arial" w:cs="Arial" w:eastAsia="Arial" w:hAnsi="Arial"/>
          <w:sz w:val="17"/>
          <w:szCs w:val="17"/>
          <w:u w:val="single" w:color="auto"/>
          <w:color w:val="auto"/>
        </w:rPr>
        <w:t>E</w:t>
      </w:r>
      <w:r>
        <w:rPr>
          <w:rFonts w:ascii="Arial" w:cs="Arial" w:eastAsia="Arial" w:hAnsi="Arial"/>
          <w:sz w:val="17"/>
          <w:szCs w:val="17"/>
          <w:color w:val="auto"/>
        </w:rPr>
        <w:t xml:space="preserve">fficacy and Safety in </w:t>
      </w:r>
      <w:r>
        <w:rPr>
          <w:rFonts w:ascii="Arial" w:cs="Arial" w:eastAsia="Arial" w:hAnsi="Arial"/>
          <w:sz w:val="17"/>
          <w:szCs w:val="17"/>
          <w:u w:val="single" w:color="auto"/>
          <w:color w:val="auto"/>
        </w:rPr>
        <w:t>W</w:t>
      </w:r>
      <w:r>
        <w:rPr>
          <w:rFonts w:ascii="Arial" w:cs="Arial" w:eastAsia="Arial" w:hAnsi="Arial"/>
          <w:sz w:val="17"/>
          <w:szCs w:val="17"/>
          <w:color w:val="auto"/>
        </w:rPr>
        <w:t>et age-related macular degeneration), is comparing VEGF Trap-Eye and ranibizumab (Lucentis</w:t>
      </w:r>
      <w:r>
        <w:rPr>
          <w:rFonts w:ascii="Arial" w:cs="Arial" w:eastAsia="Arial" w:hAnsi="Arial"/>
          <w:sz w:val="14"/>
          <w:szCs w:val="14"/>
          <w:color w:val="auto"/>
        </w:rPr>
        <w:t>â</w:t>
      </w:r>
      <w:r>
        <w:rPr>
          <w:rFonts w:ascii="Arial" w:cs="Arial" w:eastAsia="Arial" w:hAnsi="Arial"/>
          <w:sz w:val="17"/>
          <w:szCs w:val="17"/>
          <w:color w:val="auto"/>
        </w:rPr>
        <w:t>, a registered trademark of Genentech, Inc.), an anti-angiogenic agent approved for use in wet AMD, and is being conducted in North America. This Phase 3 trial is evaluating dosing intervals of four and eight weeks for VEGF Trap-Eye compared with ranibizumab dosed according to its label every four weeks. Bayer HealthCare is initiating a second Phase 3 trial in wet AMD that will be conducted primarily in the European Union and other parts of the world outside the U.S.</w:t>
      </w:r>
    </w:p>
    <w:p>
      <w:pPr>
        <w:spacing w:after="0" w:line="7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April 2008, we and Bayer HealthCare announced the 32-week endpoint results of a Phase 2 study evaluating VEGF Trap-Eye in wet AMD, which were presented at the 2008 Association for Research in Vision and Ophthalmology (ARVO) meeting in Fort Lauderdale, Florida. The analysis showed that VEGF Trap-Eye dosed on a PRN (as-needed) dosing schedule maintained the statistically significant gain in visual acuity achieved after an initial, 12-week, fixed-dosing phase.</w:t>
      </w:r>
    </w:p>
    <w:p>
      <w:pPr>
        <w:spacing w:after="0" w:line="7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Study results showed that across all dose groups in the study population the 6.6 mean letter gain in visual acuity achieved versus baseline at the week 16 evaluation visit, following 12 weeks of fixed dosing, was maintained out to week 32 (a 6.7 mean letter gain versus baseline; </w:t>
      </w:r>
      <w:r>
        <w:rPr>
          <w:rFonts w:ascii="Arial" w:cs="Arial" w:eastAsia="Arial" w:hAnsi="Arial"/>
          <w:sz w:val="18"/>
          <w:szCs w:val="18"/>
          <w:i w:val="1"/>
          <w:iCs w:val="1"/>
          <w:color w:val="auto"/>
        </w:rPr>
        <w:t>p</w:t>
      </w:r>
      <w:r>
        <w:rPr>
          <w:rFonts w:ascii="Arial" w:cs="Arial" w:eastAsia="Arial" w:hAnsi="Arial"/>
          <w:sz w:val="18"/>
          <w:szCs w:val="18"/>
          <w:color w:val="auto"/>
        </w:rPr>
        <w:t xml:space="preserve">&lt; 0.0001) using a PRN dosing schedule (where dosing frequency was determined by the physician’s assessment of pre-specified criteria). The decrease in retinal thickness, an anatomical measure of treatment effect, achieved with a fixed-dose schedule was also maintained for all dose groups combined at week 32 (a 137 micron mean decrease versus baseline, </w:t>
      </w:r>
      <w:r>
        <w:rPr>
          <w:rFonts w:ascii="Arial" w:cs="Arial" w:eastAsia="Arial" w:hAnsi="Arial"/>
          <w:sz w:val="18"/>
          <w:szCs w:val="18"/>
          <w:i w:val="1"/>
          <w:iCs w:val="1"/>
          <w:color w:val="auto"/>
        </w:rPr>
        <w:t>p</w:t>
      </w:r>
      <w:r>
        <w:rPr>
          <w:rFonts w:ascii="Arial" w:cs="Arial" w:eastAsia="Arial" w:hAnsi="Arial"/>
          <w:sz w:val="18"/>
          <w:szCs w:val="18"/>
          <w:color w:val="auto"/>
        </w:rPr>
        <w:t>&lt;0.0001).</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this double-masked, prospective, randomized, multi-center Phase 2 trial, 157 patients were randomized to five dose groups and treated with VEGF Trap-Eye in one eye. Two groups initially received monthly doses of 0.5 or 2.0 milligrams (mg) of VEGF Trap-Eye for 12 weeks and three groups received quarterly doses of 0.5, 2.0, or 4.0 mg of VEGF Trap-Eye (at baseline and week 12). Following the initial 12-week fixed-dose phase of the trial, patients continued to receive therapy at the same dose on a PRN dosing schedule based upon the physician assessment of the need for re-treatment in accordance with pre-specified criteria. Patients were monitored for safety, retinal thickness, and visual acuity. These data represent the week 32 analysis from the 52-week study, which is continuing to follow patients.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Patients receiving monthly doses of VEGF Trap-Eye, either 0.5 or 2.0 mg, for 12 weeks followed by PRN dosing thereafter achieved mean improvements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visual acuity of 8.0 (</w:t>
      </w:r>
      <w:r>
        <w:rPr>
          <w:rFonts w:ascii="Arial" w:cs="Arial" w:eastAsia="Arial" w:hAnsi="Arial"/>
          <w:sz w:val="16"/>
          <w:szCs w:val="16"/>
          <w:i w:val="1"/>
          <w:iCs w:val="1"/>
          <w:color w:val="auto"/>
        </w:rPr>
        <w:t>p</w:t>
      </w:r>
      <w:r>
        <w:rPr>
          <w:rFonts w:ascii="Arial" w:cs="Arial" w:eastAsia="Arial" w:hAnsi="Arial"/>
          <w:sz w:val="16"/>
          <w:szCs w:val="16"/>
          <w:color w:val="auto"/>
        </w:rPr>
        <w:t>&lt;0.01 versus baseline) and 10.1 letters (</w:t>
      </w:r>
      <w:r>
        <w:rPr>
          <w:rFonts w:ascii="Arial" w:cs="Arial" w:eastAsia="Arial" w:hAnsi="Arial"/>
          <w:sz w:val="16"/>
          <w:szCs w:val="16"/>
          <w:i w:val="1"/>
          <w:iCs w:val="1"/>
          <w:color w:val="auto"/>
        </w:rPr>
        <w:t>p</w:t>
      </w:r>
      <w:r>
        <w:rPr>
          <w:rFonts w:ascii="Arial" w:cs="Arial" w:eastAsia="Arial" w:hAnsi="Arial"/>
          <w:sz w:val="16"/>
          <w:szCs w:val="16"/>
          <w:color w:val="auto"/>
        </w:rPr>
        <w:t>&lt;0.0001 versus baseline), respectively, and mean decreases in retinal thickness of 141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w:t>
      </w:r>
      <w:r>
        <w:rPr>
          <w:rFonts w:ascii="Arial" w:cs="Arial" w:eastAsia="Arial" w:hAnsi="Arial"/>
          <w:sz w:val="16"/>
          <w:szCs w:val="16"/>
          <w:color w:val="auto"/>
        </w:rPr>
        <w:t>&lt;0.0001 versus baseline) and 162 microns (</w:t>
      </w:r>
      <w:r>
        <w:rPr>
          <w:rFonts w:ascii="Arial" w:cs="Arial" w:eastAsia="Arial" w:hAnsi="Arial"/>
          <w:sz w:val="16"/>
          <w:szCs w:val="16"/>
          <w:i w:val="1"/>
          <w:iCs w:val="1"/>
          <w:color w:val="auto"/>
        </w:rPr>
        <w:t>p</w:t>
      </w:r>
      <w:r>
        <w:rPr>
          <w:rFonts w:ascii="Arial" w:cs="Arial" w:eastAsia="Arial" w:hAnsi="Arial"/>
          <w:sz w:val="16"/>
          <w:szCs w:val="16"/>
          <w:color w:val="auto"/>
        </w:rPr>
        <w:t>&lt;0.0001 versus baseline) at week 32, respectively. While PRN dosing also maintained the improvements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retinal thickness and visual acuity achieved versus baseline following a fixed dosing regimen utilizing quarterly dosing at baseline and week 12, the results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achieved with a quarterly fixed dosing regimen were generally not as robust as obtained with initial fixed monthly dosing.</w:t>
      </w:r>
    </w:p>
    <w:p>
      <w:pPr>
        <w:spacing w:after="0" w:line="103"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VEGF Trap-Eye was generally safe and well-tolerated and there were no reported drug-related serious adverse events. There was one reported case of culture-negative endophthalmitis/uveitis in the study eye, which was deemed not to be drug-related. The most common adverse events were those typically associated with intravitreal injections.</w:t>
      </w:r>
    </w:p>
    <w:p>
      <w:pPr>
        <w:spacing w:after="0" w:line="73" w:lineRule="exact"/>
        <w:rPr>
          <w:sz w:val="20"/>
          <w:szCs w:val="20"/>
          <w:color w:val="auto"/>
        </w:rPr>
      </w:pPr>
    </w:p>
    <w:p>
      <w:pPr>
        <w:ind w:right="60" w:firstLine="215"/>
        <w:spacing w:after="0" w:line="302" w:lineRule="auto"/>
        <w:rPr>
          <w:sz w:val="20"/>
          <w:szCs w:val="20"/>
          <w:color w:val="auto"/>
        </w:rPr>
      </w:pPr>
      <w:r>
        <w:rPr>
          <w:rFonts w:ascii="Arial" w:cs="Arial" w:eastAsia="Arial" w:hAnsi="Arial"/>
          <w:sz w:val="16"/>
          <w:szCs w:val="16"/>
          <w:color w:val="auto"/>
        </w:rPr>
        <w:t>After the last fixed-dose administration at week 12, patients from all dose groups combined required, on average, only one additional injection over the following 20 weeks to maintain the visual acuity gain established during the fixed-dosing period. Notably, 55% of the patients who received 2.0 mg monthly for 12 weeks did not require any additional treatment throughout the next 20-week PRN dosing period. Moreover, 97% of the patients who received 2.0 mg monthly for 12 weeks did not require re-dosing at the week 16 evaluation visit, indicating that an 8-week dosing schedule may be feasible.</w:t>
      </w:r>
    </w:p>
    <w:p>
      <w:pPr>
        <w:spacing w:after="0" w:line="46"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VEGF-A both stimulates angiogenesis and increases vascular permeability. It has been shown in preclinical studies to be a major pathogenic factor in both wet AMD and diabetic retinopathy, and it is believed to be involved in other medical problems affecting the eyes. In clinical trials, blocking VEGF-A has been shown to be effective in patients with wet AMD, and Macugen</w:t>
      </w:r>
      <w:r>
        <w:rPr>
          <w:rFonts w:ascii="Arial" w:cs="Arial" w:eastAsia="Arial" w:hAnsi="Arial"/>
          <w:sz w:val="15"/>
          <w:szCs w:val="15"/>
          <w:color w:val="auto"/>
        </w:rPr>
        <w:t>®</w:t>
      </w:r>
      <w:r>
        <w:rPr>
          <w:rFonts w:ascii="Arial" w:cs="Arial" w:eastAsia="Arial" w:hAnsi="Arial"/>
          <w:sz w:val="18"/>
          <w:szCs w:val="18"/>
          <w:color w:val="auto"/>
        </w:rPr>
        <w:t xml:space="preserve"> (OSI Pharmaceuticals, Inc.) and Lucentis</w:t>
      </w:r>
      <w:r>
        <w:rPr>
          <w:rFonts w:ascii="Arial" w:cs="Arial" w:eastAsia="Arial" w:hAnsi="Arial"/>
          <w:sz w:val="15"/>
          <w:szCs w:val="15"/>
          <w:color w:val="auto"/>
        </w:rPr>
        <w:t>®</w:t>
      </w:r>
      <w:r>
        <w:rPr>
          <w:rFonts w:ascii="Arial" w:cs="Arial" w:eastAsia="Arial" w:hAnsi="Arial"/>
          <w:sz w:val="18"/>
          <w:szCs w:val="18"/>
          <w:color w:val="auto"/>
        </w:rPr>
        <w:t xml:space="preserve"> (Genentech, Inc.) have been approved to treat patients with this condition.</w:t>
      </w:r>
    </w:p>
    <w:p>
      <w:pPr>
        <w:spacing w:after="0" w:line="79"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Wet AMD and diabetic retinopathy (DR) are two of the leading causes of adult blindness in the developed world. In both conditions, severe visual loss is caused by a combination of retinal edema and neovascular proliferation.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Bayer HealthCare</w:t>
      </w:r>
    </w:p>
    <w:p>
      <w:pPr>
        <w:spacing w:after="0" w:line="121"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In October 2006, we entered into a collaboration agreement with Bayer HealthCare for the global development and commercialization outside the United States of VEGF Trap-Eye. Under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agreement, we and Bayer HealthCare will collaborate on, and share the costs of, the development of VEGF Trap-Eye through an integrated global plan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encompasses wet AMD, diabetic eye diseases, and other diseases and disorders. Bayer HealthCare will market VEGF Trap-Eye outside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where the companies will share equally in profits from any future sales of VEGF Trap-Eye. If VEGF Trap-Eye is granted marketing authorization in a major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country outside the United States, we will be obligated to reimburse Bayer HealthCare for 50% of the development costs that it has incurred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from our share of the collaboration profits. Within the United States, we retain exclusive commercialization rights to VEGF Trap-Eye and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entitled to all profits from any such sales. We received an up-front payment of $75.0 million from Bayer HealthCare. In 2007, we received a $20.0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milestone payment from Bayer HealthCare following dosing of the first patient in the Phase 3 study of VEGF Trap-Eye in wet AMD, and can earn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$90.0 million in additional development and regulatory milestones related to the development of VEGF Trap-Eye and marketing approvals in major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countries outside the United States. We can also earn up to $135.0 million in sales milestones if total annual sales of VEGF Trap-Eye outside the United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States achieve certain specified levels starting at $200.0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Antibody Research Technologies and Development Program:</w:t>
      </w:r>
    </w:p>
    <w:p>
      <w:pPr>
        <w:spacing w:after="0" w:line="121"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secreted proteins can have clinical benefit.</w:t>
      </w:r>
    </w:p>
    <w:p>
      <w:pPr>
        <w:spacing w:after="0" w:line="85"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Regeneron scientists have developed two different technologies to design protein therapeutics to block the action of specific secreted proteins. The first technology, termed the “Trap” technology, was used to generate our first approved product, ARCALYST™ (rilonacept) for the treatment of CAPS, and our current clinical pipeline, including aflibercept, VEGF Trap-Eye, and ARCALYST™ in other indications. These novel “Traps” are composed of fusions between two distinct receptor components and the constant region of an antibody molecule called the “Fc region”, resulting in high affinity product candidates.</w:t>
      </w:r>
    </w:p>
    <w:p>
      <w:pPr>
        <w:spacing w:after="0" w:line="80" w:lineRule="exact"/>
        <w:rPr>
          <w:sz w:val="20"/>
          <w:szCs w:val="20"/>
          <w:color w:val="auto"/>
        </w:rPr>
      </w:pPr>
    </w:p>
    <w:p>
      <w:pPr>
        <w:jc w:val="both"/>
        <w:ind w:right="60" w:firstLine="225"/>
        <w:spacing w:after="0" w:line="223" w:lineRule="auto"/>
        <w:rPr>
          <w:sz w:val="20"/>
          <w:szCs w:val="20"/>
          <w:color w:val="auto"/>
        </w:rPr>
      </w:pPr>
      <w:r>
        <w:rPr>
          <w:rFonts w:ascii="Arial" w:cs="Arial" w:eastAsia="Arial" w:hAnsi="Arial"/>
          <w:sz w:val="18"/>
          <w:szCs w:val="18"/>
          <w:color w:val="auto"/>
        </w:rPr>
        <w:t xml:space="preserve">Regeneron scientists also have discovered and developed a new technology for designing protein therapeutics that facilitates the discovery and production of fully human monoclonal antibodies. We call our technology </w:t>
      </w:r>
      <w:r>
        <w:rPr>
          <w:rFonts w:ascii="Arial" w:cs="Arial" w:eastAsia="Arial" w:hAnsi="Arial"/>
          <w:sz w:val="18"/>
          <w:szCs w:val="18"/>
          <w:i w:val="1"/>
          <w:iCs w:val="1"/>
          <w:color w:val="auto"/>
        </w:rPr>
        <w:t>VelocImmune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color w:val="auto"/>
        </w:rPr>
        <w:t xml:space="preserve"> and, as described below, we believe that it is an improved way of generating a wide variety of high affinity, therapeutic, fully human monoclonal antibodies.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VelocImmune</w:t>
      </w:r>
      <w:r>
        <w:rPr>
          <w:rFonts w:ascii="Arial" w:cs="Arial" w:eastAsia="Arial" w:hAnsi="Arial"/>
          <w:sz w:val="15"/>
          <w:szCs w:val="15"/>
          <w:color w:val="auto"/>
        </w:rPr>
        <w:t>®</w:t>
      </w:r>
      <w:r>
        <w:rPr>
          <w:rFonts w:ascii="Arial" w:cs="Arial" w:eastAsia="Arial" w:hAnsi="Arial"/>
          <w:sz w:val="18"/>
          <w:szCs w:val="18"/>
          <w:b w:val="1"/>
          <w:bCs w:val="1"/>
          <w:i w:val="1"/>
          <w:iCs w:val="1"/>
          <w:color w:val="auto"/>
        </w:rPr>
        <w:t>(Human Monoclonal Antibodies)</w:t>
      </w:r>
    </w:p>
    <w:p>
      <w:pPr>
        <w:spacing w:after="0" w:line="117" w:lineRule="exact"/>
        <w:rPr>
          <w:sz w:val="20"/>
          <w:szCs w:val="20"/>
          <w:color w:val="auto"/>
        </w:rPr>
      </w:pPr>
    </w:p>
    <w:p>
      <w:pPr>
        <w:jc w:val="both"/>
        <w:ind w:right="60" w:firstLine="222"/>
        <w:spacing w:after="0" w:line="277" w:lineRule="auto"/>
        <w:rPr>
          <w:sz w:val="20"/>
          <w:szCs w:val="20"/>
          <w:color w:val="auto"/>
        </w:rPr>
      </w:pPr>
      <w:r>
        <w:rPr>
          <w:rFonts w:ascii="Arial" w:cs="Arial" w:eastAsia="Arial" w:hAnsi="Arial"/>
          <w:sz w:val="18"/>
          <w:szCs w:val="18"/>
          <w:color w:val="auto"/>
        </w:rPr>
        <w:t xml:space="preserve">We have developed a novel mouse technology platform, called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for producing fully human monoclonal antibodies.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mouse platform was generated by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exploiting our </w:t>
      </w:r>
      <w:r>
        <w:rPr>
          <w:rFonts w:ascii="Arial" w:cs="Arial" w:eastAsia="Arial" w:hAnsi="Arial"/>
          <w:sz w:val="17"/>
          <w:szCs w:val="17"/>
          <w:i w:val="1"/>
          <w:iCs w:val="1"/>
          <w:color w:val="auto"/>
        </w:rPr>
        <w:t>VelociGene</w:t>
      </w:r>
      <w:r>
        <w:rPr>
          <w:rFonts w:ascii="Arial" w:cs="Arial" w:eastAsia="Arial" w:hAnsi="Arial"/>
          <w:sz w:val="14"/>
          <w:szCs w:val="14"/>
          <w:color w:val="auto"/>
        </w:rPr>
        <w:t>®</w:t>
      </w:r>
      <w:r>
        <w:rPr>
          <w:rFonts w:ascii="Arial" w:cs="Arial" w:eastAsia="Arial" w:hAnsi="Arial"/>
          <w:sz w:val="17"/>
          <w:szCs w:val="17"/>
          <w:color w:val="auto"/>
        </w:rPr>
        <w:t xml:space="preserve"> technology platform (see below), in a process in which six megabases of mouse immune gene loci were replaced, or “humanized,” with corresponding human immune gene loci. The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mice can be used to generate efficiently fully human monoclonal antibodies to targets of therapeutic interest.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and our related technologies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produce our next generation of drug candidates for preclinical development, and are exploring possible additional licensing arrangements with third parties related to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and related technologies.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Collaboration with sanofi-aventis</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November 2007, we and sanofi-aventis entered into a global, strategic collaboration to discover, develop, and commercialize fully human monoclonal antibodies. The first therapeutic antibody to enter clinical development under the collaboration, REGN88, is an antibody to the Interleukin-6 receptor (IL-6R), which has started clinical trials in rheumatoid arthritis. The second is expected to be an antibody to Delta-like ligand-4 (Dll4), which is currently scheduled to commence clinical development in mid-2008. The collaboration is governed by a Discovery and Preclinical Development Agreement and a License and Collaboration Agreement. We received a non-refundable, up-front payment of $85.0 million from sanofi-aventis under the discovery agreement. In addition, sanofi-aventis will fund up to $475.0 million of our research for identifying and validating potential drug discovery targets and developing fully human monoclonal antibodies against these targets through December 31, 2012. Sanofi-aventis also has an option to extend the discovery program for up to an additional three years for further antibody development and preclinical activities.</w:t>
      </w:r>
    </w:p>
    <w:p>
      <w:pPr>
        <w:spacing w:after="0" w:line="71" w:lineRule="exact"/>
        <w:rPr>
          <w:sz w:val="20"/>
          <w:szCs w:val="20"/>
          <w:color w:val="auto"/>
        </w:rPr>
      </w:pPr>
    </w:p>
    <w:p>
      <w:pPr>
        <w:ind w:right="140" w:firstLine="225"/>
        <w:spacing w:after="0" w:line="253" w:lineRule="auto"/>
        <w:rPr>
          <w:sz w:val="20"/>
          <w:szCs w:val="20"/>
          <w:color w:val="auto"/>
        </w:rPr>
      </w:pPr>
      <w:r>
        <w:rPr>
          <w:rFonts w:ascii="Arial" w:cs="Arial" w:eastAsia="Arial" w:hAnsi="Arial"/>
          <w:sz w:val="18"/>
          <w:szCs w:val="18"/>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Development costs will be shared between the companies, with sanofi-aventis funding drug candidate development costs up front. We are generally responsible for reimbursing sanofi-aventis for half of the total development costs for all collaboration products from our share of profits from commercialization of collaboration products to the extent they are sufficient for this purpose. 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AstraZeneca</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 xml:space="preserve">In February 2007, we entered into a non-exclusive license agreement with AstraZeneca UK Limited that allows AstraZeneca to utilize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in its internal research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programs to discover human monoclonal antibodies. Under the terms of the agreement, AstraZeneca made two $20.0 million annual, non-refundable payments to us, one in February 2007, and the other in February 2008. AstraZeneca is required to make up to four remaining additional annual payments of $20.0 million, subject to its ability to terminate the agreement after making two such additional payments or earlier if the technology does not meet minimum performance criteria. We are entitled to receive a mid-single-digit royalty on any future sales of antibody products discovered by AstraZeneca using our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Astellas</w:t>
      </w:r>
    </w:p>
    <w:p>
      <w:pPr>
        <w:spacing w:after="0" w:line="12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In March 2007, we entered into a non-exclusive license agreement with Astellas Pharma Inc. that allows Astellas to utilize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in its internal research programs to discover human monoclonal antibodies. Under the terms of the agreement, Astellas made a $20.0 million non-refundable, up-front payment to us. Astellas is required to make up to five additional annual payments of $20.0 million, subject to its ability to terminate the agreement after making the first three such additional payments or earlier if the technology does not meet minimum performance criteria. We are entitled to receive a mid-single-digit royalty on any future sales of antibody products discovered by Astellas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VelociGene</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and VelociMouse™ </w:t>
      </w:r>
      <w:r>
        <w:rPr>
          <w:rFonts w:ascii="Arial" w:cs="Arial" w:eastAsia="Arial" w:hAnsi="Arial"/>
          <w:sz w:val="18"/>
          <w:szCs w:val="18"/>
          <w:color w:val="auto"/>
        </w:rPr>
        <w:t>(Target Validation)</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platform allows custom and precise manipulation of very large sequences of DNA to produce highly customized alterations of a specified target gene and accelerates the production of knock-out and transgenic expression models without using either positive/negative selection or isogenic DNA. In producing knock-out models, a color or fluorescent marker is substituted in place of the actual gene sequence, allowing for high-resolution visualization of precisely where the gene is active in the body, during normal body functioning, as well as in disease processes. For the optimization of pre-clinical development and toxicology programs,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offers the opportunity to humanize targets by replacing the mouse gene with the human homolog. Thus, </w:t>
      </w:r>
      <w:r>
        <w:rPr>
          <w:rFonts w:ascii="Arial" w:cs="Arial" w:eastAsia="Arial" w:hAnsi="Arial"/>
          <w:sz w:val="18"/>
          <w:szCs w:val="18"/>
          <w:i w:val="1"/>
          <w:iCs w:val="1"/>
          <w:color w:val="auto"/>
        </w:rPr>
        <w:t xml:space="preserve">VelociGene </w:t>
      </w:r>
      <w:r>
        <w:rPr>
          <w:rFonts w:ascii="Arial" w:cs="Arial" w:eastAsia="Arial" w:hAnsi="Arial"/>
          <w:sz w:val="18"/>
          <w:szCs w:val="18"/>
          <w:color w:val="auto"/>
        </w:rPr>
        <w:t>allows scientists to rapidly identify the physical and biological effects of deleting or over-expressing the target gene, as well as to characterize and</w:t>
      </w:r>
      <w:r>
        <w:rPr>
          <w:rFonts w:ascii="Arial" w:cs="Arial" w:eastAsia="Arial" w:hAnsi="Arial"/>
          <w:sz w:val="18"/>
          <w:szCs w:val="18"/>
          <w:i w:val="1"/>
          <w:iCs w:val="1"/>
          <w:color w:val="auto"/>
        </w:rPr>
        <w:t xml:space="preserve"> </w:t>
      </w:r>
      <w:r>
        <w:rPr>
          <w:rFonts w:ascii="Arial" w:cs="Arial" w:eastAsia="Arial" w:hAnsi="Arial"/>
          <w:sz w:val="18"/>
          <w:szCs w:val="18"/>
          <w:color w:val="auto"/>
        </w:rPr>
        <w:t>test potential therapeutic molecules.</w:t>
      </w:r>
    </w:p>
    <w:p>
      <w:pPr>
        <w:spacing w:after="0" w:line="81" w:lineRule="exact"/>
        <w:rPr>
          <w:sz w:val="20"/>
          <w:szCs w:val="20"/>
          <w:color w:val="auto"/>
        </w:rPr>
      </w:pPr>
    </w:p>
    <w:p>
      <w:pPr>
        <w:jc w:val="both"/>
        <w:ind w:right="60" w:firstLine="222"/>
        <w:spacing w:after="0" w:line="31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VelociMouse</w:t>
      </w:r>
      <w:r>
        <w:rPr>
          <w:rFonts w:ascii="Arial" w:cs="Arial" w:eastAsia="Arial" w:hAnsi="Arial"/>
          <w:sz w:val="16"/>
          <w:szCs w:val="16"/>
          <w:color w:val="auto"/>
        </w:rPr>
        <w:t xml:space="preserve"> technology also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Regeneron’s </w:t>
      </w:r>
      <w:r>
        <w:rPr>
          <w:rFonts w:ascii="Arial" w:cs="Arial" w:eastAsia="Arial" w:hAnsi="Arial"/>
          <w:sz w:val="16"/>
          <w:szCs w:val="16"/>
          <w:i w:val="1"/>
          <w:iCs w:val="1"/>
          <w:color w:val="auto"/>
        </w:rPr>
        <w:t>VelociMice</w:t>
      </w:r>
      <w:r>
        <w:rPr>
          <w:rFonts w:ascii="Arial" w:cs="Arial" w:eastAsia="Arial" w:hAnsi="Arial"/>
          <w:sz w:val="16"/>
          <w:szCs w:val="16"/>
          <w:color w:val="auto"/>
        </w:rPr>
        <w:t xml:space="preserve"> are suitable for direct phenotyping or other studies.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Grant</w:t>
      </w:r>
    </w:p>
    <w:p>
      <w:pPr>
        <w:spacing w:after="0" w:line="121" w:lineRule="exact"/>
        <w:rPr>
          <w:sz w:val="20"/>
          <w:szCs w:val="20"/>
          <w:color w:val="auto"/>
        </w:rPr>
      </w:pPr>
    </w:p>
    <w:p>
      <w:pPr>
        <w:jc w:val="both"/>
        <w:ind w:right="320" w:firstLine="225"/>
        <w:spacing w:after="0" w:line="279" w:lineRule="auto"/>
        <w:rPr>
          <w:sz w:val="20"/>
          <w:szCs w:val="20"/>
          <w:color w:val="auto"/>
        </w:rPr>
      </w:pPr>
      <w:r>
        <w:rPr>
          <w:rFonts w:ascii="Arial" w:cs="Arial" w:eastAsia="Arial" w:hAnsi="Arial"/>
          <w:sz w:val="17"/>
          <w:szCs w:val="17"/>
          <w:color w:val="auto"/>
        </w:rPr>
        <w:t xml:space="preserve">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We use 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technology to take aim at 3,500 of the most difficult genes to target and which are not currently the focus of other large-scale knockout mouse programs. We also agreed to grant a limited license to a consortium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of research institutions, the other major participants in the Knockout Mouse Project, to use components of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in the Knockout Mouse Project. We are generating a collection of targeting vectors and targeted mouse ES cells which can be used to produce knockout mice. These materials will be made widely available to academic researchers without charge. We will receive a fee for each targeted ES cell line or targeting construct made by us or the research consortium and transferred to commercial entities.</w:t>
      </w:r>
    </w:p>
    <w:p>
      <w:pPr>
        <w:spacing w:after="0" w:line="7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Under the NIH grant, we are entitled to receive a minimum of $17.9 million over a five-year period. We will receive another $1.0 million to optimize our existing C57BL/6 ES cell line and its proprietary growth medium, both of which will be supplied to the research consortium for its use in the Knockout Mouse Project. We have the right to use, for any purpose, all materials generated by us and the research consortium.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Cell Line Expression Technologies</w:t>
      </w:r>
    </w:p>
    <w:p>
      <w:pPr>
        <w:spacing w:after="0" w:line="117"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 xml:space="preserve">Many proteins that are of potential pharmaceutical value are proteins which are “secreted” from the cells into the bloodstream. Examples of secreted proteins include growth factors (such as insulin and growth hormone) and antibodies. Current technologies for the isolation of cells engineered to produce high levels of secreted proteins are both laborious and time consuming. We have developed enabling platforms for the high-throughput, rapid generation of high-producing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Developing and commercializing new medicines entails significant risk and expense. Before revenues from the commercialization of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46"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From inception on January 8, 1988 through March 31, 2008, we have not recognized any sales or generated any profits from the commercialization of any of our product candidates, and had a cumulative loss of $804.8 million. As described above, in February 2008, we received FDA approval for ARCALYST™ (rilonacept) for the treatment of CAPS. These rare diseases affect a very small group of people. As a result, we can not predict whether the commercialization of ARCALYST™ in CAPS will result in a significant net cash benefit to us. In the absence of significant revenues from the commercialization of our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VEGF Trap-Eye and ARCALYST™ in other indications; advance new product candidates into clinical development from our existing research programs utilizing our technology for designing fully human monoclonal antibodies; continue our research and development programs; and commercialize product candidates that receive regulatory approval, if any. Also, our activities may expand over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73"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2008 and plans over the next 12 months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Clinical Program</w:t>
            </w:r>
          </w:p>
        </w:tc>
        <w:tc>
          <w:tcPr>
            <w:tcW w:w="360" w:type="dxa"/>
            <w:vAlign w:val="bottom"/>
          </w:tcPr>
          <w:p>
            <w:pPr>
              <w:spacing w:after="0"/>
              <w:rPr>
                <w:sz w:val="14"/>
                <w:szCs w:val="1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2008 Events to Date</w:t>
            </w:r>
          </w:p>
        </w:tc>
        <w:tc>
          <w:tcPr>
            <w:tcW w:w="340" w:type="dxa"/>
            <w:vAlign w:val="bottom"/>
          </w:tcPr>
          <w:p>
            <w:pPr>
              <w:spacing w:after="0"/>
              <w:rPr>
                <w:sz w:val="14"/>
                <w:szCs w:val="1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2008-9 Plans</w:t>
            </w:r>
          </w:p>
        </w:tc>
      </w:tr>
      <w:tr>
        <w:trPr>
          <w:trHeight w:val="191"/>
        </w:trPr>
        <w:tc>
          <w:tcPr>
            <w:tcW w:w="2740" w:type="dxa"/>
            <w:vAlign w:val="bottom"/>
          </w:tcPr>
          <w:p>
            <w:pPr>
              <w:spacing w:after="0" w:line="191" w:lineRule="exact"/>
              <w:rPr>
                <w:sz w:val="20"/>
                <w:szCs w:val="20"/>
                <w:color w:val="auto"/>
              </w:rPr>
            </w:pPr>
            <w:r>
              <w:rPr>
                <w:rFonts w:ascii="Arial" w:cs="Arial" w:eastAsia="Arial" w:hAnsi="Arial"/>
                <w:sz w:val="18"/>
                <w:szCs w:val="18"/>
                <w:color w:val="auto"/>
              </w:rPr>
              <w:t>ARCALYST™</w:t>
            </w:r>
          </w:p>
        </w:tc>
        <w:tc>
          <w:tcPr>
            <w:tcW w:w="360" w:type="dxa"/>
            <w:vAlign w:val="bottom"/>
          </w:tcPr>
          <w:p>
            <w:pPr>
              <w:spacing w:after="0"/>
              <w:rPr>
                <w:sz w:val="16"/>
                <w:szCs w:val="16"/>
                <w:color w:val="auto"/>
              </w:rPr>
            </w:pPr>
          </w:p>
        </w:tc>
        <w:tc>
          <w:tcPr>
            <w:tcW w:w="4000" w:type="dxa"/>
            <w:vAlign w:val="bottom"/>
          </w:tcPr>
          <w:p>
            <w:pPr>
              <w:spacing w:after="0" w:line="19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Received FDA approval for CAPS</w:t>
            </w:r>
          </w:p>
        </w:tc>
        <w:tc>
          <w:tcPr>
            <w:tcW w:w="34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Evaluate ARCALYST™ in gout and certain other</w:t>
            </w:r>
          </w:p>
        </w:tc>
      </w:tr>
      <w:tr>
        <w:trPr>
          <w:trHeight w:val="220"/>
        </w:trPr>
        <w:tc>
          <w:tcPr>
            <w:tcW w:w="2740" w:type="dxa"/>
            <w:vAlign w:val="bottom"/>
          </w:tcPr>
          <w:p>
            <w:pPr>
              <w:ind w:left="220"/>
              <w:spacing w:after="0"/>
              <w:rPr>
                <w:sz w:val="20"/>
                <w:szCs w:val="20"/>
                <w:color w:val="auto"/>
              </w:rPr>
            </w:pPr>
            <w:r>
              <w:rPr>
                <w:rFonts w:ascii="Arial" w:cs="Arial" w:eastAsia="Arial" w:hAnsi="Arial"/>
                <w:sz w:val="18"/>
                <w:szCs w:val="18"/>
                <w:color w:val="auto"/>
              </w:rPr>
              <w:t>(rilonacept; also known as IL-1</w:t>
            </w:r>
          </w:p>
        </w:tc>
        <w:tc>
          <w:tcPr>
            <w:tcW w:w="3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Launched ARCALYST™ commercially in CAPS</w:t>
            </w:r>
          </w:p>
        </w:tc>
        <w:tc>
          <w:tcPr>
            <w:tcW w:w="340" w:type="dxa"/>
            <w:vAlign w:val="bottom"/>
          </w:tcPr>
          <w:p>
            <w:pPr>
              <w:spacing w:after="0"/>
              <w:rPr>
                <w:sz w:val="19"/>
                <w:szCs w:val="19"/>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disease indications in which IL-1 may play an</w:t>
            </w:r>
          </w:p>
        </w:tc>
      </w:tr>
      <w:tr>
        <w:trPr>
          <w:trHeight w:val="230"/>
        </w:trPr>
        <w:tc>
          <w:tcPr>
            <w:tcW w:w="2740" w:type="dxa"/>
            <w:vAlign w:val="bottom"/>
          </w:tcPr>
          <w:p>
            <w:pPr>
              <w:ind w:left="220"/>
              <w:spacing w:after="0"/>
              <w:rPr>
                <w:sz w:val="20"/>
                <w:szCs w:val="20"/>
                <w:color w:val="auto"/>
              </w:rPr>
            </w:pPr>
            <w:r>
              <w:rPr>
                <w:rFonts w:ascii="Arial" w:cs="Arial" w:eastAsia="Arial" w:hAnsi="Arial"/>
                <w:sz w:val="18"/>
                <w:szCs w:val="18"/>
                <w:color w:val="auto"/>
              </w:rPr>
              <w:t>Trap)</w:t>
            </w:r>
          </w:p>
        </w:tc>
        <w:tc>
          <w:tcPr>
            <w:tcW w:w="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important role</w:t>
            </w:r>
          </w:p>
        </w:tc>
      </w:tr>
      <w:tr>
        <w:trPr>
          <w:trHeight w:val="216"/>
        </w:trPr>
        <w:tc>
          <w:tcPr>
            <w:tcW w:w="2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r>
      <w:tr>
        <w:trPr>
          <w:trHeight w:val="411"/>
        </w:trPr>
        <w:tc>
          <w:tcPr>
            <w:tcW w:w="2740" w:type="dxa"/>
            <w:vAlign w:val="bottom"/>
          </w:tcPr>
          <w:p>
            <w:pPr>
              <w:spacing w:after="0"/>
              <w:rPr>
                <w:sz w:val="20"/>
                <w:szCs w:val="20"/>
                <w:color w:val="auto"/>
              </w:rPr>
            </w:pPr>
            <w:r>
              <w:rPr>
                <w:rFonts w:ascii="Arial" w:cs="Arial" w:eastAsia="Arial" w:hAnsi="Arial"/>
                <w:sz w:val="18"/>
                <w:szCs w:val="18"/>
                <w:color w:val="auto"/>
              </w:rPr>
              <w:t>Aflibercept</w:t>
            </w:r>
          </w:p>
        </w:tc>
        <w:tc>
          <w:tcPr>
            <w:tcW w:w="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Sanofi-aventis to initiate additional studies of</w:t>
            </w:r>
          </w:p>
        </w:tc>
      </w:tr>
      <w:tr>
        <w:trPr>
          <w:trHeight w:val="216"/>
        </w:trPr>
        <w:tc>
          <w:tcPr>
            <w:tcW w:w="2740" w:type="dxa"/>
            <w:vAlign w:val="bottom"/>
          </w:tcPr>
          <w:p>
            <w:pPr>
              <w:ind w:left="220"/>
              <w:spacing w:after="0"/>
              <w:rPr>
                <w:sz w:val="20"/>
                <w:szCs w:val="20"/>
                <w:color w:val="auto"/>
              </w:rPr>
            </w:pPr>
            <w:r>
              <w:rPr>
                <w:rFonts w:ascii="Arial" w:cs="Arial" w:eastAsia="Arial" w:hAnsi="Arial"/>
                <w:sz w:val="18"/>
                <w:szCs w:val="18"/>
                <w:color w:val="auto"/>
              </w:rPr>
              <w:t>(VEGF Trap – Oncology)</w:t>
            </w:r>
          </w:p>
        </w:tc>
        <w:tc>
          <w:tcPr>
            <w:tcW w:w="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aflibercept in combination with standard</w:t>
            </w:r>
          </w:p>
        </w:tc>
      </w:tr>
      <w:tr>
        <w:trPr>
          <w:trHeight w:val="212"/>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chemotherapy regimens</w:t>
            </w:r>
          </w:p>
        </w:tc>
      </w:tr>
      <w:tr>
        <w:trPr>
          <w:trHeight w:val="220"/>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Report final data from Phase 2 single-agent trials</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w w:val="94"/>
              </w:rPr>
              <w:t>in advanced ovarian cancer and in non-small cell</w:t>
            </w:r>
          </w:p>
        </w:tc>
      </w:tr>
      <w:tr>
        <w:trPr>
          <w:trHeight w:val="212"/>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lung adenocarcinoma</w:t>
            </w:r>
          </w:p>
        </w:tc>
      </w:tr>
      <w:tr>
        <w:trPr>
          <w:trHeight w:val="220"/>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Complete enrollment of Phase 2 single-agent study</w:t>
            </w:r>
          </w:p>
        </w:tc>
      </w:tr>
      <w:tr>
        <w:trPr>
          <w:trHeight w:val="212"/>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in symptomatic malignant ascites (SMA)</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NCI/CTEP to begin to report data from trials</w:t>
            </w:r>
          </w:p>
        </w:tc>
      </w:tr>
      <w:tr>
        <w:trPr>
          <w:trHeight w:val="220"/>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NCI/CTEP to initiate additional exploratory safety</w:t>
            </w:r>
          </w:p>
        </w:tc>
      </w:tr>
      <w:tr>
        <w:trPr>
          <w:trHeight w:val="230"/>
        </w:trPr>
        <w:tc>
          <w:tcPr>
            <w:tcW w:w="2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and efficacy studies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tabs>
          <w:tab w:leader="none" w:pos="3080" w:val="left"/>
          <w:tab w:leader="none" w:pos="3360" w:val="left"/>
        </w:tabs>
        <w:rPr>
          <w:sz w:val="20"/>
          <w:szCs w:val="20"/>
          <w:color w:val="auto"/>
        </w:rPr>
      </w:pPr>
      <w:r>
        <w:rPr>
          <w:rFonts w:ascii="Arial" w:cs="Arial" w:eastAsia="Arial" w:hAnsi="Arial"/>
          <w:sz w:val="18"/>
          <w:szCs w:val="18"/>
          <w:color w:val="auto"/>
        </w:rPr>
        <w:t>VEGF Trap-Eye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Presented positive extended follow-up data</w:t>
      </w:r>
    </w:p>
    <w:p>
      <w:pPr>
        <w:spacing w:after="0" w:line="27" w:lineRule="exact"/>
        <w:rPr>
          <w:sz w:val="20"/>
          <w:szCs w:val="20"/>
          <w:color w:val="auto"/>
        </w:rPr>
      </w:pPr>
    </w:p>
    <w:p>
      <w:pPr>
        <w:ind w:left="220"/>
        <w:spacing w:after="0"/>
        <w:tabs>
          <w:tab w:leader="none" w:pos="3360" w:val="left"/>
        </w:tabs>
        <w:rPr>
          <w:sz w:val="20"/>
          <w:szCs w:val="20"/>
          <w:color w:val="auto"/>
        </w:rPr>
      </w:pPr>
      <w:r>
        <w:rPr>
          <w:rFonts w:ascii="Arial" w:cs="Arial" w:eastAsia="Arial" w:hAnsi="Arial"/>
          <w:sz w:val="18"/>
          <w:szCs w:val="18"/>
          <w:color w:val="auto"/>
        </w:rPr>
        <w:t>(intravitreal injection)</w:t>
      </w:r>
      <w:r>
        <w:rPr>
          <w:sz w:val="20"/>
          <w:szCs w:val="20"/>
          <w:color w:val="auto"/>
        </w:rPr>
        <w:tab/>
      </w:r>
      <w:r>
        <w:rPr>
          <w:rFonts w:ascii="Arial" w:cs="Arial" w:eastAsia="Arial" w:hAnsi="Arial"/>
          <w:sz w:val="16"/>
          <w:szCs w:val="16"/>
          <w:color w:val="auto"/>
        </w:rPr>
        <w:t>through 32 weeks from the Phase 2 trial in wet</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84" w:right="300" w:hanging="284"/>
        <w:spacing w:after="0" w:line="256" w:lineRule="auto"/>
        <w:tabs>
          <w:tab w:leader="none" w:pos="2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Initiate second Phase 3 trial in wet AMD in the European Union and certain other ex-U.S. countries</w:t>
      </w:r>
    </w:p>
    <w:p>
      <w:pPr>
        <w:ind w:left="284" w:hanging="284"/>
        <w:spacing w:after="0"/>
        <w:tabs>
          <w:tab w:leader="none" w:pos="28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Explore additional eye disease indications</w:t>
      </w:r>
    </w:p>
    <w:p>
      <w:pPr>
        <w:spacing w:after="0" w:line="200" w:lineRule="exact"/>
        <w:rPr>
          <w:sz w:val="20"/>
          <w:szCs w:val="20"/>
          <w:color w:val="auto"/>
        </w:rPr>
      </w:pPr>
    </w:p>
    <w:p>
      <w:pPr>
        <w:sectPr>
          <w:pgSz w:w="11900" w:h="16838" w:orient="portrait"/>
          <w:cols w:equalWidth="0" w:num="2">
            <w:col w:w="6740" w:space="696"/>
            <w:col w:w="3984"/>
          </w:cols>
          <w:pgMar w:left="240" w:top="419" w:right="239" w:bottom="1440" w:gutter="0" w:footer="0" w:header="0"/>
          <w:type w:val="continuous"/>
        </w:sectPr>
      </w:pPr>
    </w:p>
    <w:p>
      <w:pPr>
        <w:spacing w:after="0" w:line="236" w:lineRule="exact"/>
        <w:rPr>
          <w:sz w:val="20"/>
          <w:szCs w:val="20"/>
          <w:color w:val="auto"/>
        </w:rPr>
      </w:pPr>
    </w:p>
    <w:p>
      <w:pPr>
        <w:spacing w:after="0"/>
        <w:tabs>
          <w:tab w:leader="none" w:pos="3080" w:val="left"/>
          <w:tab w:leader="none" w:pos="3360" w:val="left"/>
        </w:tabs>
        <w:rPr>
          <w:sz w:val="20"/>
          <w:szCs w:val="20"/>
          <w:color w:val="auto"/>
        </w:rPr>
      </w:pPr>
      <w:r>
        <w:rPr>
          <w:rFonts w:ascii="Arial" w:cs="Arial" w:eastAsia="Arial" w:hAnsi="Arial"/>
          <w:sz w:val="18"/>
          <w:szCs w:val="18"/>
          <w:color w:val="auto"/>
        </w:rPr>
        <w:t>Antibodies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color w:val="auto"/>
        </w:rPr>
        <w:t>Finalized preparations for initiation of clinical</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program for the Dll4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284" w:right="500" w:hanging="284"/>
        <w:spacing w:after="0" w:line="258" w:lineRule="auto"/>
        <w:tabs>
          <w:tab w:leader="none" w:pos="28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Initiate Phase 1 trial for the Dll4 antibody in oncology</w:t>
      </w:r>
    </w:p>
    <w:p>
      <w:pPr>
        <w:spacing w:after="0" w:line="1" w:lineRule="exact"/>
        <w:rPr>
          <w:rFonts w:ascii="Arial" w:cs="Arial" w:eastAsia="Arial" w:hAnsi="Arial"/>
          <w:sz w:val="18"/>
          <w:szCs w:val="18"/>
          <w:b w:val="1"/>
          <w:bCs w:val="1"/>
          <w:color w:val="auto"/>
        </w:rPr>
      </w:pPr>
    </w:p>
    <w:p>
      <w:pPr>
        <w:ind w:left="284" w:right="440" w:hanging="284"/>
        <w:spacing w:after="0" w:line="250" w:lineRule="auto"/>
        <w:tabs>
          <w:tab w:leader="none" w:pos="28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Report data from Phase 1 trial of REGN88 in rheumatoid arthritis</w:t>
      </w:r>
    </w:p>
    <w:p>
      <w:pPr>
        <w:ind w:left="284" w:right="240" w:hanging="284"/>
        <w:spacing w:after="0" w:line="261" w:lineRule="auto"/>
        <w:tabs>
          <w:tab w:leader="none" w:pos="27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Advance a third antibody candidate into clinical development</w:t>
      </w:r>
    </w:p>
    <w:p>
      <w:pPr>
        <w:spacing w:after="0" w:line="200" w:lineRule="exact"/>
        <w:rPr>
          <w:sz w:val="20"/>
          <w:szCs w:val="20"/>
          <w:color w:val="auto"/>
        </w:rPr>
      </w:pPr>
    </w:p>
    <w:p>
      <w:pPr>
        <w:sectPr>
          <w:pgSz w:w="11900" w:h="16838" w:orient="portrait"/>
          <w:cols w:equalWidth="0" w:num="2">
            <w:col w:w="6720" w:space="716"/>
            <w:col w:w="3984"/>
          </w:cols>
          <w:pgMar w:left="240" w:top="419" w:right="239" w:bottom="1440" w:gutter="0" w:footer="0" w:header="0"/>
          <w:type w:val="continuous"/>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ARCALYST™ (rilonacept) Product Revenue and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In late March 2008, ARCALYST™ became available for prescription in the United States for the treatment of CAPS and we made our first shipments of ARCALYST™ to our distributors. We will recognize revenue from product sales in accordance with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(SAB 104). Revenue from product sales is recognized when persuasive evidence of an arrangement exists, title to product and associated risk of loss has passed to the customer, the price is fixed or determinable, collection from the customer is reasonably assured and we have no further performance obligations. When recognized, revenues from product sales will be recorded net of applicable provisions for prompt pay discounts, product returns, and estimated rebates. We will account for these reductions in accordance with Emerging Issues Task Force Issue No. 01-9, </w:t>
      </w:r>
      <w:r>
        <w:rPr>
          <w:rFonts w:ascii="Arial" w:cs="Arial" w:eastAsia="Arial" w:hAnsi="Arial"/>
          <w:sz w:val="17"/>
          <w:szCs w:val="17"/>
          <w:i w:val="1"/>
          <w:iCs w:val="1"/>
          <w:color w:val="auto"/>
        </w:rPr>
        <w:t>Accounting for Consideration Given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by a Vendor to a Customer (Including a Reseller of the Vendor’s Products) </w:t>
      </w:r>
      <w:r>
        <w:rPr>
          <w:rFonts w:ascii="Arial" w:cs="Arial" w:eastAsia="Arial" w:hAnsi="Arial"/>
          <w:sz w:val="17"/>
          <w:szCs w:val="17"/>
          <w:color w:val="auto"/>
        </w:rPr>
        <w:t>(EITF 01-9), and Statement of Financial Accounting Standards No. (SFAS) 48,</w:t>
      </w:r>
      <w:r>
        <w:rPr>
          <w:rFonts w:ascii="Arial" w:cs="Arial" w:eastAsia="Arial" w:hAnsi="Arial"/>
          <w:sz w:val="17"/>
          <w:szCs w:val="17"/>
          <w:i w:val="1"/>
          <w:iCs w:val="1"/>
          <w:color w:val="auto"/>
        </w:rPr>
        <w:t xml:space="preserve"> Revenue Recognition When Right of Return Exists</w:t>
      </w:r>
      <w:r>
        <w:rPr>
          <w:rFonts w:ascii="Arial" w:cs="Arial" w:eastAsia="Arial" w:hAnsi="Arial"/>
          <w:sz w:val="17"/>
          <w:szCs w:val="17"/>
          <w:color w:val="auto"/>
        </w:rPr>
        <w:t>, as applicable.</w:t>
      </w:r>
    </w:p>
    <w:p>
      <w:pPr>
        <w:spacing w:after="0" w:line="71"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Since we have no historical return or rebate experience for ARCALYST™, no product sales revenue has been recognized in the first quarter of 2008, and revenue recognition has been fully deferred until the right of return no longer exists and rebates have been processed, or until we can reasonably estimate returns and rebates. At March 31, 2008, deferred revenue related to ARCALYST™ product sales totaled $0.8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We began capitalizing inventory costs associated with commercial supplies of ARCALYST™ subsequent to receipt of marketing approval from the FDA on February 27, 2008. Costs for manufacturing supplies of ARCALYST™ prior to receipt of FDA approval were recognized as research and development expenses in the period incurred; therefore, these costs will not be included in cost of goods sold when those supplies of ARCALYST™ are sold. As a result, in 2008, we anticipate that ARCALYST™ cost of goods sold will be insignificant. At March 31, 2008, inventoried costs related to ARCALYST™ were inconsequential.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2008 and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color w:val="auto"/>
        </w:rPr>
        <w:t>Regeneron reported a net loss of $11.6 million, or $0.15 per share (basic and diluted), for the first quarter of 2008 compared to a net loss of $29.9 million, or $0.46 per share (basic and diluted), for the first quarter of 2007. The decrease in the Company’s net loss was principally due to revenues earned in the first quarter of 2008 in connection with our antibody collaboration with sanofi-aventis and our VEGF Trap-Eye collaboration with Bayer HealthCare, partly offset by higher research and development expenses.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three months ended March 31, 2008 and 2007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Sanofi-aventis</w:t>
            </w:r>
          </w:p>
        </w:tc>
        <w:tc>
          <w:tcPr>
            <w:tcW w:w="2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35.7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Bayer HealthCare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7"/>
        </w:trPr>
        <w:tc>
          <w:tcPr>
            <w:tcW w:w="65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contract research &amp; development revenue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Technology licensing revenue</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7"/>
        </w:trPr>
        <w:tc>
          <w:tcPr>
            <w:tcW w:w="65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r>
        <w:trPr>
          <w:trHeight w:val="20"/>
        </w:trPr>
        <w:tc>
          <w:tcPr>
            <w:tcW w:w="6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 xml:space="preserve">We recognize revenue from sanofi-aventis, in connection with our aflibercept and antibody collaborations, in accordance with SAB 104 and FASB Emerging Issue Task Force Issue No. 00-21, </w:t>
      </w:r>
      <w:r>
        <w:rPr>
          <w:rFonts w:ascii="Arial" w:cs="Arial" w:eastAsia="Arial" w:hAnsi="Arial"/>
          <w:sz w:val="17"/>
          <w:szCs w:val="17"/>
          <w:i w:val="1"/>
          <w:iCs w:val="1"/>
          <w:color w:val="auto"/>
        </w:rPr>
        <w:t>Accounting for Revenue Arrangements with Multiple Deliverables</w:t>
      </w:r>
      <w:r>
        <w:rPr>
          <w:rFonts w:ascii="Arial" w:cs="Arial" w:eastAsia="Arial" w:hAnsi="Arial"/>
          <w:sz w:val="17"/>
          <w:szCs w:val="17"/>
          <w:color w:val="auto"/>
        </w:rPr>
        <w:t xml:space="preserve"> (EITF 00-21). We earn contract research and development revenue from sanofi-aventis which, as detailed below, consists partly of reimbursement for research and development expenses and partly of the recognition of revenue related to non-refundable, up-front payments of $105.0 million related to the aflibercept collaboration and $85.0 million related to the antibody collaboration. Non-refundable, up-front payments are recorded as deferred revenue and recognized over the period over which we are obligated to perform services. We estimate our performance periods based on the specific terms of the collaboration agreements, and adjust the performance periods, if appropriate, based on the applicable facts and circumstances.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960" w:type="dxa"/>
            <w:vAlign w:val="bottom"/>
            <w:gridSpan w:val="3"/>
          </w:tcPr>
          <w:p>
            <w:pPr>
              <w:spacing w:after="0"/>
              <w:rPr>
                <w:sz w:val="20"/>
                <w:szCs w:val="20"/>
                <w:color w:val="auto"/>
              </w:rPr>
            </w:pPr>
            <w:r>
              <w:rPr>
                <w:rFonts w:ascii="Arial" w:cs="Arial" w:eastAsia="Arial" w:hAnsi="Arial"/>
                <w:sz w:val="14"/>
                <w:szCs w:val="14"/>
                <w:b w:val="1"/>
                <w:bCs w:val="1"/>
                <w:color w:val="auto"/>
              </w:rPr>
              <w:t>Sanofi-aventis Contract Research &amp; Development Revenue</w:t>
            </w: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Aflibercept:</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Regeneron expense reimbursement</w:t>
            </w:r>
          </w:p>
        </w:tc>
        <w:tc>
          <w:tcPr>
            <w:tcW w:w="2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Recognition of deferred revenue related to up-front payments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20"/>
                <w:szCs w:val="20"/>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Total aflibercept</w:t>
            </w:r>
          </w:p>
        </w:tc>
        <w:tc>
          <w:tcPr>
            <w:tcW w:w="2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Regeneron expense reimbursement</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Recognition of deferred revenue related to up-front payments</w:t>
            </w:r>
          </w:p>
        </w:tc>
        <w:tc>
          <w:tcPr>
            <w:tcW w:w="2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Total antibody</w:t>
            </w:r>
          </w:p>
        </w:tc>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8</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Sanofi-aventis’ reimbursement of Regeneron’s aflibercept expenses increased in the first quarter of 2008 compared to the same period in 2007, primarily due to higher costs related to our manufacture of aflibercept clinical supplies and higher clinical development costs. Recognition of deferred revenue related to sanofi-aventis’ up-front aflibercept payments decreased in the first quarter of 2008 compared to the same period in 2007 due to an extension of the estimated performance period over which this deferred revenue is being recognized. As of March 31, 2008, $59.1 million of the original $105.0 million of up-front payments related to aflibercept was deferred and will be recognized as revenue in future periods.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In the first quarter of 2008, sanofi-aventis’ reimbursement of Regeneron’s antibody expenses consisted of $15.1 million under the collaboration’s discovery agreement and $4.2 million of REGN88 development costs under the license agreement. Recognition of deferred revenue under the antibody collaboration related to sanofi-aventis’ $85.0 million up-front payment. As of March 31, 2008, $81.5 million of this up-front payment was deferred and will be recognized as revenue in future periods.</w:t>
      </w:r>
    </w:p>
    <w:p>
      <w:pPr>
        <w:spacing w:after="0" w:line="79"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connection with our VEGF Trap-Eye collaboration with Bayer HealthCare, through September 30, 2007, all payments received from Bayer HealthCare, including a $75.0 million non-refundable, up-front payment, a $20.0 million milestone payment (which was received in August 2007 and not considered substantive), and cost sharing reimbursements were fully deferred and included in deferred revenue. Effective in the fourth quarter of 2007, we determined the appropriate accounting policy for payments from Bayer HealthCare and commenced recognizing previously deferred payments and cost-sharing of our and Bayer HealthCare’s 2007 VEGF Trap-Eye development expenses in our Statement of Operations through a cumulative catch-up. The $75.0 million non-refundable, up-front license payment and the $20.0 million milestone payment are being recognized as contract research and development revenue over the related estimated performance period in accordance with SAB 104 and EITF 00-21. In periods when we recognize VEGF Trap-Eye development expenses that we incur under the collaboration, we also recognize, as contract research and development revenue, the portion of those VEGF Trap-Eye development expenses that is reimbursable from Bayer HealthCare. In periods when Bayer HealthCare incurs agreed upon VEGF Trap-Eye development expenses that benefit the collaboration and Regeneron, we also recognize, as additional research and development expense, the portion of Bayer HealthCare’s VEGF Trap-Eye development expenses that we are obligated to reimburse. In the first quarter of 2008, we recognized contract research and development revenue of $9.0 million from Bayer HealthCare, consisting of (i) $3.3 million related to the $75.0 million up-front licensing payment and the $20.0 million milestone payment, and (ii) $5.7 million related to the portion of our first quarter 2008 VEGF Trap-Eye development expenses that is reimbursable from Bayer HealthCare. As of March 31, 2008, $75.8 million of the up-front licensing and milestone payments was deferred and will be recognized as revenue in future periods.</w:t>
      </w:r>
    </w:p>
    <w:p>
      <w:pPr>
        <w:spacing w:after="0" w:line="75"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Other contract research and development revenue includes $1.1 million and $0.7 million, respectively, recognized in the first quarter of 2008 and 2007 in connection with our five-year grant from the NIH, which we were awarded in September 2006 as part of the NIH’s Knockout Mouse Project.</w:t>
      </w:r>
    </w:p>
    <w:p>
      <w:pPr>
        <w:spacing w:after="0" w:line="38"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In connection with our license agreements with AstraZeneca and Astellas, each of the $20.0 million annual, non-refundable payments are deferred upon receipt and recognized as revenue ratably over approximately the ensuing year of each agreement. In the first quarter of 2008 and 2007, we recognized $10.0 million and $2.1 million, respectively, of technology licensing revenue related to these agreements.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Total operating expenses increased to $72.3 million in the first quarter of 2008 from $49.4 million in the same period of 2007. Our average headcount</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increased to 714 in the first quarter of 2008 from 585 in the same period of 2007 primarily to support expanding research and development activities for our development programs, including ARCALYST </w:t>
      </w:r>
      <w:r>
        <w:rPr>
          <w:rFonts w:ascii="Arial" w:cs="Arial" w:eastAsia="Arial" w:hAnsi="Arial"/>
          <w:sz w:val="15"/>
          <w:szCs w:val="15"/>
          <w:color w:val="auto"/>
        </w:rPr>
        <w:t>TM</w:t>
      </w:r>
      <w:r>
        <w:rPr>
          <w:rFonts w:ascii="Arial" w:cs="Arial" w:eastAsia="Arial" w:hAnsi="Arial"/>
          <w:sz w:val="18"/>
          <w:szCs w:val="18"/>
          <w:color w:val="auto"/>
        </w:rPr>
        <w:t xml:space="preserve"> (rilonacept), aflibercept, VEGF Trap-Eye, and monoclonal antibodies (such as REGN88 and the Dll4 antibody).</w:t>
      </w:r>
    </w:p>
    <w:p>
      <w:pPr>
        <w:spacing w:after="0" w:line="8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Operating expenses in the first quarter of 2008 and 2007 include a total of $8.3 million and $6.6 million, respectively, of non-cash compensation expense related to employee stock option and restricted stock awards (Non-cash Compensation Expense), as detailed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rPr>
              <w:t>For the three months ended March 31, 2008</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w w:val="94"/>
              </w:rPr>
              <w:t>Expenses before</w:t>
            </w:r>
          </w:p>
        </w:tc>
        <w:tc>
          <w:tcPr>
            <w:tcW w:w="120" w:type="dxa"/>
            <w:vAlign w:val="bottom"/>
          </w:tcPr>
          <w:p>
            <w:pPr>
              <w:spacing w:after="0"/>
              <w:rPr>
                <w:sz w:val="10"/>
                <w:szCs w:val="10"/>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Non-cash</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85"/>
              </w:rPr>
              <w:t>Expenses</w:t>
            </w:r>
          </w:p>
        </w:tc>
        <w:tc>
          <w:tcPr>
            <w:tcW w:w="6660" w:type="dxa"/>
            <w:vAlign w:val="bottom"/>
            <w:vMerge w:val="restart"/>
          </w:tcPr>
          <w:p>
            <w:pPr>
              <w:spacing w:after="0"/>
              <w:rPr>
                <w:sz w:val="12"/>
                <w:szCs w:val="12"/>
                <w:color w:val="auto"/>
              </w:rPr>
            </w:pPr>
          </w:p>
        </w:tc>
        <w:tc>
          <w:tcPr>
            <w:tcW w:w="18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inclusion of Non-</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63"/>
        </w:trPr>
        <w:tc>
          <w:tcPr>
            <w:tcW w:w="580" w:type="dxa"/>
            <w:vAlign w:val="bottom"/>
            <w:tcBorders>
              <w:bottom w:val="single" w:sz="8" w:color="auto"/>
            </w:tcBorders>
            <w:vMerge w:val="continue"/>
          </w:tcPr>
          <w:p>
            <w:pPr>
              <w:spacing w:after="0"/>
              <w:rPr>
                <w:sz w:val="13"/>
                <w:szCs w:val="13"/>
                <w:color w:val="auto"/>
              </w:rPr>
            </w:pPr>
          </w:p>
        </w:tc>
        <w:tc>
          <w:tcPr>
            <w:tcW w:w="6660" w:type="dxa"/>
            <w:vAlign w:val="bottom"/>
            <w:vMerge w:val="continue"/>
          </w:tcPr>
          <w:p>
            <w:pPr>
              <w:spacing w:after="0"/>
              <w:rPr>
                <w:sz w:val="13"/>
                <w:szCs w:val="13"/>
                <w:color w:val="auto"/>
              </w:rPr>
            </w:pPr>
          </w:p>
        </w:tc>
        <w:tc>
          <w:tcPr>
            <w:tcW w:w="1820" w:type="dxa"/>
            <w:vAlign w:val="bottom"/>
            <w:gridSpan w:val="3"/>
          </w:tcPr>
          <w:p>
            <w:pPr>
              <w:jc w:val="center"/>
              <w:ind w:right="640"/>
              <w:spacing w:after="0" w:line="158" w:lineRule="exact"/>
              <w:rPr>
                <w:sz w:val="20"/>
                <w:szCs w:val="20"/>
                <w:color w:val="auto"/>
              </w:rPr>
            </w:pPr>
            <w:r>
              <w:rPr>
                <w:rFonts w:ascii="Arial" w:cs="Arial" w:eastAsia="Arial" w:hAnsi="Arial"/>
                <w:sz w:val="14"/>
                <w:szCs w:val="14"/>
                <w:b w:val="1"/>
                <w:bCs w:val="1"/>
                <w:color w:val="auto"/>
                <w:w w:val="88"/>
              </w:rPr>
              <w:t>cash Compensation</w:t>
            </w: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w:t>
            </w:r>
          </w:p>
        </w:tc>
        <w:tc>
          <w:tcPr>
            <w:tcW w:w="11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Expense</w:t>
            </w: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0"/>
              </w:rPr>
              <w:t>Expense</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rPr>
              <w:t>For the three months ended March 31, 2007</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w w:val="94"/>
              </w:rPr>
              <w:t>Expenses before</w:t>
            </w:r>
          </w:p>
        </w:tc>
        <w:tc>
          <w:tcPr>
            <w:tcW w:w="120" w:type="dxa"/>
            <w:vAlign w:val="bottom"/>
          </w:tcPr>
          <w:p>
            <w:pPr>
              <w:spacing w:after="0"/>
              <w:rPr>
                <w:sz w:val="10"/>
                <w:szCs w:val="10"/>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Non-cash</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85"/>
              </w:rPr>
              <w:t>Expenses</w:t>
            </w:r>
          </w:p>
        </w:tc>
        <w:tc>
          <w:tcPr>
            <w:tcW w:w="6660" w:type="dxa"/>
            <w:vAlign w:val="bottom"/>
            <w:vMerge w:val="restart"/>
          </w:tcPr>
          <w:p>
            <w:pPr>
              <w:spacing w:after="0"/>
              <w:rPr>
                <w:sz w:val="12"/>
                <w:szCs w:val="12"/>
                <w:color w:val="auto"/>
              </w:rPr>
            </w:pPr>
          </w:p>
        </w:tc>
        <w:tc>
          <w:tcPr>
            <w:tcW w:w="18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inclusion of Non-</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63"/>
        </w:trPr>
        <w:tc>
          <w:tcPr>
            <w:tcW w:w="580" w:type="dxa"/>
            <w:vAlign w:val="bottom"/>
            <w:tcBorders>
              <w:bottom w:val="single" w:sz="8" w:color="auto"/>
            </w:tcBorders>
            <w:vMerge w:val="continue"/>
          </w:tcPr>
          <w:p>
            <w:pPr>
              <w:spacing w:after="0"/>
              <w:rPr>
                <w:sz w:val="13"/>
                <w:szCs w:val="13"/>
                <w:color w:val="auto"/>
              </w:rPr>
            </w:pPr>
          </w:p>
        </w:tc>
        <w:tc>
          <w:tcPr>
            <w:tcW w:w="6660" w:type="dxa"/>
            <w:vAlign w:val="bottom"/>
            <w:vMerge w:val="continue"/>
          </w:tcPr>
          <w:p>
            <w:pPr>
              <w:spacing w:after="0"/>
              <w:rPr>
                <w:sz w:val="13"/>
                <w:szCs w:val="13"/>
                <w:color w:val="auto"/>
              </w:rPr>
            </w:pPr>
          </w:p>
        </w:tc>
        <w:tc>
          <w:tcPr>
            <w:tcW w:w="1820" w:type="dxa"/>
            <w:vAlign w:val="bottom"/>
            <w:gridSpan w:val="3"/>
          </w:tcPr>
          <w:p>
            <w:pPr>
              <w:jc w:val="center"/>
              <w:ind w:right="640"/>
              <w:spacing w:after="0" w:line="158" w:lineRule="exact"/>
              <w:rPr>
                <w:sz w:val="20"/>
                <w:szCs w:val="20"/>
                <w:color w:val="auto"/>
              </w:rPr>
            </w:pPr>
            <w:r>
              <w:rPr>
                <w:rFonts w:ascii="Arial" w:cs="Arial" w:eastAsia="Arial" w:hAnsi="Arial"/>
                <w:sz w:val="14"/>
                <w:szCs w:val="14"/>
                <w:b w:val="1"/>
                <w:bCs w:val="1"/>
                <w:color w:val="auto"/>
                <w:w w:val="88"/>
              </w:rPr>
              <w:t>cash Compensation</w:t>
            </w: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w:t>
            </w:r>
          </w:p>
        </w:tc>
        <w:tc>
          <w:tcPr>
            <w:tcW w:w="11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Expense</w:t>
            </w: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0"/>
              </w:rPr>
              <w:t>Expense</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Research and development expenses increased to $61.3 million in the first quarter of 2008 from $41.2 million in the same period of 2007. The following table summarizes the major categories of our research and development expenses for the three months ended March 31, 2008 and 2007: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w w:val="96"/>
              </w:rPr>
              <w:t>For the three months ended 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and benefits (1)</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manufacturing costs (2)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Research and preclinical development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Cost-sharing of Bayer HealthCare VEGF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Trap-Eye development expenses (3)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2"/>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u w:val="single" w:color="auto"/>
                <w:color w:val="auto"/>
              </w:rPr>
              <w:t>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r>
              <w:rPr>
                <w:rFonts w:ascii="Arial" w:cs="Arial" w:eastAsia="Arial" w:hAnsi="Arial"/>
                <w:sz w:val="18"/>
                <w:szCs w:val="18"/>
                <w:u w:val="single" w:color="auto"/>
                <w:color w:val="auto"/>
              </w:rPr>
              <w:t>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$4.2 million and $3.1 million of Non-cash Compensation Expense for the three months ended March 31, 2008 and 2007, respectively.</w:t>
      </w:r>
    </w:p>
    <w:p>
      <w:pPr>
        <w:spacing w:after="0" w:line="196"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20" w:hanging="452"/>
        <w:spacing w:after="0" w:line="28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$0.7 million of Non-cash Compensation Expense for both the three months ended March 31, 2008 and 2007.</w:t>
      </w:r>
    </w:p>
    <w:p>
      <w:pPr>
        <w:spacing w:after="0" w:line="16" w:lineRule="exact"/>
        <w:rPr>
          <w:rFonts w:ascii="Arial" w:cs="Arial" w:eastAsia="Arial" w:hAnsi="Arial"/>
          <w:sz w:val="17"/>
          <w:szCs w:val="17"/>
          <w:color w:val="auto"/>
        </w:rPr>
      </w:pPr>
    </w:p>
    <w:p>
      <w:pPr>
        <w:jc w:val="both"/>
        <w:ind w:left="460" w:right="140" w:hanging="452"/>
        <w:spacing w:after="0" w:line="31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Under our collaboration with Bayer HealthCare, in periods when Bayer HealthCare incurs VEGF Trap-Eye development expenses, we also recognize, as additional research and development expense, the portion of their VEGF Trap-Eye development expenses that we are obligated to reimburse. In the fourth quarter of 2007, we commenced recognizing cost-sharing of our and Bayer Healthcare’s VEGF Trap-Eye development expenses.</w:t>
      </w:r>
    </w:p>
    <w:p>
      <w:pPr>
        <w:spacing w:after="0" w:line="39"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Payroll and benefits increased principally due to the increase in employee headcount, as described above. Clinical trial expenses increased due primarily to higher costs related to our Phase 3 study of VEGF Trap-Eye in wet AMD, which we initiated in the third quarter of 2007, and higher ARCALYST™ costs, primarily related to our Phase 2 gout-induced flares clinical study. These increases were partially offset by lower costs related to our Phase 1 and 2 studies of VEGF Trap-Eye in wet AMD. Clinical manufacturing costs increased due primarily to higher expenses related to aflibercept, VEGF Trap-Eye, and our Dll4 antibody, partially offset by lower costs related to ARCALYST™ and REGN88. Research and preclinical development costs decreased primarily due to lower preclinical costs associated with aflibercept, VEGF Trap-Eye, and REGN88, partially offset by higher costs related to our Dll4 antibody. Occupancy and other operating costs primarily increased in connection with our higher headcount and to support our expanded research and development activities.</w:t>
      </w:r>
    </w:p>
    <w:p>
      <w:pPr>
        <w:spacing w:after="0" w:line="5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(including ARCALYST™ for the treatment of CAPS prior to receipt of marketing approval from the FDA in February 2008) are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Project Costs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w w:val="96"/>
              </w:rPr>
              <w:t>For the three months ended 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w w:val="99"/>
              </w:rPr>
              <w:t>(In millions)</w:t>
            </w: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ARCALYST™ (rilonacept)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Aflibercept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VEGF Trap-Eye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REGN88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research programs &amp; unallocated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2"/>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u w:val="single" w:color="auto"/>
                <w:color w:val="auto"/>
              </w:rPr>
              <w:t>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r>
              <w:rPr>
                <w:rFonts w:ascii="Arial" w:cs="Arial" w:eastAsia="Arial" w:hAnsi="Arial"/>
                <w:sz w:val="18"/>
                <w:szCs w:val="18"/>
                <w:u w:val="single" w:color="auto"/>
                <w:color w:val="auto"/>
              </w:rPr>
              <w:t>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 1, 2, and 3. The most significant costs in clinical development are in Phase 3 clinical trials, as they tend to be the longest and largest studies in the drug development process. Following successful completion of Phase 3 clinical trials for a biological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ARCALYST™ (rilonacept), aflibercept, and VEGF Trap-Eye in different disease indications.</w:t>
      </w:r>
    </w:p>
    <w:p>
      <w:pPr>
        <w:spacing w:after="0" w:line="8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Item 1A, “Risk Factors” under “Risks Related to ARCALYST™ and the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70"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the first quarter of 2008, we received FDA approval for ARCALYST™ for the treatment of CAPS, a group of rare, inherited auto-inflammatory diseases. These rare diseases affect a very small group of people. As a result, we can not predict whether the commercialization of ARCALYST™ in CAPS will result in a significant net cash benefit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Selling, general, and administrative expenses increased to $11.0 million in the first quarter of 2008 from $8.2 million in the same period of 2007 due in part to costs associated with the launch of ARCALYST</w:t>
      </w:r>
      <w:r>
        <w:rPr>
          <w:rFonts w:ascii="Arial" w:cs="Arial" w:eastAsia="Arial" w:hAnsi="Arial"/>
          <w:sz w:val="15"/>
          <w:szCs w:val="15"/>
          <w:color w:val="auto"/>
        </w:rPr>
        <w:t>TM</w:t>
      </w:r>
      <w:r>
        <w:rPr>
          <w:rFonts w:ascii="Arial" w:cs="Arial" w:eastAsia="Arial" w:hAnsi="Arial"/>
          <w:sz w:val="18"/>
          <w:szCs w:val="18"/>
          <w:color w:val="auto"/>
        </w:rPr>
        <w:t xml:space="preserve"> in March 2008. In addition, during the first quarter of 2008, we incurred (i) higher compensation expense due primarily to increases in selling and administrative headcount to support our expanded research and development activities and ARCALYST™ commercialization activities, (ii) higher recruitment and related costs associated with expanding our headcount, and (iii) higher legal expenses related to general corporate matters.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jc w:val="both"/>
        <w:ind w:right="120" w:firstLine="225"/>
        <w:spacing w:after="0" w:line="276" w:lineRule="auto"/>
        <w:rPr>
          <w:sz w:val="20"/>
          <w:szCs w:val="20"/>
          <w:color w:val="auto"/>
        </w:rPr>
      </w:pPr>
      <w:r>
        <w:rPr>
          <w:rFonts w:ascii="Arial" w:cs="Arial" w:eastAsia="Arial" w:hAnsi="Arial"/>
          <w:sz w:val="17"/>
          <w:szCs w:val="17"/>
          <w:color w:val="auto"/>
        </w:rPr>
        <w:t>Investment income increased to $7.3 million in the first quarter of 2008 from $6.7 million in the comparable quarter of 2007. The increase in investment income resulted primarily from higher balances of cash and marketable securities, due primarily to our receipt from sanofi-aventis of $312.0 million for the purchase of 12 million shares of our Common Stock in December 2007 and the $85.0 up-front payment related to the antibody collaboration, partially offset by lower effective interest rates. Interest expense was $3.0 million in the first quarter of 2008 and 2007. Interest expense is attributable to $200.0 million of convertible notes issued in October 2001, which mature in October 2008 and bear interest at 5.5% per annum.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Fair Value of Financial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Statement of Financial Accounting Standard No. 157</w:t>
      </w:r>
    </w:p>
    <w:p>
      <w:pPr>
        <w:spacing w:after="0" w:line="117"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 xml:space="preserve">In September 2006, the Financial Accounting Standards Board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157 defines fair value, establishes a framework for measuring fair value in accordance with accounting principles generally accepted in the United States, and expands disclosures about fair value measurements. We adopted the provisions of SFAS 157 as of January 1, 2008, for financial instruments. Although the adoption of SFAS 157 did not materially impact our financial condition, results of operations, or cash flows, we are now required to provide additional disclosures as part of our financial statements.</w:t>
      </w:r>
    </w:p>
    <w:p>
      <w:pPr>
        <w:spacing w:after="0" w:line="80"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color w:val="auto"/>
        </w:rPr>
        <w:t>SFAS 157 establishes a three-tier fair value hierarchy, which prioritizes the inputs used in measuring fair value. The three tiers are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 xml:space="preserve">We have determined that the provisions of SFAS 157 are applicable to our marketable securities, which totaled $305.4 million as of March 31, 2008, and consisted of obligations of the U.S. government and its agencies, investment grade debt securities issued by corporations, governments and financial institutions, asset-backed securities, and commercial paper. All of our marketable securities are considered to be “available for sale,” as defined by SFAS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At March 31, 2008, less than 3% of our marketable securities represented Level 3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other marketable securities represented Level 2 assets. During the quarter ended March 31, 2008, there were no purchases, sales, or maturities of Level 3 marketable securities, and no transfers of marketable securities between the Level 2 and Level 3 classifications. We held no Level 1 marketable securities during the quarter.</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methods for valuing our marketable securities are described in Note 5 to our condensed financial statements included in this quarterly report on Form</w:t>
      </w:r>
    </w:p>
    <w:p>
      <w:pPr>
        <w:spacing w:after="0" w:line="4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10-Q. With respect to valuations received from our investment advisors for pricing our Level 2 marketable securities, we review our investment advisors’ policies and procedures for valuation. For valuations that we determine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our Level 3 marketable securities, we regularly monitor these securities and adjust their valuations as deemed appropriate based on the facts and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revenue earned under our past and present research and development and contract manufacturing agreements, including our agreements with sanofi-aventis and Bayer HealthCare, and investment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2008 and 2007</w:t>
      </w:r>
    </w:p>
    <w:p>
      <w:pPr>
        <w:spacing w:after="0" w:line="117" w:lineRule="exact"/>
        <w:rPr>
          <w:sz w:val="20"/>
          <w:szCs w:val="20"/>
          <w:color w:val="auto"/>
        </w:rPr>
      </w:pPr>
    </w:p>
    <w:p>
      <w:pPr>
        <w:ind w:right="80" w:firstLine="215"/>
        <w:spacing w:after="0" w:line="264" w:lineRule="auto"/>
        <w:rPr>
          <w:sz w:val="20"/>
          <w:szCs w:val="20"/>
          <w:color w:val="auto"/>
        </w:rPr>
      </w:pPr>
      <w:r>
        <w:rPr>
          <w:rFonts w:ascii="Arial" w:cs="Arial" w:eastAsia="Arial" w:hAnsi="Arial"/>
          <w:sz w:val="18"/>
          <w:szCs w:val="18"/>
          <w:color w:val="auto"/>
        </w:rPr>
        <w:t>At March 31, 2008, we had $827.9 million in cash, cash equivalents, restricted cash, and marketable securities compared with $846.3 million at December 31, 2007. In February 2008, we received a $20.0 million annual, non-refundable payment in connection with our non-exclusive license agreement with AstraZeneca.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Operations: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cash used in operations was $17.9 million in the first quarter of 2008 compared to $9.2 million in the first quarter of 2007. Our net losses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$11.6 million in the first quarter of 2008 and $29.9 million in the first quarter of 2007 included $8.3 million and $6.6 million, respectively, of Non-cash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w:t>
      </w:r>
    </w:p>
    <w:p>
      <w:pPr>
        <w:spacing w:after="0" w:line="103" w:lineRule="exact"/>
        <w:rPr>
          <w:sz w:val="20"/>
          <w:szCs w:val="20"/>
          <w:color w:val="auto"/>
        </w:rPr>
      </w:pPr>
    </w:p>
    <w:p>
      <w:pPr>
        <w:ind w:right="120" w:firstLine="215"/>
        <w:spacing w:after="0" w:line="259" w:lineRule="auto"/>
        <w:rPr>
          <w:sz w:val="20"/>
          <w:szCs w:val="20"/>
          <w:color w:val="auto"/>
        </w:rPr>
      </w:pPr>
      <w:r>
        <w:rPr>
          <w:rFonts w:ascii="Arial" w:cs="Arial" w:eastAsia="Arial" w:hAnsi="Arial"/>
          <w:sz w:val="18"/>
          <w:szCs w:val="18"/>
          <w:color w:val="auto"/>
        </w:rPr>
        <w:t>At March 31, 2008, accounts receivable increased by $14.6 million, compared to end-of-year 2007, primarily due to higher receivable balances related to our collaborations with sanofi-aventis. Accounts payable, accrued expenses, and other liabilities decreased by $7.6 million at March 31, 2008, compared to end-of-year 2007, due primarily to reductions in accrued payroll costs and the amount of the cost-sharing payment due to Bayer HealthCare in connection with the companies’ VEGF Trap-Eye collaboration.</w:t>
      </w:r>
    </w:p>
    <w:p>
      <w:pPr>
        <w:spacing w:after="0" w:line="79" w:lineRule="exact"/>
        <w:rPr>
          <w:sz w:val="20"/>
          <w:szCs w:val="20"/>
          <w:color w:val="auto"/>
        </w:rPr>
      </w:pPr>
    </w:p>
    <w:p>
      <w:pPr>
        <w:ind w:right="140" w:firstLine="215"/>
        <w:spacing w:after="0" w:line="257" w:lineRule="auto"/>
        <w:rPr>
          <w:sz w:val="20"/>
          <w:szCs w:val="20"/>
          <w:color w:val="auto"/>
        </w:rPr>
      </w:pPr>
      <w:r>
        <w:rPr>
          <w:rFonts w:ascii="Arial" w:cs="Arial" w:eastAsia="Arial" w:hAnsi="Arial"/>
          <w:sz w:val="18"/>
          <w:szCs w:val="18"/>
          <w:color w:val="auto"/>
        </w:rPr>
        <w:t>At March 31, 2007, accounts receivable balances increased by $26.1 million, compared to end-of-year 2006, primarily due to a $20.0 million non-refundable, up-front payment which was receivable in connection with our non-exclusive license agreement with Astellas. Our deferred revenue balances at March 31, 2007 increased by $37.7 million, compared to end-of-year 2006, primarily due to the initial $20.0 million non-refundable, up-front payments received or receivable from AstraZeneca and Astellas as of March 31, 2007. These initial up-front payments have been recognized as revenue ratably over approximately the ensuing year of each non-exclusive license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Net cash provided by investing activities was $37.9 million in the first quarter of 2008 compared to net cash used in investing activities of $74.1 million in the same period of 2007, due primarily to a decrease in purchases of marketable securities net of sales or maturities. In the first quarter of 2008, sales or maturities exceeded purchases of marketable securities by $41.0</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million, whereas in the first quarter of 2007, purchases of marketable securities exceeded sales or maturities by $72.9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Cash provided by financing activities decreased slightly to $1.9 million in the first quarter of 2008 from $2.0 million in the same period in 2007 due to a decrease in issuances of Common Stock in connection with exercises of employee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Our additions to property, plant, and equipment totaled $2.8 million and $1.0 million for the first three months of 2008 and 2007, respectively. During the remainder of 2008, we expect to incur approximately $55 to $65 million in capital expenditures primarily in connection with expanding our manufacturing capacity at our Rensselaer, New York facilities and tenant improvements and related costs in connection with our new Tarrytown operating lease. We expect that approximately $30 million of projected 2008 Tarrytown tenant improvement costs will be reimbursed by our landlord in connection with our new operating lease. We currently anticipate that other 2008 capital expenditures will be funded from our existing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17"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In 2001, we issued $200.0 million aggregate principal amount of convertible senior subordinated notes, which bear interest at 5.5% per annum, payable semi-annually, and mature in October 2008. The notes are convertible into shares of our Common Stock at a conversion price of approximately $30.25 per share, subject to adjustment in certain circumstances. If the price per share of our Common Stock is above $30.25 at maturity, we would expect the notes to convert into shares of Common Stock. Otherwise, we will be required to repay the $200.0 million aggregate principal amount of the notes from our existing capital resources or refinance the notes prior to maturity; however, we can provide no assurance that we will be able to successfully arrange such refinancing.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expect to continue to incur substantial funding requirements primarily for research and development activities (including preclinical and clinical testing). Before taking into account reimbursements from collaborators and potential repayment of our convertible debt (as described above), and exclusive of product revenues and costs in connection with ARCALYST™ (rilonacept) for the treatment of CAPS, we currently anticipate that approximately 55-65% of our expenditures for 2008 will be directed toward the preclinical and clinical development of product candidates, including ARCALYST™ in other indications, aflibercept, VEGF Trap-Eye, and monoclonal antibodies (including REGN88 and the Dll4 antibody); approximately 15-20% of our expenditures for 2008 will be applied to our basic research and early preclinical activities, and the remainder of our expenditures for 2008 will be used for the continued development of our novel technology platforms, capital expenditures, and general corporate purposes.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We currently anticipate that in 2008 the commercialization of ARCALYST™ (rilonacept) for the treatment of CAPS will not materially enhance or otherwise materially impact the Company’s cash flows.</w:t>
      </w:r>
    </w:p>
    <w:p>
      <w:pPr>
        <w:spacing w:after="0" w:line="62"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amount we need to fund our operations will depend on various factors, including the status of competitive products, sales of ARCALYST™,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70"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62"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We believe that our existing capital resources, including funding we are entitled to receive under our collaboration and licensing agreements, will enable us to meet operating needs through at least 2012.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the commercialization of ARCALYST™ and the cost of preclinical and clinical development of our product candidates. Other than letters of credit totaling $1.7 million, including a $1.6 million letter of credit issued to our landlord in connection with our new operating lease for facilities in Tarrytown, New York, we have no off-balance sheet arrangements. In addition, we do not guarantee the obligations of any other entity. As of March 31, 2008,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21"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 xml:space="preserve">In November 2007, the Emerging Issues Task Force issued Statement No. 07-1, </w:t>
      </w:r>
      <w:r>
        <w:rPr>
          <w:rFonts w:ascii="Arial" w:cs="Arial" w:eastAsia="Arial" w:hAnsi="Arial"/>
          <w:sz w:val="17"/>
          <w:szCs w:val="17"/>
          <w:i w:val="1"/>
          <w:iCs w:val="1"/>
          <w:color w:val="auto"/>
        </w:rPr>
        <w:t>Accounting for Collaborative Arrangements</w:t>
      </w:r>
      <w:r>
        <w:rPr>
          <w:rFonts w:ascii="Arial" w:cs="Arial" w:eastAsia="Arial" w:hAnsi="Arial"/>
          <w:sz w:val="17"/>
          <w:szCs w:val="17"/>
          <w:color w:val="auto"/>
        </w:rPr>
        <w:t xml:space="preserve"> (“EITF 07-1”). EITF 07-01 defines collaborative arrangements and establishes reporting requirements for transactions between participants in a collaborative arrangement and between participants in the arrangement and third parties. EITF 07-1 also establishes the appropriate income statement presentation and classification for joint operating activities and payments between participants, as well as the sufficiency of the disclosures related to these arrangements. EITF 07-1 is effective for fiscal years beginning after December 15, 2008, and will be applied retrospectively as a change in accounting principle for collaborative arrangements existing at the effective date. We are required to adopt EITF 07-1 for the fiscal year beginning January 1, 2009. Our management does not anticipate that the adoption of EITF 07-1 will have a material impact on our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investment grade corporate, asset-backed, and U.S. government securities. We do not believe we are materially exposed to changes in interest rates. Under our current policies, we do not use interest rate derivative instruments to manage exposure to interest rate changes. We estimated that a one percent unfavorable change in interest rates would result in approximately a $1.8 million decrease in the fair value of our investment portfolio at both March 31, 2008 and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the second half of 2007, we recognized a $5.9 million charge related to marketable securities which we considered to be other than temporarily impaired in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is accumulated and communicated to our management, including our chief executive officer and chief financial officer, as appropriate to allow timely decisions regarding required disclosure.</w:t>
      </w:r>
    </w:p>
    <w:p>
      <w:pPr>
        <w:spacing w:after="0" w:line="62"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March 31, 2008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For a description of a dispute between us and Cellectis Inc. regarding the scope of our license agreement with them with respect to a family of patents related to homologous recombination, see Item 1A “Risk Factors” – “Risks Related to Intellectual Property”; “</w:t>
      </w:r>
      <w:r>
        <w:rPr>
          <w:rFonts w:ascii="Arial" w:cs="Arial" w:eastAsia="Arial" w:hAnsi="Arial"/>
          <w:sz w:val="18"/>
          <w:szCs w:val="18"/>
          <w:i w:val="1"/>
          <w:iCs w:val="1"/>
          <w:color w:val="auto"/>
        </w:rPr>
        <w:t>We may be restricted in our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and/or commercialization activities by, and could be subject to damage awards if we are found to have infringed, third party patents or other proprietary rights</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62"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From inception on January 8, 1988 through March 31, 2008, we had a cumulative loss of $804.8 million.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3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62"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We will need to expend substantial resources for research and development, including costs associated with clinical testing of our product candidates. We believe our existing capital</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resources, including funding we are entitled to receive under our collaboration agreements, will enable us to meet operating needs through at least 2012; however, one or more of our collaboration agreements may terminate, our projected revenue may decrease, or our expenses may increase and that would lead to our capital being consumed significantly before such time. 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significant amount of debt that is scheduled to mature in 2008.</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We have $200.0 million of convertible debt that, unless converted to shares of our Common Stock, will mature in October 2008. We could be required to use a significant portion of our cash to repay the principal amount of our debt.</w:t>
      </w:r>
    </w:p>
    <w:p>
      <w:pPr>
        <w:spacing w:after="0" w:line="166" w:lineRule="exact"/>
        <w:rPr>
          <w:sz w:val="20"/>
          <w:szCs w:val="20"/>
          <w:color w:val="auto"/>
        </w:rPr>
      </w:pPr>
    </w:p>
    <w:p>
      <w:pPr>
        <w:ind w:right="4200"/>
        <w:spacing w:after="0" w:line="425" w:lineRule="auto"/>
        <w:rPr>
          <w:sz w:val="20"/>
          <w:szCs w:val="20"/>
          <w:color w:val="auto"/>
        </w:rPr>
      </w:pPr>
      <w:r>
        <w:rPr>
          <w:rFonts w:ascii="Arial" w:cs="Arial" w:eastAsia="Arial" w:hAnsi="Arial"/>
          <w:sz w:val="16"/>
          <w:szCs w:val="16"/>
          <w:b w:val="1"/>
          <w:bCs w:val="1"/>
          <w:color w:val="auto"/>
        </w:rPr>
        <w:t xml:space="preserve">Risks Related to ARCALYST™ (rilonacept) and the Development of Our Product Candidates </w:t>
      </w:r>
      <w:r>
        <w:rPr>
          <w:rFonts w:ascii="Arial" w:cs="Arial" w:eastAsia="Arial" w:hAnsi="Arial"/>
          <w:sz w:val="16"/>
          <w:szCs w:val="16"/>
          <w:b w:val="1"/>
          <w:bCs w:val="1"/>
          <w:i w:val="1"/>
          <w:iCs w:val="1"/>
          <w:color w:val="auto"/>
        </w:rPr>
        <w:t>Successful development of any of our product candidates is highly uncertain.</w:t>
      </w:r>
    </w:p>
    <w:p>
      <w:pPr>
        <w:spacing w:after="0" w:line="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8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are studying aflibercept, VEGF Trap-Eye, and ARCALYST™, in a wide variety of indications. We are studying aflibercept in a variety of cancer settings, VEGF Trap-Eye in different eye diseases and ophthalmologic indications, and ARCALYST™ in a variety of systemic inflammatory disorders. Many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being, or are planned to be, studied. In fact, our product candidates may not demonstrate the requisite efficacy and safety profile to support the continued development for any of the indications or uses.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yield unfavorable results, we will have to delay or may be unable to obtain regulatory approval for our product candidates.</w:t>
      </w:r>
    </w:p>
    <w:p>
      <w:pPr>
        <w:spacing w:after="0" w:line="16"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58"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our product candidate(s), and our business, financial condition, and results of operations may be materially harmed.</w:t>
      </w:r>
    </w:p>
    <w:p>
      <w:pPr>
        <w:spacing w:after="0" w:line="6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5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Our aflibercept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These serious and potentially life-threatening risks, based on the clinical and preclinical experience of systemically delivered VEGF inhibitors, including the systemic delivery of the VEGF Trap, include bleeding, intestinal perforation, hypertension, and proteinuria. These serious side effects and other serious side effects have been reported in our systemic VEGF Trap studies in cancer and diseases of the eye. In addition, patients given infusions of any protein, including the VEGF Trap delivered through intravenous administration, may develop severe hypersensitivity reactions or infusion reactions. Other VEGF blockers have reported side effects that became evident only after large scale trials or after marketing approval and large number of patients were treated. These include side effects that we have not yet seen in our trials such as heart attack and stroke. These and other complications or side effects could harm the development of aflibercept for the treatment of cancer or VEGF Trap-Eye for the treatment of diseases of the eye.</w:t>
      </w:r>
    </w:p>
    <w:p>
      <w:pPr>
        <w:spacing w:after="0" w:line="59"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We have tested ARCALYST™ in only a small number of patients with CAPS. As more patients begin to use our product and as we test it in new disease settings, new risks and side effects associated with ARCALYST™ may be discovered, and risks previously viewed as inconsequential could be determined to be significant. Like cytokine antagonists such as Kineret</w:t>
      </w:r>
      <w:r>
        <w:rPr>
          <w:rFonts w:ascii="Arial" w:cs="Arial" w:eastAsia="Arial" w:hAnsi="Arial"/>
          <w:sz w:val="14"/>
          <w:szCs w:val="14"/>
          <w:color w:val="auto"/>
        </w:rPr>
        <w:t>®</w:t>
      </w:r>
      <w:r>
        <w:rPr>
          <w:rFonts w:ascii="Arial" w:cs="Arial" w:eastAsia="Arial" w:hAnsi="Arial"/>
          <w:sz w:val="17"/>
          <w:szCs w:val="17"/>
          <w:color w:val="auto"/>
        </w:rPr>
        <w:t xml:space="preserve"> (Amgen Inc.), Enbrel </w:t>
      </w:r>
      <w:r>
        <w:rPr>
          <w:rFonts w:ascii="Arial" w:cs="Arial" w:eastAsia="Arial" w:hAnsi="Arial"/>
          <w:sz w:val="14"/>
          <w:szCs w:val="14"/>
          <w:color w:val="auto"/>
        </w:rPr>
        <w:t>Ò</w:t>
      </w:r>
      <w:r>
        <w:rPr>
          <w:rFonts w:ascii="Arial" w:cs="Arial" w:eastAsia="Arial" w:hAnsi="Arial"/>
          <w:sz w:val="17"/>
          <w:szCs w:val="17"/>
          <w:color w:val="auto"/>
        </w:rPr>
        <w:t xml:space="preserve"> (Immunex Corporation), and Remicade </w:t>
      </w:r>
      <w:r>
        <w:rPr>
          <w:rFonts w:ascii="Arial" w:cs="Arial" w:eastAsia="Arial" w:hAnsi="Arial"/>
          <w:sz w:val="14"/>
          <w:szCs w:val="14"/>
          <w:color w:val="auto"/>
        </w:rPr>
        <w:t>Ò</w:t>
      </w:r>
      <w:r>
        <w:rPr>
          <w:rFonts w:ascii="Arial" w:cs="Arial" w:eastAsia="Arial" w:hAnsi="Arial"/>
          <w:sz w:val="17"/>
          <w:szCs w:val="17"/>
          <w:color w:val="auto"/>
        </w:rPr>
        <w:t xml:space="preserve"> (Centocor, Inc.), ARCALYST™ affects the immune defense system of the body by blocking some of its functions. Therefore, ARCALYST™ may interfere with the body’s ability to fight infections. Treatment with Kineret</w:t>
      </w:r>
      <w:r>
        <w:rPr>
          <w:rFonts w:ascii="Arial" w:cs="Arial" w:eastAsia="Arial" w:hAnsi="Arial"/>
          <w:sz w:val="14"/>
          <w:szCs w:val="14"/>
          <w:color w:val="auto"/>
        </w:rPr>
        <w:t>®</w:t>
      </w:r>
      <w:r>
        <w:rPr>
          <w:rFonts w:ascii="Arial" w:cs="Arial" w:eastAsia="Arial" w:hAnsi="Arial"/>
          <w:sz w:val="17"/>
          <w:szCs w:val="17"/>
          <w:color w:val="auto"/>
        </w:rPr>
        <w:t xml:space="preserve"> (Amgen), a medication that works through the inhibition of IL-1, has been associated with an increased risk of serious infections, and serious, life threatening infections have been reported in patients taking ARCALYST™. These or other complications or side effects could cause regulatory authorities to revoke approvals of ARCALYST™. Alternatively, we may be required to conduct additional clinical trials, make changes in the labeling of our product, or limit or abandon our efforts to develop ARCALYST™ in new disease settings. These side effects may also result in a reduction, or even the elimination, of sales of ARCALYST™ in approved indications.</w:t>
      </w:r>
    </w:p>
    <w:p>
      <w:pPr>
        <w:spacing w:after="0" w:line="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ARCALYST ™ (rilonacept) and our product candidates in development are recombinant proteins that could cause an immune response, resulting in the creation of harmful or neutralizing antibodies against the therapeutic protein.</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trials have been completed. Antibodies directed against the receptor domains of rilonacept were detected in patients with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CAPS after treatment with ARCALYST™ (rilonacept). Nineteen of 55 subjects (35%) who received ARCALYST™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adversely impact the development of such candidates.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1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aflibercept, VEGF Trap-Eye, and REGN88,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either because of the way the antibodies are discovered or produced or because of a proprietary position covering an antibody or the antibody’s target.</w:t>
      </w:r>
    </w:p>
    <w:p>
      <w:pPr>
        <w:spacing w:after="0" w:line="80"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are aware of patents and pending applications owned by Genentech that claim certain chimeric VEGF receptor compositions. Although we do not believe that aflibercept or VEGF Trap-Eye infringes any valid claim in these patents or patent applications, Genentech could initiate a lawsuit for patent infringement and assert that its patents are valid and cover aflibercept or VEGF Trap-Eye. Genentech may be motivated to initiate such a lawsuit at some point in an effort to impair our ability to develop and sell aflibercept or VEGF Trap-Eye, which 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aflibercept or VEGF Trap-Eye or in a damage award.</w:t>
      </w:r>
    </w:p>
    <w:p>
      <w:pPr>
        <w:spacing w:after="0" w:line="8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are aware of patents and pending applications owned by Roche that claim antibodies to the interleukin-6 receptor and methods of treating rheumatoid arthritis with such antibodies. We are developing REGN88, an antibody to the interleukin-6 receptor,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79"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Further, we are aware of a number of other third party patent applications that, if granted, with claims as currently drafted, may cover our current or planned activities. We cannot assure you that our products and/or actions in manufacturing and selling our product candidates will not infringe such patents.</w:t>
      </w:r>
    </w:p>
    <w:p>
      <w:pPr>
        <w:spacing w:after="0" w:line="16"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December 2003, we entered into a non-exclusive license agreement with Cellectis Inc. that granted us certain rights in a family of patents relating to homologous recombination. Cellectis now claims that our use of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agreements with AstraZeneca, Astellas, and sanofi-aventis are outside the scope of our license from Cellectis. As a result, Cellectis claims that it has terminated our non-exclusive license agreement and has requested that we cease and desist from using the patents licensed from Cellectis. We disagree with Cellectis’ position and are in discussions with Cellectis regarding this matter. If we are not able to resolve this dispute, Cellectis may commence a lawsuit against us, sanofi-aventis,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licensees, and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customers alleging infringement of the patents we licensed from Cellectis.</w:t>
      </w:r>
    </w:p>
    <w:p>
      <w:pPr>
        <w:spacing w:after="0" w:line="85" w:lineRule="exact"/>
        <w:rPr>
          <w:sz w:val="20"/>
          <w:szCs w:val="20"/>
          <w:color w:val="auto"/>
        </w:rPr>
      </w:pPr>
    </w:p>
    <w:p>
      <w:pPr>
        <w:ind w:right="120" w:firstLine="215"/>
        <w:spacing w:after="0" w:line="264"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16"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17"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We cannot sell or market products without regulatory approval. Although we obtained regulatory approval for ARCALYST™ (rilonacept) for the treatment of CAPS in the United States, we may be unable to obtain regulatory approval of ARCALYST™ in any other country or in any other indication. Regulatory agencies outside the United States may require additional information or data with respect to any future submission for ARCALYST™ for the treatment of CAPS.</w:t>
      </w:r>
    </w:p>
    <w:p>
      <w:pPr>
        <w:spacing w:after="0" w:line="79"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If we do not obtain and maintain regulatory approval for our product candidates, including ARCALYST™ for the treatment of diseases other than CAPS,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the recent FDA approval of ARCALYST™ for the treatment of CAPS, none of our product candidates has ever received regulatory approval to be marketed and sold in the United States or any other country. We may never receive regulatory approval for any of our product candidates.</w:t>
      </w:r>
    </w:p>
    <w:p>
      <w:pPr>
        <w:spacing w:after="0" w:line="8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United States, we must obtain approval by the comparable regulatory authorities of foreign countries before we can commence clinical trials or marketing of ARCALYST™ for the treatment of CAPS or any of our product candidates in those countries.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We may be subject to claims by CAPS patients who use ARCALYST™ that they have been injured by a side effect associated with the drug.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market and sell ARCALYST™ (rilonacept) in a way that violates federal or state fraud and abuse laws, we may be subject to civil or criminal penalties.</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 financed health care programs.</w:t>
      </w:r>
    </w:p>
    <w:p>
      <w:pPr>
        <w:spacing w:after="0" w:line="8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or off-label uses, that caused claims to be submitted to Medicaid for non-covered off-label uses; and submitting inflated best price information to the Medicaid Rebate program.</w:t>
      </w:r>
    </w:p>
    <w:p>
      <w:pPr>
        <w:spacing w:after="0" w:line="57"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Even if we are not determined to have violated these laws, government investigations into these issues typically require the expenditure of significant resources and generate negative publicity, which would also harm our financial condition. Because of the breadth of these laws and the narrowness of the safe harbors, it is possible that some of our business activities could be subject to challenge under one or more of such laws.</w:t>
      </w:r>
    </w:p>
    <w:p>
      <w:pPr>
        <w:spacing w:after="0" w:line="57" w:lineRule="exact"/>
        <w:rPr>
          <w:sz w:val="20"/>
          <w:szCs w:val="20"/>
          <w:color w:val="auto"/>
        </w:rPr>
      </w:pPr>
    </w:p>
    <w:p>
      <w:pPr>
        <w:jc w:val="both"/>
        <w:ind w:right="60" w:firstLine="225"/>
        <w:spacing w:after="0" w:line="297" w:lineRule="auto"/>
        <w:rPr>
          <w:sz w:val="20"/>
          <w:szCs w:val="20"/>
          <w:color w:val="auto"/>
        </w:rPr>
      </w:pPr>
      <w:r>
        <w:rPr>
          <w:rFonts w:ascii="Arial" w:cs="Arial" w:eastAsia="Arial" w:hAnsi="Arial"/>
          <w:sz w:val="16"/>
          <w:szCs w:val="16"/>
          <w:color w:val="auto"/>
        </w:rPr>
        <w:t>In recent years, several states and localities, including California, the District of Columbia,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legislation is being considered in other states.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w:t>
      </w:r>
    </w:p>
    <w:p>
      <w:pPr>
        <w:spacing w:after="0" w:line="5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62" w:lineRule="exact"/>
        <w:rPr>
          <w:sz w:val="20"/>
          <w:szCs w:val="20"/>
          <w:color w:val="auto"/>
        </w:rPr>
      </w:pPr>
    </w:p>
    <w:p>
      <w:pPr>
        <w:ind w:right="80" w:firstLine="215"/>
        <w:spacing w:after="0" w:line="276"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rules and listing standards covering a variety of subjects. Compliance with these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 future years, if we are unable to conclude that our internal control over financial reporting is effective, the market value of our common stock could be adversely affected.</w:t>
      </w:r>
    </w:p>
    <w:p>
      <w:pPr>
        <w:spacing w:after="0" w:line="62" w:lineRule="exact"/>
        <w:rPr>
          <w:sz w:val="20"/>
          <w:szCs w:val="20"/>
          <w:color w:val="auto"/>
        </w:rPr>
      </w:pPr>
    </w:p>
    <w:p>
      <w:pPr>
        <w:ind w:firstLine="215"/>
        <w:spacing w:after="0" w:line="269" w:lineRule="auto"/>
        <w:rPr>
          <w:sz w:val="20"/>
          <w:szCs w:val="20"/>
          <w:color w:val="auto"/>
        </w:rPr>
      </w:pPr>
      <w:r>
        <w:rPr>
          <w:rFonts w:ascii="Arial" w:cs="Arial" w:eastAsia="Arial" w:hAnsi="Arial"/>
          <w:sz w:val="17"/>
          <w:szCs w:val="17"/>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2007, which report is included in our Annual Report on Form 10-K for the fiscal year ended December 31, 2007 which was filed with the Securities and Exchange Commission on February 27, 2008.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b w:val="1"/>
          <w:bCs w:val="1"/>
          <w:i w:val="1"/>
          <w:iCs w:val="1"/>
          <w:color w:val="auto"/>
        </w:rPr>
        <w:t>If our antibody collaboration with sanofi-aventis is terminated, our business operations and our ability to discover, develop, manufacture, and commercialize our pipeline of product candidates in the time expected, or at all, would be materially harmed.</w:t>
      </w:r>
    </w:p>
    <w:p>
      <w:pPr>
        <w:spacing w:after="0" w:line="38"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We rely heavily on the funding from sanofi-aventis to support our target discovery and antibody research and development programs. Sanofi-aventis has committed to pay up to $475.0 million between 2008 and 2012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REGN88, we rely on sanofi-aventis to lead much of the clinical development efforts and assist with obtaining regulatory approval, particularly outside the United States.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 trials, any regulatory responsibilities, and the ensuing commercialization efforts to support our antibody products. Sanofi-aventis may terminate the collaboration for our material breach or, in the case of the discovery agreement, if certain minimal criteria for the discovery program are not achieved by December 31, 2010. If sanofi-aventis terminates the antibody collaboration or fails to comply with its payment obligations thereunder, our business, financial condition, and results of operations would be materially harmed. We would be required to either expend substantially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more resources than we have anticipated to support our research and development efforts, which could require us to seek additional funding that might not be available on favorable terms or at all, or materially cut back on such activities. While we cannot assure you that any of the 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our collaboration with sanofi-aventis for aflibercept (VEGF Trap)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73"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for aflibercept would create substantial new and additional risks to the successful development and commercialization of aflibercept.</w:t>
      </w:r>
    </w:p>
    <w:p>
      <w:pPr>
        <w:spacing w:after="0" w:line="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VEGF Trap-Eye is terminated, or Bayer HealthCare materially breaches its obligations thereunder, our business, operations and financial condition, and our ability to develop and commercialize VEGF Trap-Eye in the time expected, or at all, would be materially harmed.</w:t>
      </w:r>
    </w:p>
    <w:p>
      <w:pPr>
        <w:spacing w:after="0" w:line="7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 development of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VEGF Trap-Eye will ever be successfully developed and commercialized, if Bayer HealthCare does not perform</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its obligations in a timely manner, or at all, our ability to develop, manufacture, and commercialize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United States and result in substantial additional costs to us. We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VEGF Trap-Eye.</w:t>
      </w:r>
    </w:p>
    <w:p>
      <w:pPr>
        <w:spacing w:after="0" w:line="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ARCALYST™ (rilonacept) and our drug candidates.</w:t>
      </w:r>
    </w:p>
    <w:p>
      <w:pPr>
        <w:spacing w:after="0" w:line="62" w:lineRule="exact"/>
        <w:rPr>
          <w:sz w:val="20"/>
          <w:szCs w:val="20"/>
          <w:color w:val="auto"/>
        </w:rPr>
      </w:pPr>
    </w:p>
    <w:p>
      <w:pPr>
        <w:ind w:right="220" w:firstLine="222"/>
        <w:spacing w:after="0" w:line="276" w:lineRule="auto"/>
        <w:rPr>
          <w:sz w:val="20"/>
          <w:szCs w:val="20"/>
          <w:color w:val="auto"/>
        </w:rPr>
      </w:pPr>
      <w:r>
        <w:rPr>
          <w:rFonts w:ascii="Arial" w:cs="Arial" w:eastAsia="Arial" w:hAnsi="Arial"/>
          <w:sz w:val="17"/>
          <w:szCs w:val="17"/>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manufacture and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manufacture, development or ultimate commercialization of our product candidates.</w:t>
      </w:r>
    </w:p>
    <w:p>
      <w:pPr>
        <w:spacing w:after="0" w:line="64" w:lineRule="exact"/>
        <w:rPr>
          <w:sz w:val="20"/>
          <w:szCs w:val="20"/>
          <w:color w:val="auto"/>
        </w:rPr>
      </w:pPr>
    </w:p>
    <w:p>
      <w:pPr>
        <w:ind w:right="600" w:firstLine="222"/>
        <w:spacing w:after="0" w:line="312" w:lineRule="auto"/>
        <w:rPr>
          <w:sz w:val="20"/>
          <w:szCs w:val="20"/>
          <w:color w:val="auto"/>
        </w:rPr>
      </w:pPr>
      <w:r>
        <w:rPr>
          <w:rFonts w:ascii="Arial" w:cs="Arial" w:eastAsia="Arial" w:hAnsi="Arial"/>
          <w:sz w:val="16"/>
          <w:szCs w:val="16"/>
          <w:color w:val="auto"/>
        </w:rPr>
        <w:t>We rely on third party service providers to support the distribution of ARCALYST™ and many other related activities in connection with the commercialization of ARCALYST™ for the treatment of CAPS. We cannot be certain that these third parties will perform adequately. If these service providers do not perform their services adequately, our efforts to market and sell ARCALYST™ for the treatment of CAPS will not be successful.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We must expand our own manufacturing capacity to support the planned growth of our clinical pipeline. Moreover, we may expand our manufacturing capacity to support commercial production of active pharmaceutical ingredients, or API,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This may delay our clinical development plans and interfere with our efforts to commercialize our products. In addition, we may be unable to secure adequate filling and finishing services to support our products. As a result, our business, financial condition, and results of operations may be materially harmed.</w:t>
      </w:r>
    </w:p>
    <w:p>
      <w:pPr>
        <w:spacing w:after="0" w:line="70"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We may be unable to obtain key raw materials and supplies for the manufacture of ARCALYST™ (rilonacept) and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17"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sole source all of our bulk drug materials from our manufacturing facility in Rensselaer, New York; certain of our raw materials and manufacturing services are single-sourced from third parties; third-party supply failures or a business interruption at our manufacturing facility in Rensselaer, New York could adversely affect our ability to supply our products.</w:t>
      </w:r>
    </w:p>
    <w:p>
      <w:pPr>
        <w:spacing w:after="0" w:line="73"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We manufacture all of our bulk drug materials for ARCALYST™ and our product candidates at our manufacturing facility in Rensselaer, New York. We would be unable to supply our product requirements if we were to cease production due to regulatory requirements or action, business interruptions, labor shortages or disputes, contaminations, or other problems at the facility.</w:t>
      </w:r>
    </w:p>
    <w:p>
      <w:pPr>
        <w:spacing w:after="0" w:line="73"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Certain raw materials necessary for manufacturing and formulation of ARCALYST™ and our product candidates are provided by single-source unaffiliated third-party suppliers. In addition, we rely on certain third parties to perform filling, finishing, distribution, and other services related to the manufacture of our products. We would be unable to obtain these raw materials or services for an indeterminate period of time if any of these third-parties were to cease or interrupt production or otherwise fail to supply these materials, products, or services to us for any reason, including due to regulatory requirements or action, adverse financial developments at or affecting the supplier, business interruptions, or labor shortages or disputes. This, in turn, could materially and adversely affect our ability to manufacture or supply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ARCALYST™ or our product candidates for use in clinical trials, which could materially and adversely affect our business and future prospects.</w:t>
      </w:r>
    </w:p>
    <w:p>
      <w:pPr>
        <w:spacing w:after="0" w:line="117" w:lineRule="exact"/>
        <w:rPr>
          <w:sz w:val="20"/>
          <w:szCs w:val="20"/>
          <w:color w:val="auto"/>
        </w:rPr>
      </w:pPr>
    </w:p>
    <w:p>
      <w:pPr>
        <w:ind w:right="200" w:firstLine="215"/>
        <w:spacing w:after="0" w:line="259"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62"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We are marketing and selling ARCALYST™ for the treatment of CAPS ourselves in the United States, primarily through third party service providers. We have no sales or distribution personnel and have only a small staff with commercial capabilities. For product candidates in development,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VEGF Trap-Eye in the United States, and we may be unsuccessful in developing our own sales, marketing, and distribution organization.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too few patients with CAPS to profitably commercialize ARCALYST™ (rilonacept) in this indication.</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Our only approved product is ARCALYST™ for the treatment of CAPS, a group of rare, inherited auto-inflammatory diseases. These rare diseases affect a very small group of people. The incidence of CAPS has been reported to be approximately 1 in 1,000,000 people in the United States. As a result, there may be too few patients with CAPS to profitably commercialize ARCALYST™ in this indication.</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Even if our product candidates are approved for marketing, their commercial success is highly uncertain because our competitors have received approval for products with the same mechanism of action, and competitors may get to the marketplace with better or lower cost drugs.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64"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Genentech has an approved VEGF antagonist, Avastin</w:t>
      </w:r>
      <w:r>
        <w:rPr>
          <w:rFonts w:ascii="Arial" w:cs="Arial" w:eastAsia="Arial" w:hAnsi="Arial"/>
          <w:sz w:val="14"/>
          <w:szCs w:val="14"/>
          <w:color w:val="auto"/>
        </w:rPr>
        <w:t>®</w:t>
      </w:r>
      <w:r>
        <w:rPr>
          <w:rFonts w:ascii="Arial" w:cs="Arial" w:eastAsia="Arial" w:hAnsi="Arial"/>
          <w:sz w:val="17"/>
          <w:szCs w:val="17"/>
          <w:color w:val="auto"/>
        </w:rPr>
        <w:t xml:space="preserve"> (Genentech), on the market for treating certain cancers and many different pharmaceutical and biotechnology companies are working to develop competing VEGF antagonists, including Novartis, OSI Pharmaceuticals, Inc., and Pfizer Inc. Many of these molecules are farther along in development than aflibercept and may offer competitive advantages over our molecule. Novartis has an ongoing Phase 3 clinical development program evaluating an orally delivered VEGF tyrosine kinase inhibitor in different cancer settings. Each of Pfizer and Onyx Pharmaceuticals, Inc., (together with its partner Bayer HealthCare) has received approval from the FDA to market and sell an oral medication that targets tumor cell growth and new vasculature formation that fuels the growth of tumors. The marketing approvals for Genentech’s VEGF antagonist, Avastin</w:t>
      </w:r>
      <w:r>
        <w:rPr>
          <w:rFonts w:ascii="Arial" w:cs="Arial" w:eastAsia="Arial" w:hAnsi="Arial"/>
          <w:sz w:val="14"/>
          <w:szCs w:val="14"/>
          <w:color w:val="auto"/>
        </w:rPr>
        <w:t>®</w:t>
      </w:r>
      <w:r>
        <w:rPr>
          <w:rFonts w:ascii="Arial" w:cs="Arial" w:eastAsia="Arial" w:hAnsi="Arial"/>
          <w:sz w:val="17"/>
          <w:szCs w:val="17"/>
          <w:color w:val="auto"/>
        </w:rPr>
        <w:t xml:space="preserve"> (Genentech), and their extensive, ongoing clinical development plan for Avastin</w:t>
      </w:r>
      <w:r>
        <w:rPr>
          <w:rFonts w:ascii="Arial" w:cs="Arial" w:eastAsia="Arial" w:hAnsi="Arial"/>
          <w:sz w:val="14"/>
          <w:szCs w:val="14"/>
          <w:color w:val="auto"/>
        </w:rPr>
        <w:t>®</w:t>
      </w:r>
      <w:r>
        <w:rPr>
          <w:rFonts w:ascii="Arial" w:cs="Arial" w:eastAsia="Arial" w:hAnsi="Arial"/>
          <w:sz w:val="17"/>
          <w:szCs w:val="17"/>
          <w:color w:val="auto"/>
        </w:rPr>
        <w:t xml:space="preserve"> (Genentech) in other cancer indications,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w:t>
      </w:r>
      <w:r>
        <w:rPr>
          <w:rFonts w:ascii="Arial" w:cs="Arial" w:eastAsia="Arial" w:hAnsi="Arial"/>
          <w:sz w:val="14"/>
          <w:szCs w:val="14"/>
          <w:color w:val="auto"/>
        </w:rPr>
        <w:t>®</w:t>
      </w:r>
      <w:r>
        <w:rPr>
          <w:rFonts w:ascii="Arial" w:cs="Arial" w:eastAsia="Arial" w:hAnsi="Arial"/>
          <w:sz w:val="17"/>
          <w:szCs w:val="17"/>
          <w:color w:val="auto"/>
        </w:rPr>
        <w:t xml:space="preserve"> (Genentech)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72"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13"/>
          <w:szCs w:val="13"/>
          <w:color w:val="auto"/>
        </w:rPr>
        <w:t>®</w:t>
      </w:r>
      <w:r>
        <w:rPr>
          <w:rFonts w:ascii="Arial" w:cs="Arial" w:eastAsia="Arial" w:hAnsi="Arial"/>
          <w:sz w:val="16"/>
          <w:szCs w:val="16"/>
          <w:color w:val="auto"/>
        </w:rPr>
        <w:t>) for the treatment of age-related macular degeneration (wet AMD) and other eye indications that was approved by the FDA in June 2006. Many other companies are working on the development of product candidates for the potential treatment of wet AMD that act by blocking VEGF, VEGF receptors, and through the use of soluble ribonucleic acids (sRNAs) that modulate gene expression. In addition, ophthalmologists are using off-label a third-party reformatted version of Genentech’s approved VEGF antagonist, Avastin</w:t>
      </w:r>
      <w:r>
        <w:rPr>
          <w:rFonts w:ascii="Arial" w:cs="Arial" w:eastAsia="Arial" w:hAnsi="Arial"/>
          <w:sz w:val="13"/>
          <w:szCs w:val="13"/>
          <w:color w:val="auto"/>
        </w:rPr>
        <w:t>®</w:t>
      </w:r>
      <w:r>
        <w:rPr>
          <w:rFonts w:ascii="Arial" w:cs="Arial" w:eastAsia="Arial" w:hAnsi="Arial"/>
          <w:sz w:val="16"/>
          <w:szCs w:val="16"/>
          <w:color w:val="auto"/>
        </w:rPr>
        <w:t>, with success for the treatment of wet AMD. The National Eye Institute recently has received funding for a Phase 3 trial to compare Lucentis</w:t>
      </w:r>
      <w:r>
        <w:rPr>
          <w:rFonts w:ascii="Arial" w:cs="Arial" w:eastAsia="Arial" w:hAnsi="Arial"/>
          <w:sz w:val="13"/>
          <w:szCs w:val="13"/>
          <w:color w:val="auto"/>
        </w:rPr>
        <w:t>®</w:t>
      </w:r>
      <w:r>
        <w:rPr>
          <w:rFonts w:ascii="Arial" w:cs="Arial" w:eastAsia="Arial" w:hAnsi="Arial"/>
          <w:sz w:val="16"/>
          <w:szCs w:val="16"/>
          <w:color w:val="auto"/>
        </w:rPr>
        <w:t xml:space="preserve"> (Genentech) to Avastin</w:t>
      </w:r>
      <w:r>
        <w:rPr>
          <w:rFonts w:ascii="Arial" w:cs="Arial" w:eastAsia="Arial" w:hAnsi="Arial"/>
          <w:sz w:val="13"/>
          <w:szCs w:val="13"/>
          <w:color w:val="auto"/>
        </w:rPr>
        <w:t>®</w:t>
      </w:r>
      <w:r>
        <w:rPr>
          <w:rFonts w:ascii="Arial" w:cs="Arial" w:eastAsia="Arial" w:hAnsi="Arial"/>
          <w:sz w:val="16"/>
          <w:szCs w:val="16"/>
          <w:color w:val="auto"/>
        </w:rPr>
        <w:t xml:space="preserve"> (Genentech) in the treatment of wet AMD. The marketing approval of Lucentis</w:t>
      </w:r>
      <w:r>
        <w:rPr>
          <w:rFonts w:ascii="Arial" w:cs="Arial" w:eastAsia="Arial" w:hAnsi="Arial"/>
          <w:sz w:val="13"/>
          <w:szCs w:val="13"/>
          <w:color w:val="auto"/>
        </w:rPr>
        <w:t>®</w:t>
      </w:r>
      <w:r>
        <w:rPr>
          <w:rFonts w:ascii="Arial" w:cs="Arial" w:eastAsia="Arial" w:hAnsi="Arial"/>
          <w:sz w:val="16"/>
          <w:szCs w:val="16"/>
          <w:color w:val="auto"/>
        </w:rPr>
        <w:t xml:space="preserve"> (Genentech) and the potential off-label use of Avastin</w:t>
      </w:r>
      <w:r>
        <w:rPr>
          <w:rFonts w:ascii="Arial" w:cs="Arial" w:eastAsia="Arial" w:hAnsi="Arial"/>
          <w:sz w:val="13"/>
          <w:szCs w:val="13"/>
          <w:color w:val="auto"/>
        </w:rPr>
        <w:t>®</w:t>
      </w:r>
      <w:r>
        <w:rPr>
          <w:rFonts w:ascii="Arial" w:cs="Arial" w:eastAsia="Arial" w:hAnsi="Arial"/>
          <w:sz w:val="16"/>
          <w:szCs w:val="16"/>
          <w:color w:val="auto"/>
        </w:rPr>
        <w:t xml:space="preserve"> (Genentech) make it more difficult for us to enroll patients in our clinical trials and successfully develop VEGF Trap-Eye. Even if VEGF Trap-Eye is ever approved for sale for the treatment of eye diseases, it may be difficult for our drug to compete against Lucentis</w:t>
      </w:r>
      <w:r>
        <w:rPr>
          <w:rFonts w:ascii="Arial" w:cs="Arial" w:eastAsia="Arial" w:hAnsi="Arial"/>
          <w:sz w:val="13"/>
          <w:szCs w:val="13"/>
          <w:color w:val="auto"/>
        </w:rPr>
        <w:t>®</w:t>
      </w:r>
      <w:r>
        <w:rPr>
          <w:rFonts w:ascii="Arial" w:cs="Arial" w:eastAsia="Arial" w:hAnsi="Arial"/>
          <w:sz w:val="16"/>
          <w:szCs w:val="16"/>
          <w:color w:val="auto"/>
        </w:rPr>
        <w:t xml:space="preserve"> (Genentech), because doctors and patients will have significant experience using this medicine. Moreover, the relatively low cost of therapy with Avastin</w:t>
      </w:r>
      <w:r>
        <w:rPr>
          <w:rFonts w:ascii="Arial" w:cs="Arial" w:eastAsia="Arial" w:hAnsi="Arial"/>
          <w:sz w:val="13"/>
          <w:szCs w:val="13"/>
          <w:color w:val="auto"/>
        </w:rPr>
        <w:t>®</w:t>
      </w:r>
      <w:r>
        <w:rPr>
          <w:rFonts w:ascii="Arial" w:cs="Arial" w:eastAsia="Arial" w:hAnsi="Arial"/>
          <w:sz w:val="16"/>
          <w:szCs w:val="16"/>
          <w:color w:val="auto"/>
        </w:rPr>
        <w:t xml:space="preserve"> (Genentech) in patients with wet AMD presents a further competitive challenge in this indication.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availability of highly effective FDA approved TNF-antagonists such as Enbrel</w:t>
      </w:r>
      <w:r>
        <w:rPr>
          <w:rFonts w:ascii="Arial" w:cs="Arial" w:eastAsia="Arial" w:hAnsi="Arial"/>
          <w:sz w:val="14"/>
          <w:szCs w:val="14"/>
          <w:color w:val="auto"/>
        </w:rPr>
        <w:t>®</w:t>
      </w:r>
      <w:r>
        <w:rPr>
          <w:rFonts w:ascii="Arial" w:cs="Arial" w:eastAsia="Arial" w:hAnsi="Arial"/>
          <w:sz w:val="17"/>
          <w:szCs w:val="17"/>
          <w:color w:val="auto"/>
        </w:rPr>
        <w:t xml:space="preserve"> (Immunex), Remicade</w:t>
      </w:r>
      <w:r>
        <w:rPr>
          <w:rFonts w:ascii="Arial" w:cs="Arial" w:eastAsia="Arial" w:hAnsi="Arial"/>
          <w:sz w:val="14"/>
          <w:szCs w:val="14"/>
          <w:color w:val="auto"/>
        </w:rPr>
        <w:t>®</w:t>
      </w:r>
      <w:r>
        <w:rPr>
          <w:rFonts w:ascii="Arial" w:cs="Arial" w:eastAsia="Arial" w:hAnsi="Arial"/>
          <w:sz w:val="17"/>
          <w:szCs w:val="17"/>
          <w:color w:val="auto"/>
        </w:rPr>
        <w:t xml:space="preserve"> (Centocor), and Humira</w:t>
      </w:r>
      <w:r>
        <w:rPr>
          <w:rFonts w:ascii="Arial" w:cs="Arial" w:eastAsia="Arial" w:hAnsi="Arial"/>
          <w:sz w:val="14"/>
          <w:szCs w:val="14"/>
          <w:color w:val="auto"/>
        </w:rPr>
        <w:t>®</w:t>
      </w:r>
      <w:r>
        <w:rPr>
          <w:rFonts w:ascii="Arial" w:cs="Arial" w:eastAsia="Arial" w:hAnsi="Arial"/>
          <w:sz w:val="17"/>
          <w:szCs w:val="17"/>
          <w:color w:val="auto"/>
        </w:rPr>
        <w:t xml:space="preserve"> (Abbott Laboratories), and the IL-1 receptor antagonist Kineret</w:t>
      </w:r>
      <w:r>
        <w:rPr>
          <w:rFonts w:ascii="Arial" w:cs="Arial" w:eastAsia="Arial" w:hAnsi="Arial"/>
          <w:sz w:val="14"/>
          <w:szCs w:val="14"/>
          <w:color w:val="auto"/>
        </w:rPr>
        <w:t>®</w:t>
      </w:r>
      <w:r>
        <w:rPr>
          <w:rFonts w:ascii="Arial" w:cs="Arial" w:eastAsia="Arial" w:hAnsi="Arial"/>
          <w:sz w:val="17"/>
          <w:szCs w:val="17"/>
          <w:color w:val="auto"/>
        </w:rPr>
        <w:t xml:space="preserve"> (Amgen), and other marketed therapies makes it more difficult to successfully develop and commercialize ARCALYST™. This is one of the reasons we discontinued the development of ARCALYST™ in adult rheumatoid arthritis. In addition, even if ARCALYST™ is ever approved for sale in indications where TNF-antagonists are approved, it will be difficult for our drug to compete against these FDA approved TNF-antagonists because doctors and patients will have significant experience using these effective medicines. Moreover, in such indications these approved therapeutics may offer competitive advantages over ARCALYST™, such as requiring fewer injections.</w:t>
      </w:r>
    </w:p>
    <w:p>
      <w:pPr>
        <w:spacing w:after="0" w:line="70"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There are both small molecules and antibodies in development by other companies that are designed to block the synthesis of interleukin-1 or inhibit the signaling of interleukin-1. For example, Eli Lilly and Company, Xoma Ltd., and Novartis are each developing antibodies to interleukin-1 and Amgen is developing an antibody to the interleukin-1 receptor. Novartis has commenced advanced clinical testing of its IL-1 antibody in Muckle-Wells Syndrome, which is part of the group of rare genetic diseases called CAPS. Novartis recently announced that its IL-1 antibody demonstrated long-lasting clinical remission in patients with CAPS and that its clinical candidate could develop into a major therapeutic advance in the treatment of CAPS. Novartis’ IL-1 antibody and these other drug candidates could offer competitive advantages over ARCALYST™. The successful development of these competing molecules could delay or impair our ability to successfully develop and commercialize ARCALYST™.</w:t>
      </w:r>
    </w:p>
    <w:p>
      <w:pPr>
        <w:spacing w:after="0" w:line="70"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We are developing REGN88 for the treatment of rheumatoid arthritis. The availability of highly effective FDA approved TNF-antagonists such as Enbrel</w:t>
      </w:r>
      <w:r>
        <w:rPr>
          <w:rFonts w:ascii="Arial" w:cs="Arial" w:eastAsia="Arial" w:hAnsi="Arial"/>
          <w:sz w:val="14"/>
          <w:szCs w:val="14"/>
          <w:color w:val="auto"/>
        </w:rPr>
        <w:t>®</w:t>
      </w:r>
      <w:r>
        <w:rPr>
          <w:rFonts w:ascii="Arial" w:cs="Arial" w:eastAsia="Arial" w:hAnsi="Arial"/>
          <w:sz w:val="17"/>
          <w:szCs w:val="17"/>
          <w:color w:val="auto"/>
        </w:rPr>
        <w:t xml:space="preserve"> (Immunex), Remicade</w:t>
      </w:r>
      <w:r>
        <w:rPr>
          <w:rFonts w:ascii="Arial" w:cs="Arial" w:eastAsia="Arial" w:hAnsi="Arial"/>
          <w:sz w:val="14"/>
          <w:szCs w:val="14"/>
          <w:color w:val="auto"/>
        </w:rPr>
        <w:t>®</w:t>
      </w:r>
      <w:r>
        <w:rPr>
          <w:rFonts w:ascii="Arial" w:cs="Arial" w:eastAsia="Arial" w:hAnsi="Arial"/>
          <w:sz w:val="17"/>
          <w:szCs w:val="17"/>
          <w:color w:val="auto"/>
        </w:rPr>
        <w:t xml:space="preserve"> (Centocor), and Humira</w:t>
      </w:r>
      <w:r>
        <w:rPr>
          <w:rFonts w:ascii="Arial" w:cs="Arial" w:eastAsia="Arial" w:hAnsi="Arial"/>
          <w:sz w:val="14"/>
          <w:szCs w:val="14"/>
          <w:color w:val="auto"/>
        </w:rPr>
        <w:t>®</w:t>
      </w:r>
      <w:r>
        <w:rPr>
          <w:rFonts w:ascii="Arial" w:cs="Arial" w:eastAsia="Arial" w:hAnsi="Arial"/>
          <w:sz w:val="17"/>
          <w:szCs w:val="17"/>
          <w:color w:val="auto"/>
        </w:rPr>
        <w:t xml:space="preserve"> (Abbott), and other marketed therapies makes it more difficult to successfully develop and commercialize REGN88. REGN88 is a human monoclonal antibody targeting the interleukin-6 receptor. Roche is developing an antibody against the interleukin-6 (IL-6) receptor. Roche’s antibody has completed Phase 3 clinical trials and is the subject of a filed Biologics License Application with the FDA. Roche’s IL-6 receptor antibody, other clinical candidates in development, and drugs now or in the future on the market to treat rheumatoid arthritis could offer competitive advantages over REGN88. This could delay or impair our ability to successfully develop and commercialize REGN88.</w:t>
      </w:r>
    </w:p>
    <w:p>
      <w:pPr>
        <w:spacing w:after="0" w:line="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The successful commercialization of ARCALYST™ (rilonacept) and our product candidates will depend on obtaining coverage and reimbursement for use of these products from third-party payers and these payers may not agree to cover or reimburse for use of our products.</w:t>
      </w:r>
    </w:p>
    <w:p>
      <w:pPr>
        <w:spacing w:after="0" w:line="16"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product candidates, if commercialized, may be significantly more expensive than traditional drug treatments.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treatment before covering a particular drug. Payers may especially impose these obstacles to coverage on higher-priced drugs, as our product candidates are likely to be.</w:t>
      </w:r>
    </w:p>
    <w:p>
      <w:pPr>
        <w:spacing w:after="0" w:line="62"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We market and sell ARCALYST™ (rilonacept) in the United States for the treatment of a group of rare genetic disorders called CAPS. There may be too few patients with CAPS to profitably commercialize ARCALYST™. Physicians may not prescribe ARCALYST™, and CAPS patients may not be able to afford ARCALYST™, if third party payers do not agree to reimburse the cost of ARCALYST™ therapy and this would adversely affect our ability to commercialize ARCALYST™ profitably.</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addition to potential restrictions on coverage, the amount of reimbursement for our 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7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Since ARCALYST™ and our product candidates in clinical development,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79"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62"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17" w:lineRule="exact"/>
        <w:rPr>
          <w:sz w:val="20"/>
          <w:szCs w:val="20"/>
          <w:color w:val="auto"/>
        </w:rPr>
      </w:pPr>
    </w:p>
    <w:p>
      <w:pPr>
        <w:ind w:right="360" w:firstLine="22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38"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progress, delays, or adverse results in clinical trials;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announcement of technological innovations or product candidates by us or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fluctuations in our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unsuccessful commercialization of ARCALYST™ (rilonacept) for the treatment of CAPS;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public concern as to the safety or effectiveness of ARCALYST™ or any of our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developments in our relationship with collaborative partners;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developments in the biotechnology industry or in government regulation of healthcare;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large sales of our common stock by our executive officers, directors, or significant shareholders;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arrivals and departures of key personnel;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general market conditions.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62" w:lineRule="exact"/>
        <w:rPr>
          <w:sz w:val="20"/>
          <w:szCs w:val="20"/>
          <w:color w:val="auto"/>
        </w:rPr>
      </w:pPr>
    </w:p>
    <w:p>
      <w:pPr>
        <w:ind w:right="140" w:firstLine="215"/>
        <w:spacing w:after="0" w:line="255" w:lineRule="auto"/>
        <w:rPr>
          <w:sz w:val="20"/>
          <w:szCs w:val="20"/>
          <w:color w:val="auto"/>
        </w:rPr>
      </w:pPr>
      <w:r>
        <w:rPr>
          <w:rFonts w:ascii="Arial" w:cs="Arial" w:eastAsia="Arial" w:hAnsi="Arial"/>
          <w:sz w:val="18"/>
          <w:szCs w:val="18"/>
          <w:color w:val="auto"/>
        </w:rPr>
        <w:t>A small number of our shareholders beneficially own a substantial amount of our common stock. As of April 15, 2008, our eight largest shareholders beneficially owned 57.7%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15, 2008. As of April 15, 2008, sanofi-aventis beneficially owned 14,799,552 shares of Common Stock, representing approximately 19.3% of the shares of Common Stock then outstanding. Under our investor agreement with sanofi-aventis, sanofi-aventis may not sell these shares until December 20, 2012 except under limited circumstances and subject to earlier termination rights of these restrictions upon the occurrence of certain</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events. Notwithstanding these restrictions,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11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April 15, 2008, holders of Class A Stock held 22.7% of the combined voting power of all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April 15, 2008:</w:t>
      </w:r>
    </w:p>
    <w:p>
      <w:pPr>
        <w:spacing w:after="0" w:line="70" w:lineRule="exact"/>
        <w:rPr>
          <w:sz w:val="20"/>
          <w:szCs w:val="20"/>
          <w:color w:val="auto"/>
        </w:rPr>
      </w:pPr>
    </w:p>
    <w:p>
      <w:pPr>
        <w:ind w:left="660" w:right="120" w:hanging="436"/>
        <w:spacing w:after="0" w:line="259"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current executive officers and directors beneficially owned 12.5% of our outstanding shares of Common Stock, assuming conversion of their Class A Stock into Common Stock and the exercise of all options held by such persons which are exercisable within 60 days of April 15, 2008, and 27.6% of the combined voting power of our outstanding shares of Common Stock and Class A Stock, assuming the exercise of all options held by such persons which are exercisable within 60 days of April 15, 2008; and</w:t>
      </w:r>
    </w:p>
    <w:p>
      <w:pPr>
        <w:spacing w:after="0" w:line="92" w:lineRule="exact"/>
        <w:rPr>
          <w:rFonts w:ascii="Arial" w:cs="Arial" w:eastAsia="Arial" w:hAnsi="Arial"/>
          <w:sz w:val="18"/>
          <w:szCs w:val="18"/>
          <w:b w:val="1"/>
          <w:bCs w:val="1"/>
          <w:color w:val="auto"/>
        </w:rPr>
      </w:pPr>
    </w:p>
    <w:p>
      <w:pPr>
        <w:ind w:left="660" w:right="60" w:hanging="436"/>
        <w:spacing w:after="0" w:line="276"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our eight largest shareholders beneficially owned 57.7%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15, 2008. In addition, these eight shareholders held 61.0% of the combined voting power of our outstanding shares of Common Stock and Class A Stock, assuming the exercise of all options held by our Chief Executive Officer and our Chairman which are exercisable within 60 days of April 15, 2008.</w:t>
      </w:r>
    </w:p>
    <w:p>
      <w:pPr>
        <w:spacing w:after="0" w:line="64"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Pursuant to an investor agreement,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7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80" w:lineRule="exact"/>
        <w:rPr>
          <w:sz w:val="20"/>
          <w:szCs w:val="20"/>
          <w:color w:val="auto"/>
        </w:rPr>
      </w:pPr>
    </w:p>
    <w:p>
      <w:pPr>
        <w:ind w:left="660" w:right="1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130" w:lineRule="exact"/>
        <w:rPr>
          <w:rFonts w:ascii="Arial" w:cs="Arial" w:eastAsia="Arial" w:hAnsi="Arial"/>
          <w:sz w:val="18"/>
          <w:szCs w:val="18"/>
          <w:b w:val="1"/>
          <w:bCs w:val="1"/>
          <w:color w:val="auto"/>
        </w:rPr>
      </w:pPr>
    </w:p>
    <w:p>
      <w:pPr>
        <w:ind w:left="660" w:right="360" w:hanging="436"/>
        <w:spacing w:after="0" w:line="264"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86" w:lineRule="exact"/>
        <w:rPr>
          <w:rFonts w:ascii="Arial" w:cs="Arial" w:eastAsia="Arial" w:hAnsi="Arial"/>
          <w:sz w:val="18"/>
          <w:szCs w:val="18"/>
          <w:b w:val="1"/>
          <w:bCs w:val="1"/>
          <w:color w:val="auto"/>
        </w:rPr>
      </w:pPr>
    </w:p>
    <w:p>
      <w:pPr>
        <w:ind w:left="660" w:right="180" w:hanging="436"/>
        <w:spacing w:after="0" w:line="308"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51" w:lineRule="exact"/>
        <w:rPr>
          <w:rFonts w:ascii="Arial" w:cs="Arial" w:eastAsia="Arial" w:hAnsi="Arial"/>
          <w:sz w:val="17"/>
          <w:szCs w:val="17"/>
          <w:b w:val="1"/>
          <w:bCs w:val="1"/>
          <w:color w:val="auto"/>
        </w:rPr>
      </w:pPr>
    </w:p>
    <w:p>
      <w:pPr>
        <w:ind w:left="660" w:right="10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75" w:lineRule="exact"/>
        <w:rPr>
          <w:rFonts w:ascii="Arial" w:cs="Arial" w:eastAsia="Arial" w:hAnsi="Arial"/>
          <w:sz w:val="18"/>
          <w:szCs w:val="18"/>
          <w:b w:val="1"/>
          <w:bCs w:val="1"/>
          <w:color w:val="auto"/>
        </w:rPr>
      </w:pPr>
    </w:p>
    <w:p>
      <w:pPr>
        <w:ind w:left="660" w:right="400" w:hanging="436"/>
        <w:spacing w:after="0" w:line="259"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influence over matters requiring shareholder approval.”</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which contractually prohibit sanofi-aventis from acquiring more than certain specified percentages of the Company’s Class A Stock and Common Stock (taken together) or otherwise seeking to obtain control of the Company.</w:t>
      </w:r>
    </w:p>
    <w:p>
      <w:pPr>
        <w:spacing w:after="0" w:line="79"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2000 Long-Term Incentive Plan may become fully vested in connection with a “change in control” of our company, as defined in the plan.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 Statement re: computation of ratio of earnings to combined fixed charges.</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 Certification of CEO pursuant to Rule 13a-14(a) under the Securities Exchange Act of 1934.</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 Certification of CFO pursuant to Rule 13a-14(a) under the Securities Exchange Act of 1934.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5540" w:hanging="5612"/>
        <w:spacing w:after="0" w:line="589" w:lineRule="auto"/>
        <w:tabs>
          <w:tab w:leader="none" w:pos="923" w:val="left"/>
        </w:tabs>
        <w:numPr>
          <w:ilvl w:val="0"/>
          <w:numId w:val="11"/>
        </w:numPr>
        <w:rPr>
          <w:rFonts w:ascii="Arial" w:cs="Arial" w:eastAsia="Arial" w:hAnsi="Arial"/>
          <w:sz w:val="16"/>
          <w:szCs w:val="16"/>
          <w:color w:val="auto"/>
        </w:rPr>
      </w:pPr>
      <w:r>
        <w:rPr>
          <w:rFonts w:ascii="Arial" w:cs="Arial" w:eastAsia="Arial" w:hAnsi="Arial"/>
          <w:sz w:val="16"/>
          <w:szCs w:val="16"/>
          <w:color w:val="auto"/>
        </w:rPr>
        <w:t>- Certification of CEO and CFO pursuant to 18 U.S.C. Section 1350.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May 2, 2008</w:t>
            </w: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By: /s/ Murray A. Goldberg</w:t>
            </w:r>
          </w:p>
        </w:tc>
      </w:tr>
      <w:tr>
        <w:trPr>
          <w:trHeight w:val="195"/>
        </w:trPr>
        <w:tc>
          <w:tcPr>
            <w:tcW w:w="3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Murray A. Goldberg</w:t>
            </w:r>
          </w:p>
        </w:tc>
      </w:tr>
      <w:tr>
        <w:trPr>
          <w:trHeight w:val="216"/>
        </w:trPr>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Finance &amp; Administration,</w:t>
            </w:r>
          </w:p>
        </w:tc>
      </w:tr>
      <w:tr>
        <w:trPr>
          <w:trHeight w:val="216"/>
        </w:trPr>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 Treasurer, and</w:t>
            </w:r>
          </w:p>
        </w:tc>
      </w:tr>
      <w:tr>
        <w:trPr>
          <w:trHeight w:val="216"/>
        </w:trPr>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216"/>
        </w:trPr>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621"/>
        </w:trPr>
        <w:tc>
          <w:tcPr>
            <w:tcW w:w="3360" w:type="dxa"/>
            <w:vAlign w:val="bottom"/>
          </w:tcPr>
          <w:p>
            <w:pPr>
              <w:spacing w:after="0"/>
              <w:rPr>
                <w:sz w:val="24"/>
                <w:szCs w:val="24"/>
                <w:color w:val="auto"/>
              </w:rPr>
            </w:pPr>
          </w:p>
        </w:tc>
        <w:tc>
          <w:tcPr>
            <w:tcW w:w="6380" w:type="dxa"/>
            <w:vAlign w:val="bottom"/>
            <w:gridSpan w:val="2"/>
          </w:tcPr>
          <w:p>
            <w:pPr>
              <w:jc w:val="right"/>
              <w:ind w:right="385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280"/>
          </w:cols>
          <w:pgMar w:left="240" w:top="419" w:right="3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2"/>
              </w:rPr>
              <w:t>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gridSpan w:val="3"/>
            <w:vMerge w:val="restart"/>
          </w:tcPr>
          <w:p>
            <w:pPr>
              <w:ind w:left="220"/>
              <w:spacing w:after="0"/>
              <w:rPr>
                <w:sz w:val="20"/>
                <w:szCs w:val="20"/>
                <w:color w:val="auto"/>
              </w:rPr>
            </w:pPr>
            <w:r>
              <w:rPr>
                <w:rFonts w:ascii="Arial" w:cs="Arial" w:eastAsia="Arial" w:hAnsi="Arial"/>
                <w:sz w:val="14"/>
                <w:szCs w:val="14"/>
                <w:color w:val="auto"/>
                <w:w w:val="92"/>
              </w:rPr>
              <w:t>Years ended December 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center"/>
              <w:ind w:right="253"/>
              <w:spacing w:after="0"/>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2003</w:t>
            </w:r>
          </w:p>
        </w:tc>
        <w:tc>
          <w:tcPr>
            <w:tcW w:w="1360" w:type="dxa"/>
            <w:vAlign w:val="bottom"/>
            <w:gridSpan w:val="2"/>
          </w:tcPr>
          <w:p>
            <w:pPr>
              <w:jc w:val="right"/>
              <w:ind w:right="250"/>
              <w:spacing w:after="0" w:line="142" w:lineRule="exact"/>
              <w:rPr>
                <w:sz w:val="20"/>
                <w:szCs w:val="20"/>
                <w:color w:val="auto"/>
              </w:rPr>
            </w:pPr>
            <w:r>
              <w:rPr>
                <w:rFonts w:ascii="Arial" w:cs="Arial" w:eastAsia="Arial" w:hAnsi="Arial"/>
                <w:sz w:val="14"/>
                <w:szCs w:val="14"/>
                <w:color w:val="auto"/>
              </w:rPr>
              <w:t>2004</w:t>
            </w:r>
          </w:p>
        </w:tc>
        <w:tc>
          <w:tcPr>
            <w:tcW w:w="1440" w:type="dxa"/>
            <w:vAlign w:val="bottom"/>
            <w:gridSpan w:val="2"/>
          </w:tcPr>
          <w:p>
            <w:pPr>
              <w:jc w:val="right"/>
              <w:ind w:right="290"/>
              <w:spacing w:after="0" w:line="142" w:lineRule="exact"/>
              <w:rPr>
                <w:sz w:val="20"/>
                <w:szCs w:val="20"/>
                <w:color w:val="auto"/>
              </w:rPr>
            </w:pPr>
            <w:r>
              <w:rPr>
                <w:rFonts w:ascii="Arial" w:cs="Arial" w:eastAsia="Arial" w:hAnsi="Arial"/>
                <w:sz w:val="14"/>
                <w:szCs w:val="14"/>
                <w:color w:val="auto"/>
              </w:rPr>
              <w:t>2005</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2006</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2007</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center"/>
              <w:ind w:right="273"/>
              <w:spacing w:after="0" w:line="142" w:lineRule="exact"/>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200"/>
              <w:spacing w:after="0" w:line="201" w:lineRule="exact"/>
              <w:rPr>
                <w:sz w:val="20"/>
                <w:szCs w:val="20"/>
                <w:color w:val="auto"/>
              </w:rPr>
            </w:pPr>
            <w:r>
              <w:rPr>
                <w:rFonts w:ascii="Arial" w:cs="Arial" w:eastAsia="Arial" w:hAnsi="Arial"/>
                <w:sz w:val="18"/>
                <w:szCs w:val="18"/>
                <w:color w:val="auto"/>
              </w:rPr>
              <w:t>Income (loss) from continuing</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00"/>
              <w:spacing w:after="0"/>
              <w:rPr>
                <w:sz w:val="20"/>
                <w:szCs w:val="20"/>
                <w:color w:val="auto"/>
              </w:rPr>
            </w:pPr>
            <w:r>
              <w:rPr>
                <w:rFonts w:ascii="Arial" w:cs="Arial" w:eastAsia="Arial" w:hAnsi="Arial"/>
                <w:sz w:val="18"/>
                <w:szCs w:val="18"/>
                <w:color w:val="auto"/>
              </w:rPr>
              <w:t>operations before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400"/>
              <w:spacing w:after="0"/>
              <w:rPr>
                <w:sz w:val="20"/>
                <w:szCs w:val="20"/>
                <w:color w:val="auto"/>
              </w:rPr>
            </w:pPr>
            <w:r>
              <w:rPr>
                <w:rFonts w:ascii="Arial" w:cs="Arial" w:eastAsia="Arial" w:hAnsi="Arial"/>
                <w:sz w:val="18"/>
                <w:szCs w:val="18"/>
                <w:color w:val="auto"/>
              </w:rPr>
              <w:t>(loss) from equity investee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w w:val="88"/>
              </w:rPr>
              <w:t>(107,395)</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$41,565</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$(95,456)</w:t>
            </w:r>
          </w:p>
        </w:tc>
        <w:tc>
          <w:tcPr>
            <w:tcW w:w="3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w w:val="88"/>
              </w:rPr>
              <w:t>(103,150)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w w:val="88"/>
              </w:rPr>
              <w:t>(105,600)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w w:val="86"/>
              </w:rPr>
              <w:t>(11,618)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14,108</w:t>
            </w: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14,060</w:t>
            </w:r>
          </w:p>
        </w:tc>
        <w:tc>
          <w:tcPr>
            <w:tcW w:w="1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13,687</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13,643</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13,708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capitalized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40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78</w:t>
            </w: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25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(276)</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84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(93,530)</w:t>
            </w:r>
          </w:p>
        </w:tc>
        <w:tc>
          <w:tcPr>
            <w:tcW w:w="1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$55,703</w:t>
            </w:r>
          </w:p>
        </w:tc>
        <w:tc>
          <w:tcPr>
            <w:tcW w:w="14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$(81,691)</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(89,434)</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(91,869)</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11,932</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$12,175</w:t>
            </w: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$ 12,046</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12,043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12,043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3"/>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276</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200"/>
              <w:spacing w:after="0" w:line="201" w:lineRule="exact"/>
              <w:rPr>
                <w:sz w:val="20"/>
                <w:szCs w:val="20"/>
                <w:color w:val="auto"/>
              </w:rPr>
            </w:pPr>
            <w:r>
              <w:rPr>
                <w:rFonts w:ascii="Arial" w:cs="Arial" w:eastAsia="Arial" w:hAnsi="Arial"/>
                <w:sz w:val="18"/>
                <w:szCs w:val="18"/>
                <w:color w:val="auto"/>
              </w:rPr>
              <w:t>Assumed interest component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400"/>
              <w:spacing w:after="0"/>
              <w:rPr>
                <w:sz w:val="20"/>
                <w:szCs w:val="20"/>
                <w:color w:val="auto"/>
              </w:rPr>
            </w:pPr>
            <w:r>
              <w:rPr>
                <w:rFonts w:ascii="Arial" w:cs="Arial" w:eastAsia="Arial" w:hAnsi="Arial"/>
                <w:sz w:val="18"/>
                <w:szCs w:val="18"/>
                <w:color w:val="auto"/>
              </w:rPr>
              <w:t>of rental charges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1,900</w:t>
            </w:r>
          </w:p>
        </w:tc>
        <w:tc>
          <w:tcPr>
            <w:tcW w:w="1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1,885</w:t>
            </w:r>
          </w:p>
        </w:tc>
        <w:tc>
          <w:tcPr>
            <w:tcW w:w="14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1,641</w:t>
            </w: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1,600</w:t>
            </w: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1,665</w:t>
            </w: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14,108</w:t>
            </w:r>
          </w:p>
        </w:tc>
        <w:tc>
          <w:tcPr>
            <w:tcW w:w="1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$14,060</w:t>
            </w:r>
          </w:p>
        </w:tc>
        <w:tc>
          <w:tcPr>
            <w:tcW w:w="14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$ 13,687</w:t>
            </w: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13,643</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13,708</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0"/>
        </w:trPr>
        <w:tc>
          <w:tcPr>
            <w:tcW w:w="28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4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(A)</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3.96</w:t>
            </w:r>
          </w:p>
        </w:tc>
        <w:tc>
          <w:tcPr>
            <w:tcW w:w="380" w:type="dxa"/>
            <w:vAlign w:val="bottom"/>
          </w:tcPr>
          <w:p>
            <w:pPr>
              <w:spacing w:after="0"/>
              <w:rPr>
                <w:sz w:val="24"/>
                <w:szCs w:val="24"/>
                <w:color w:val="auto"/>
              </w:rPr>
            </w:pPr>
          </w:p>
        </w:tc>
        <w:tc>
          <w:tcPr>
            <w:tcW w:w="1440" w:type="dxa"/>
            <w:vAlign w:val="bottom"/>
            <w:gridSpan w:val="2"/>
          </w:tcPr>
          <w:p>
            <w:pPr>
              <w:ind w:left="620"/>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 w:hanging="452"/>
        <w:spacing w:after="0" w:line="34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Due to the registrant’s losses for the years ended December 31, 2003, 2005, 2006, and 2007, and for the three months ended March 31, 2008, the ratio coverage was less than 1:1. To achieve a coverage ratio of 1:1, the registrant must generate additional earnings of the amounts shown in the table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Three months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20" w:type="dxa"/>
            <w:vAlign w:val="bottom"/>
            <w:gridSpan w:val="3"/>
            <w:vMerge w:val="restart"/>
          </w:tcPr>
          <w:p>
            <w:pPr>
              <w:jc w:val="right"/>
              <w:ind w:right="450"/>
              <w:spacing w:after="0"/>
              <w:rPr>
                <w:sz w:val="20"/>
                <w:szCs w:val="20"/>
                <w:color w:val="auto"/>
              </w:rPr>
            </w:pPr>
            <w:r>
              <w:rPr>
                <w:rFonts w:ascii="Arial" w:cs="Arial" w:eastAsia="Arial" w:hAnsi="Arial"/>
                <w:sz w:val="14"/>
                <w:szCs w:val="14"/>
                <w:color w:val="auto"/>
              </w:rPr>
              <w:t>Years ended December 31,</w:t>
            </w: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3"/>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jc w:val="center"/>
              <w:spacing w:after="0" w:line="154" w:lineRule="exact"/>
              <w:rPr>
                <w:sz w:val="20"/>
                <w:szCs w:val="20"/>
                <w:color w:val="auto"/>
              </w:rPr>
            </w:pPr>
            <w:r>
              <w:rPr>
                <w:rFonts w:ascii="Arial" w:cs="Arial" w:eastAsia="Arial" w:hAnsi="Arial"/>
                <w:sz w:val="14"/>
                <w:szCs w:val="14"/>
                <w:color w:val="auto"/>
                <w:w w:val="93"/>
              </w:rPr>
              <w:t>March 31,</w:t>
            </w:r>
          </w:p>
        </w:tc>
        <w:tc>
          <w:tcPr>
            <w:tcW w:w="0" w:type="dxa"/>
            <w:vAlign w:val="bottom"/>
          </w:tcPr>
          <w:p>
            <w:pPr>
              <w:spacing w:after="0"/>
              <w:rPr>
                <w:sz w:val="1"/>
                <w:szCs w:val="1"/>
                <w:color w:val="auto"/>
              </w:rPr>
            </w:pPr>
          </w:p>
        </w:tc>
      </w:tr>
      <w:tr>
        <w:trPr>
          <w:trHeight w:val="142"/>
        </w:trPr>
        <w:tc>
          <w:tcPr>
            <w:tcW w:w="400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1140" w:type="dxa"/>
            <w:vAlign w:val="bottom"/>
          </w:tcPr>
          <w:p>
            <w:pPr>
              <w:jc w:val="right"/>
              <w:ind w:right="339"/>
              <w:spacing w:after="0" w:line="142" w:lineRule="exact"/>
              <w:rPr>
                <w:sz w:val="20"/>
                <w:szCs w:val="20"/>
                <w:color w:val="auto"/>
              </w:rPr>
            </w:pPr>
            <w:r>
              <w:rPr>
                <w:rFonts w:ascii="Arial" w:cs="Arial" w:eastAsia="Arial" w:hAnsi="Arial"/>
                <w:sz w:val="14"/>
                <w:szCs w:val="14"/>
                <w:color w:val="auto"/>
              </w:rPr>
              <w:t>2003</w:t>
            </w:r>
          </w:p>
        </w:tc>
        <w:tc>
          <w:tcPr>
            <w:tcW w:w="1480" w:type="dxa"/>
            <w:vAlign w:val="bottom"/>
            <w:gridSpan w:val="2"/>
          </w:tcPr>
          <w:p>
            <w:pPr>
              <w:jc w:val="right"/>
              <w:ind w:right="299"/>
              <w:spacing w:after="0" w:line="142" w:lineRule="exact"/>
              <w:rPr>
                <w:sz w:val="20"/>
                <w:szCs w:val="20"/>
                <w:color w:val="auto"/>
              </w:rPr>
            </w:pPr>
            <w:r>
              <w:rPr>
                <w:rFonts w:ascii="Arial" w:cs="Arial" w:eastAsia="Arial" w:hAnsi="Arial"/>
                <w:sz w:val="14"/>
                <w:szCs w:val="14"/>
                <w:color w:val="auto"/>
              </w:rPr>
              <w:t>2005</w:t>
            </w:r>
          </w:p>
        </w:tc>
        <w:tc>
          <w:tcPr>
            <w:tcW w:w="1580" w:type="dxa"/>
            <w:vAlign w:val="bottom"/>
            <w:gridSpan w:val="2"/>
          </w:tcPr>
          <w:p>
            <w:pPr>
              <w:jc w:val="right"/>
              <w:ind w:right="330"/>
              <w:spacing w:after="0" w:line="142" w:lineRule="exact"/>
              <w:rPr>
                <w:sz w:val="20"/>
                <w:szCs w:val="20"/>
                <w:color w:val="auto"/>
              </w:rPr>
            </w:pPr>
            <w:r>
              <w:rPr>
                <w:rFonts w:ascii="Arial" w:cs="Arial" w:eastAsia="Arial" w:hAnsi="Arial"/>
                <w:sz w:val="14"/>
                <w:szCs w:val="14"/>
                <w:color w:val="auto"/>
              </w:rPr>
              <w:t>2006</w:t>
            </w:r>
          </w:p>
        </w:tc>
        <w:tc>
          <w:tcPr>
            <w:tcW w:w="1600" w:type="dxa"/>
            <w:vAlign w:val="bottom"/>
            <w:gridSpan w:val="2"/>
          </w:tcPr>
          <w:p>
            <w:pPr>
              <w:jc w:val="right"/>
              <w:ind w:right="350"/>
              <w:spacing w:after="0" w:line="142" w:lineRule="exact"/>
              <w:rPr>
                <w:sz w:val="20"/>
                <w:szCs w:val="20"/>
                <w:color w:val="auto"/>
              </w:rPr>
            </w:pPr>
            <w:r>
              <w:rPr>
                <w:rFonts w:ascii="Arial" w:cs="Arial" w:eastAsia="Arial" w:hAnsi="Arial"/>
                <w:sz w:val="14"/>
                <w:szCs w:val="14"/>
                <w:color w:val="auto"/>
              </w:rPr>
              <w:t>2007</w:t>
            </w:r>
          </w:p>
        </w:tc>
        <w:tc>
          <w:tcPr>
            <w:tcW w:w="1620" w:type="dxa"/>
            <w:vAlign w:val="bottom"/>
            <w:gridSpan w:val="2"/>
          </w:tcPr>
          <w:p>
            <w:pPr>
              <w:jc w:val="center"/>
              <w:ind w:left="368"/>
              <w:spacing w:after="0" w:line="142" w:lineRule="exact"/>
              <w:rPr>
                <w:sz w:val="20"/>
                <w:szCs w:val="20"/>
                <w:color w:val="auto"/>
              </w:rPr>
            </w:pPr>
            <w:r>
              <w:rPr>
                <w:rFonts w:ascii="Arial" w:cs="Arial" w:eastAsia="Arial" w:hAnsi="Arial"/>
                <w:sz w:val="14"/>
                <w:szCs w:val="14"/>
                <w:color w:val="auto"/>
                <w:w w:val="96"/>
              </w:rPr>
              <w:t>2008</w:t>
            </w:r>
          </w:p>
        </w:tc>
        <w:tc>
          <w:tcPr>
            <w:tcW w:w="0" w:type="dxa"/>
            <w:vAlign w:val="bottom"/>
          </w:tcPr>
          <w:p>
            <w:pPr>
              <w:spacing w:after="0"/>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114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$107,638</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$95,378</w:t>
            </w:r>
          </w:p>
        </w:tc>
        <w:tc>
          <w:tcPr>
            <w:tcW w:w="440" w:type="dxa"/>
            <w:vAlign w:val="bottom"/>
          </w:tcPr>
          <w:p>
            <w:pPr>
              <w:spacing w:after="0"/>
              <w:rPr>
                <w:sz w:val="19"/>
                <w:szCs w:val="19"/>
                <w:color w:val="auto"/>
              </w:rPr>
            </w:pP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$103,077</w:t>
            </w:r>
          </w:p>
        </w:tc>
        <w:tc>
          <w:tcPr>
            <w:tcW w:w="460" w:type="dxa"/>
            <w:vAlign w:val="bottom"/>
          </w:tcPr>
          <w:p>
            <w:pPr>
              <w:spacing w:after="0"/>
              <w:rPr>
                <w:sz w:val="19"/>
                <w:szCs w:val="19"/>
                <w:color w:val="auto"/>
              </w:rPr>
            </w:pPr>
          </w:p>
        </w:tc>
        <w:tc>
          <w:tcPr>
            <w:tcW w:w="11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$105,577</w:t>
            </w:r>
          </w:p>
        </w:tc>
        <w:tc>
          <w:tcPr>
            <w:tcW w:w="440" w:type="dxa"/>
            <w:vAlign w:val="bottom"/>
          </w:tcPr>
          <w:p>
            <w:pPr>
              <w:spacing w:after="0"/>
              <w:rPr>
                <w:sz w:val="19"/>
                <w:szCs w:val="19"/>
                <w:color w:val="auto"/>
              </w:rPr>
            </w:pPr>
          </w:p>
        </w:tc>
        <w:tc>
          <w:tcPr>
            <w:tcW w:w="1180" w:type="dxa"/>
            <w:vAlign w:val="bottom"/>
            <w:tcBorders>
              <w:top w:val="single" w:sz="8" w:color="auto"/>
            </w:tcBorders>
          </w:tcPr>
          <w:p>
            <w:pPr>
              <w:jc w:val="right"/>
              <w:ind w:right="264"/>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1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left="1360" w:hanging="447"/>
        <w:spacing w:after="0" w:line="264" w:lineRule="auto"/>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4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40" w:hanging="447"/>
        <w:spacing w:after="0" w:line="342" w:lineRule="auto"/>
        <w:tabs>
          <w:tab w:leader="none" w:pos="13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20" w:hanging="447"/>
        <w:spacing w:after="0" w:line="277" w:lineRule="auto"/>
        <w:tabs>
          <w:tab w:leader="none" w:pos="1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2,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S. Schleifer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Leonard S. Schleifer, M.D., Ph.D.</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380"/>
          </w:cols>
          <w:pgMar w:left="240" w:top="935" w:right="27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11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ind w:left="1360" w:hanging="447"/>
        <w:spacing w:after="0" w:line="264"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4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40" w:hanging="447"/>
        <w:spacing w:after="0" w:line="342" w:lineRule="auto"/>
        <w:tabs>
          <w:tab w:leader="none" w:pos="13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20" w:hanging="447"/>
        <w:spacing w:after="0" w:line="277"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2,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Murray A. Goldberg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Murray A. Goldberg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Finance &amp;</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Administration,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 and Assistant Secretary</w:t>
            </w:r>
          </w:p>
        </w:tc>
      </w:tr>
    </w:tbl>
    <w:p>
      <w:pPr>
        <w:sectPr>
          <w:pgSz w:w="11900" w:h="16838" w:orient="portrait"/>
          <w:cols w:equalWidth="0" w:num="1">
            <w:col w:w="11380"/>
          </w:cols>
          <w:pgMar w:left="240" w:top="936" w:right="27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March 31, 2008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79" w:lineRule="exact"/>
        <w:rPr>
          <w:sz w:val="20"/>
          <w:szCs w:val="20"/>
          <w:color w:val="auto"/>
        </w:rPr>
      </w:pPr>
    </w:p>
    <w:p>
      <w:pPr>
        <w:ind w:left="480" w:hanging="247"/>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212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212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2008</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2"/>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decimal"/>
      <w:start w:val="32"/>
    </w:lvl>
  </w:abstractNum>
  <w:abstractNum w:abstractNumId="11">
    <w:nsid w:val="41A7C4C9"/>
    <w:multiLevelType w:val="hybridMultilevel"/>
    <w:lvl w:ilvl="0">
      <w:lvlJc w:val="left"/>
      <w:lvlText w:val="(%1)"/>
      <w:numFmt w:val="upperLetter"/>
      <w:start w:val="1"/>
    </w:lvl>
  </w:abstractNum>
  <w:abstractNum w:abstractNumId="12">
    <w:nsid w:val="6B68079A"/>
    <w:multiLevelType w:val="hybridMultilevel"/>
    <w:lvl w:ilvl="0">
      <w:lvlJc w:val="left"/>
      <w:lvlText w:val="%1."/>
      <w:numFmt w:val="decimal"/>
      <w:start w:val="1"/>
    </w:lvl>
    <w:lvl w:ilvl="1">
      <w:lvlJc w:val="left"/>
      <w:lvlText w:val="%2)"/>
      <w:numFmt w:val="lowerLetter"/>
      <w:start w:val="1"/>
    </w:lvl>
  </w:abstractNum>
  <w:abstractNum w:abstractNumId="13">
    <w:nsid w:val="4E6AFB66"/>
    <w:multiLevelType w:val="hybridMultilevel"/>
    <w:lvl w:ilvl="0">
      <w:lvlJc w:val="left"/>
      <w:lvlText w:val="%1"/>
      <w:numFmt w:val="decimal"/>
      <w:start w:val="1"/>
    </w:lvl>
    <w:lvl w:ilvl="1">
      <w:lvlJc w:val="left"/>
      <w:lvlText w:val="%2)"/>
      <w:numFmt w:val="lowerLetter"/>
      <w:start w:val="4"/>
    </w:lvl>
  </w:abstractNum>
  <w:abstractNum w:abstractNumId="14">
    <w:nsid w:val="25E45D32"/>
    <w:multiLevelType w:val="hybridMultilevel"/>
    <w:lvl w:ilvl="0">
      <w:lvlJc w:val="left"/>
      <w:lvlText w:val="%1."/>
      <w:numFmt w:val="decimal"/>
      <w:start w:val="5"/>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4"/>
    </w:lvl>
  </w:abstractNum>
  <w:abstractNum w:abstractNumId="17">
    <w:nsid w:val="3F2DBA31"/>
    <w:multiLevelType w:val="hybridMultilevel"/>
    <w:lvl w:ilvl="0">
      <w:lvlJc w:val="left"/>
      <w:lvlText w:val="%1."/>
      <w:numFmt w:val="decimal"/>
      <w:start w:val="5"/>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2019-12-20T03:17:48Z</dcterms:created>
  <dcterms:modified xsi:type="dcterms:W3CDTF">2019-12-20T03:17:48Z</dcterms:modified>
</cp:coreProperties>
</file>