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532765</wp:posOffset>
            </wp:positionV>
            <wp:extent cx="5149850" cy="46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460"/>
        <w:spacing w:after="0"/>
        <w:tabs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December 31, 2004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1282700</wp:posOffset>
            </wp:positionH>
            <wp:positionV relativeFrom="paragraph">
              <wp:posOffset>83820</wp:posOffset>
            </wp:positionV>
            <wp:extent cx="25901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133444607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(State or other jurisdiction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jc w:val="center"/>
              <w:ind w:righ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(Commission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(IRS Employer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of incorporation)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jc w:val="center"/>
              <w:ind w:righ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File Number)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Identification No.)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68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  <w:gridSpan w:val="6"/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777 Old Saw Mill River Road, Tarrytown, New York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10591-6707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0"/>
        </w:trPr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  <w:gridSpan w:val="6"/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(Address of principal executive offices)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 Code)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(914) 347-7000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(Registrant's telephone number, including area code)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-1555115</wp:posOffset>
            </wp:positionV>
            <wp:extent cx="34290" cy="34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3002280</wp:posOffset>
            </wp:positionH>
            <wp:positionV relativeFrom="paragraph">
              <wp:posOffset>-1555115</wp:posOffset>
            </wp:positionV>
            <wp:extent cx="3429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4751705</wp:posOffset>
            </wp:positionH>
            <wp:positionV relativeFrom="paragraph">
              <wp:posOffset>-1555115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right="2259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76" w:lineRule="exact"/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</w:p>
    <w:p>
      <w:pPr>
        <w:ind w:left="340" w:hanging="332"/>
        <w:spacing w:after="0" w:line="23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7" w:lineRule="exact"/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</w:p>
    <w:p>
      <w:pPr>
        <w:ind w:left="340" w:right="3659" w:hanging="332"/>
        <w:spacing w:after="0" w:line="18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238" w:lineRule="exact"/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</w:p>
    <w:p>
      <w:pPr>
        <w:ind w:left="340" w:right="3679" w:hanging="332"/>
        <w:spacing w:after="0" w:line="18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222885</wp:posOffset>
            </wp:positionV>
            <wp:extent cx="5192395" cy="46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Entry into a Material Definitive Agreement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300" w:right="2219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On December 31, 2004, the Company and Aventis Pharmaceuticals, Inc. entered into a First Amendment (the “First Amendment”) to their Collaboration Agreement dated as of September 5, 2003 (the “Collaboration Agreement”). The First Amendment amended the requirements for the $25 million milestone 1 payment referred to in Schedule 2 of the Collaboration Agreement. The Company has met these amended requirements and thus earned this $25 million milestone in December 2004. No other changes were made to the terms of the Collaboration Agreement.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344170</wp:posOffset>
            </wp:positionV>
            <wp:extent cx="5192395" cy="46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Pursuant to the requirements of the Securities and Exchange Act of 1934, the registrant has duly caused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report to be signed on its behalf by the undersigned hereunto duly authorized.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right"/>
        <w:ind w:right="2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  <w:tab w:leader="none" w:pos="420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</w:t>
        <w:tab/>
        <w:t>January 6, 2005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Stuart Kolinski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2938145</wp:posOffset>
            </wp:positionH>
            <wp:positionV relativeFrom="paragraph">
              <wp:posOffset>80010</wp:posOffset>
            </wp:positionV>
            <wp:extent cx="22123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Stuart Kolinski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Vice President and General Counsel</w:t>
      </w:r>
    </w:p>
    <w:sectPr>
      <w:pgSz w:w="11900" w:h="16838" w:orient="portrait"/>
      <w:cols w:equalWidth="0" w:num="1">
        <w:col w:w="10219"/>
      </w:cols>
      <w:pgMar w:left="24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2019-12-20T06:52:47Z</dcterms:created>
  <dcterms:modified xsi:type="dcterms:W3CDTF">2019-12-20T06:52:47Z</dcterms:modified>
</cp:coreProperties>
</file>