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Filed Pursuant to Rule 424(b)(1)</w:t>
      </w:r>
    </w:p>
    <w:p>
      <w:pPr>
        <w:ind w:left="4960"/>
        <w:spacing w:after="0"/>
        <w:rPr>
          <w:sz w:val="20"/>
          <w:szCs w:val="20"/>
          <w:color w:val="auto"/>
        </w:rPr>
      </w:pPr>
      <w:r>
        <w:rPr>
          <w:rFonts w:ascii="Courier New" w:cs="Courier New" w:eastAsia="Courier New" w:hAnsi="Courier New"/>
          <w:sz w:val="18"/>
          <w:szCs w:val="18"/>
          <w:color w:val="auto"/>
        </w:rPr>
        <w:t>Registration No. 333-54326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7,000,000 SHARES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Regeneron is selling 6,500,000 shares. The selling shareholder is selling 500,000 shares of our common stock.</w:t>
      </w:r>
    </w:p>
    <w:p>
      <w:pPr>
        <w:spacing w:after="0" w:line="18" w:lineRule="exact"/>
        <w:rPr>
          <w:sz w:val="24"/>
          <w:szCs w:val="24"/>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shares are quoted on the Nasdaq National Market under the symbol "REGN." On March 19, 2001, the last sale price of the shares as reported on the Nasdaq National Market was $25.125 per share.</w:t>
      </w:r>
    </w:p>
    <w:p>
      <w:pPr>
        <w:spacing w:after="0" w:line="66" w:lineRule="exact"/>
        <w:rPr>
          <w:sz w:val="24"/>
          <w:szCs w:val="24"/>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5 OF THIS PROSPECTUS.</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5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5380" w:type="dxa"/>
            <w:vAlign w:val="bottom"/>
          </w:tcPr>
          <w:p>
            <w:pPr>
              <w:spacing w:after="0"/>
              <w:rPr>
                <w:sz w:val="24"/>
                <w:szCs w:val="24"/>
                <w:color w:val="auto"/>
              </w:rPr>
            </w:pPr>
          </w:p>
        </w:tc>
        <w:tc>
          <w:tcPr>
            <w:tcW w:w="16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PER SHARE</w:t>
            </w:r>
          </w:p>
        </w:tc>
        <w:tc>
          <w:tcPr>
            <w:tcW w:w="7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96"/>
        </w:trPr>
        <w:tc>
          <w:tcPr>
            <w:tcW w:w="5380" w:type="dxa"/>
            <w:vAlign w:val="bottom"/>
          </w:tcPr>
          <w:p>
            <w:pPr>
              <w:spacing w:after="0"/>
              <w:rPr>
                <w:sz w:val="24"/>
                <w:szCs w:val="24"/>
                <w:color w:val="auto"/>
              </w:rPr>
            </w:pPr>
          </w:p>
        </w:tc>
        <w:tc>
          <w:tcPr>
            <w:tcW w:w="16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3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Public offering price.............................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25.00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175,000,000</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Underwriting discount.............................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8,750,000</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Proceeds, before expenses, to Regeneron...........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23.75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154,375,000</w:t>
            </w:r>
          </w:p>
        </w:tc>
        <w:tc>
          <w:tcPr>
            <w:tcW w:w="0" w:type="dxa"/>
            <w:vAlign w:val="bottom"/>
          </w:tcPr>
          <w:p>
            <w:pPr>
              <w:spacing w:after="0"/>
              <w:rPr>
                <w:sz w:val="1"/>
                <w:szCs w:val="1"/>
                <w:color w:val="auto"/>
              </w:rPr>
            </w:pPr>
          </w:p>
        </w:tc>
      </w:tr>
      <w:tr>
        <w:trPr>
          <w:trHeight w:val="203"/>
        </w:trPr>
        <w:tc>
          <w:tcPr>
            <w:tcW w:w="5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7"/>
              </w:rPr>
              <w:t>Proceeds, before expenses, to the selling</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w w:val="92"/>
              </w:rPr>
              <w:t>23.75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11,875,000</w:t>
            </w:r>
          </w:p>
        </w:tc>
        <w:tc>
          <w:tcPr>
            <w:tcW w:w="0" w:type="dxa"/>
            <w:vAlign w:val="bottom"/>
          </w:tcPr>
          <w:p>
            <w:pPr>
              <w:spacing w:after="0"/>
              <w:rPr>
                <w:sz w:val="1"/>
                <w:szCs w:val="1"/>
                <w:color w:val="auto"/>
              </w:rPr>
            </w:pPr>
          </w:p>
        </w:tc>
      </w:tr>
      <w:tr>
        <w:trPr>
          <w:trHeight w:val="296"/>
        </w:trPr>
        <w:tc>
          <w:tcPr>
            <w:tcW w:w="5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shareholder.....................................</w:t>
            </w:r>
          </w:p>
        </w:tc>
        <w:tc>
          <w:tcPr>
            <w:tcW w:w="3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4"/>
          <w:szCs w:val="24"/>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The underwriters may also purchase up to 1,050,000 additional shares from Regeneron at the public offering price, less the underwriting discount, within 30 days from the date of this prospectus to cover over-allotments.</w:t>
      </w:r>
    </w:p>
    <w:p>
      <w:pPr>
        <w:spacing w:after="0" w:line="66" w:lineRule="exact"/>
        <w:rPr>
          <w:sz w:val="24"/>
          <w:szCs w:val="24"/>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shares will be ready for delivery on or about March 23, 2001.</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JPMORGAN</w:t>
      </w:r>
    </w:p>
    <w:p>
      <w:pPr>
        <w:jc w:val="right"/>
        <w:ind w:right="1779"/>
        <w:spacing w:after="0" w:line="238" w:lineRule="auto"/>
        <w:rPr>
          <w:sz w:val="20"/>
          <w:szCs w:val="20"/>
          <w:color w:val="auto"/>
        </w:rPr>
      </w:pPr>
      <w:r>
        <w:rPr>
          <w:rFonts w:ascii="Courier New" w:cs="Courier New" w:eastAsia="Courier New" w:hAnsi="Courier New"/>
          <w:sz w:val="18"/>
          <w:szCs w:val="18"/>
          <w:color w:val="auto"/>
        </w:rPr>
        <w:t>ROBERTSON STEPHENS</w:t>
      </w:r>
    </w:p>
    <w:p>
      <w:pPr>
        <w:ind w:left="3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The date of this prospectus is March 19, 2001.</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4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520" w:type="dxa"/>
            <w:vAlign w:val="bottom"/>
          </w:tcPr>
          <w:p>
            <w:pPr>
              <w:spacing w:after="0"/>
              <w:rPr>
                <w:sz w:val="24"/>
                <w:szCs w:val="24"/>
                <w:color w:val="auto"/>
              </w:rPr>
            </w:pPr>
          </w:p>
        </w:tc>
      </w:tr>
      <w:tr>
        <w:trPr>
          <w:trHeight w:val="717"/>
        </w:trPr>
        <w:tc>
          <w:tcPr>
            <w:tcW w:w="6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6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Summary.....................................................</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Risk Factors................................................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Forward-Looking Statements..................................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Use of Proceeds.............................................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Dividend Policy.............................................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Capitalization..............................................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Dilution....................................................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Selected Financial Data.....................................</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Management..................................................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Investment Company Act Considerations.......................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Description of Capital Stock................................</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Selling Shareholder.........................................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Underwriting................................................</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Matters...............................................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Experts.....................................................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96"/>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Where You Can Find Additional Information...................</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w:t>
            </w:r>
          </w:p>
        </w:tc>
      </w:tr>
    </w:tbl>
    <w:p>
      <w:pPr>
        <w:spacing w:after="0" w:line="311" w:lineRule="exact"/>
        <w:rPr>
          <w:sz w:val="20"/>
          <w:szCs w:val="20"/>
          <w:color w:val="auto"/>
        </w:rPr>
      </w:pPr>
    </w:p>
    <w:p>
      <w:pPr>
        <w:ind w:right="1879" w:firstLine="527"/>
        <w:spacing w:after="0" w:line="283" w:lineRule="auto"/>
        <w:rPr>
          <w:sz w:val="20"/>
          <w:szCs w:val="20"/>
          <w:color w:val="auto"/>
        </w:rPr>
      </w:pPr>
      <w:r>
        <w:rPr>
          <w:rFonts w:ascii="Courier New" w:cs="Courier New" w:eastAsia="Courier New" w:hAnsi="Courier New"/>
          <w:sz w:val="16"/>
          <w:szCs w:val="16"/>
          <w:color w:val="auto"/>
        </w:rPr>
        <w:t>In this prospectus, "Regeneron," "our company," "we," "us," "the issuer," "the registrant," and "our" refer to Regeneron Pharmaceuticals, Inc. 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 Unless otherwise indicated, all information in this prospectus assumes no exercise of the underwriters' over-allotment option, gives no effect to the exercise of outstanding options and warrants to purchase common stock, and assumes all share numbers set forth in this prospectus are as of March 16, 2001.</w:t>
      </w:r>
    </w:p>
    <w:p>
      <w:pPr>
        <w:spacing w:after="0" w:line="9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98"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105"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A key aspect of our strategy is to retain significant ownership and commercialization rights to our pipeline. 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93" w:lineRule="exact"/>
        <w:rPr>
          <w:sz w:val="20"/>
          <w:szCs w:val="20"/>
          <w:color w:val="auto"/>
        </w:rPr>
      </w:pPr>
    </w:p>
    <w:p>
      <w:pPr>
        <w:ind w:left="740" w:right="1779" w:hanging="205"/>
        <w:spacing w:after="0" w:line="252"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AXOKINE(R): Acts on the brain region regulating food intake and energy expenditure and is being developed for the treatment of obesity. In November 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Subject to discussions with the FDA, we intend to initiate Phase III testing of AXOKINE in severely obese patients in mid-2001.</w:t>
      </w:r>
    </w:p>
    <w:p>
      <w:pPr>
        <w:spacing w:after="0" w:line="98" w:lineRule="exact"/>
        <w:rPr>
          <w:rFonts w:ascii="Courier New" w:cs="Courier New" w:eastAsia="Courier New" w:hAnsi="Courier New"/>
          <w:sz w:val="18"/>
          <w:szCs w:val="18"/>
          <w:color w:val="auto"/>
        </w:rPr>
      </w:pPr>
    </w:p>
    <w:p>
      <w:pPr>
        <w:ind w:left="740" w:right="1879" w:hanging="205"/>
        <w:spacing w:after="0" w:line="274"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PEGYLATED AXOKINE: Chemically modified version of AXOKINE that is being developed as a more potent, longer-acting form of the protein. Pegylated AXOKINE currently is in late-stage preclinical development and we anticipate initiating a Phase I clinical trial in mid-2001.</w:t>
      </w:r>
    </w:p>
    <w:p>
      <w:pPr>
        <w:spacing w:after="0" w:line="81" w:lineRule="exact"/>
        <w:rPr>
          <w:rFonts w:ascii="Courier New" w:cs="Courier New" w:eastAsia="Courier New" w:hAnsi="Courier New"/>
          <w:sz w:val="18"/>
          <w:szCs w:val="18"/>
          <w:color w:val="auto"/>
        </w:rPr>
      </w:pPr>
    </w:p>
    <w:p>
      <w:pPr>
        <w:ind w:left="740" w:right="1779" w:hanging="205"/>
        <w:spacing w:after="0" w:line="260"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INTERLEUKIN-1 CYTOKINE TRAP (IL-1 TRAP): Protein-based antagonist for the interleukin-1 (called IL-1) cytokine. IL-1 is thought to play a major role in rheumatoid arthritis and other inflammatory diseases. In December 2000, we initiated a Phase I study to assess the safety and tolerability of the IL-1 Trap in patients with rheumatoid arthritis. We expect the study to be completed in the second half of 2001.</w:t>
      </w:r>
    </w:p>
    <w:p>
      <w:pPr>
        <w:spacing w:after="0" w:line="9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INTERLEUKIN-4/INTERLEUKIN-13 CYTOKINE TRAP (IL-4/IL-13</w:t>
      </w:r>
    </w:p>
    <w:p>
      <w:pPr>
        <w:spacing w:after="0" w:line="30" w:lineRule="exact"/>
        <w:rPr>
          <w:rFonts w:ascii="Courier New" w:cs="Courier New" w:eastAsia="Courier New" w:hAnsi="Courier New"/>
          <w:sz w:val="18"/>
          <w:szCs w:val="18"/>
          <w:color w:val="auto"/>
        </w:rPr>
      </w:pPr>
    </w:p>
    <w:p>
      <w:pPr>
        <w:ind w:left="740" w:right="1779"/>
        <w:spacing w:after="0" w:line="29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TRAP): Protein-based antagonist for the interleukin-4 and interleukin-13 (called IL-4 and IL-13) cytokines which are thought to play a major role in diseases such as asthma, allergic disorders, and other inflammatory diseases. We expect to initiate a Phase I clinical trial of a dual IL-4/IL-13 Trap for asthma/allergy-related conditions in late 2001.</w:t>
      </w:r>
    </w:p>
    <w:p>
      <w:pPr>
        <w:sectPr>
          <w:pgSz w:w="11900" w:h="16838" w:orient="portrait"/>
          <w:cols w:equalWidth="0" w:num="1">
            <w:col w:w="10219"/>
          </w:cols>
          <w:pgMar w:left="240" w:top="285" w:right="1440" w:bottom="1019" w:gutter="0" w:footer="0" w:header="0"/>
        </w:sectPr>
      </w:pPr>
    </w:p>
    <w:p>
      <w:pPr>
        <w:spacing w:after="0" w:line="7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85" w:right="1440" w:bottom="1019"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740" w:right="1879" w:hanging="205"/>
        <w:spacing w:after="0" w:line="260"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VEGF TRAP: Protein-based antagonist to Vascular Endothelial Growth Factor (called VEGF, also known as Vascular Permeability Factor or VPF). VEGF is required for the growth of blood vessels that are needed for tumors to grow and is a potent regulator of vascular permeability and leak. The VEGF Trap is expected to enter Phase I clinical trials in mid-2001.</w:t>
      </w:r>
    </w:p>
    <w:p>
      <w:pPr>
        <w:spacing w:after="0" w:line="92" w:lineRule="exact"/>
        <w:rPr>
          <w:rFonts w:ascii="Courier New" w:cs="Courier New" w:eastAsia="Courier New" w:hAnsi="Courier New"/>
          <w:sz w:val="18"/>
          <w:szCs w:val="18"/>
          <w:color w:val="auto"/>
        </w:rPr>
      </w:pPr>
    </w:p>
    <w:p>
      <w:pPr>
        <w:ind w:left="740" w:right="1779" w:hanging="205"/>
        <w:spacing w:after="0" w:line="293" w:lineRule="auto"/>
        <w:tabs>
          <w:tab w:leader="none" w:pos="7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ANGIOPOIETINS: A new family of growth factors that act specifically on the endothelium cells that line blood vessels. Angiopoietins may be 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72"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are conducting clinical trials with Neurotrophin-3, or NT-3, for the treatment of constipating conditions. In all of these research collaborations, we retain 50% of the commercialization rights.</w:t>
      </w:r>
    </w:p>
    <w:p>
      <w:pPr>
        <w:spacing w:after="0" w:line="99"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have made a substantial investment in our manufacturing facilities in Tarrytown, New York and Rensselaer, New York in order to develop our own manufacturing capabilities to support our clinical and preclinical programs and better position us to commercialize our product candidates. Currently we dedicate approximately 200 people to these internal manufacturing activities, as well as the manufacture of a product for Merck &amp; Co., Inc. We will continue to upgrade and expand our manufacturing facilities as we advance our product candidates toward commercialization.</w:t>
      </w:r>
    </w:p>
    <w:p>
      <w:pPr>
        <w:spacing w:after="0" w:line="1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We are a New York corporation organized on January 8, 1988. Our executive offices are at 777 Old Saw Mill River Road, Tarrytown, NY 10591-6707 and our telephone number is (914) 347-7000.</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28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318" w:lineRule="auto"/>
        <w:rPr>
          <w:sz w:val="20"/>
          <w:szCs w:val="20"/>
          <w:color w:val="auto"/>
        </w:rPr>
      </w:pPr>
      <w:r>
        <w:rPr>
          <w:rFonts w:ascii="Courier New" w:cs="Courier New" w:eastAsia="Courier New" w:hAnsi="Courier New"/>
          <w:sz w:val="16"/>
          <w:szCs w:val="16"/>
          <w:color w:val="auto"/>
        </w:rPr>
        <w:t>7,000,000 shares of our common stock. Of these shares, Regeneron will offer 6,500,000 shares and the selling shareholder will offer 500,000 shares.</w:t>
      </w:r>
    </w:p>
    <w:p>
      <w:pPr>
        <w:spacing w:after="0" w:line="52" w:lineRule="exact"/>
        <w:rPr>
          <w:sz w:val="20"/>
          <w:szCs w:val="20"/>
          <w:color w:val="auto"/>
        </w:rPr>
      </w:pPr>
    </w:p>
    <w:p>
      <w:pPr>
        <w:sectPr>
          <w:pgSz w:w="11900" w:h="16838" w:orient="portrait"/>
          <w:cols w:equalWidth="0" w:num="2">
            <w:col w:w="3800" w:space="520"/>
            <w:col w:w="589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 outstanding after the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offering:</w:t>
      </w:r>
    </w:p>
    <w:p>
      <w:pPr>
        <w:sectPr>
          <w:pgSz w:w="11900" w:h="16838" w:orient="portrait"/>
          <w:cols w:equalWidth="0" w:num="1">
            <w:col w:w="10219"/>
          </w:cols>
          <w:pgMar w:left="240" w:top="285" w:right="1440" w:bottom="1440" w:gutter="0" w:footer="0" w:header="0"/>
          <w:type w:val="continuous"/>
        </w:sectPr>
      </w:pPr>
    </w:p>
    <w:p>
      <w:pPr>
        <w:spacing w:after="0" w:line="169"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Common stock...................</w:t>
      </w:r>
    </w:p>
    <w:p>
      <w:pPr>
        <w:spacing w:after="0" w:line="5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Class A stock..................</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6"/>
          <w:szCs w:val="16"/>
          <w:color w:val="auto"/>
        </w:rPr>
        <w:t>40,787,624 shares</w:t>
      </w:r>
    </w:p>
    <w:p>
      <w:pPr>
        <w:spacing w:after="0" w:line="52"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2,575,165 shares</w:t>
      </w:r>
    </w:p>
    <w:p>
      <w:pPr>
        <w:jc w:val="right"/>
        <w:ind w:right="4099"/>
        <w:spacing w:after="0"/>
        <w:rPr>
          <w:sz w:val="20"/>
          <w:szCs w:val="20"/>
          <w:color w:val="auto"/>
        </w:rPr>
      </w:pPr>
      <w:r>
        <w:rPr>
          <w:rFonts w:ascii="Courier New" w:cs="Courier New" w:eastAsia="Courier New" w:hAnsi="Courier New"/>
          <w:sz w:val="16"/>
          <w:szCs w:val="16"/>
          <w:color w:val="auto"/>
        </w:rPr>
        <w:t>43,362,789 shares</w:t>
      </w:r>
    </w:p>
    <w:p>
      <w:pPr>
        <w:spacing w:after="0" w:line="191" w:lineRule="exact"/>
        <w:rPr>
          <w:sz w:val="20"/>
          <w:szCs w:val="20"/>
          <w:color w:val="auto"/>
        </w:rPr>
      </w:pPr>
    </w:p>
    <w:p>
      <w:pPr>
        <w:sectPr>
          <w:pgSz w:w="11900" w:h="16838" w:orient="portrait"/>
          <w:cols w:equalWidth="0" w:num="2">
            <w:col w:w="3800" w:space="520"/>
            <w:col w:w="5899"/>
          </w:cols>
          <w:pgMar w:left="240" w:top="285" w:right="1440" w:bottom="1440" w:gutter="0" w:footer="0" w:header="0"/>
          <w:type w:val="continuous"/>
        </w:sectPr>
      </w:pPr>
    </w:p>
    <w:p>
      <w:pPr>
        <w:ind w:left="4320"/>
        <w:spacing w:after="0"/>
        <w:rPr>
          <w:sz w:val="20"/>
          <w:szCs w:val="20"/>
          <w:color w:val="auto"/>
        </w:rPr>
      </w:pPr>
      <w:r>
        <w:rPr>
          <w:rFonts w:ascii="Courier New" w:cs="Courier New" w:eastAsia="Courier New" w:hAnsi="Courier New"/>
          <w:sz w:val="18"/>
          <w:szCs w:val="18"/>
          <w:color w:val="auto"/>
        </w:rPr>
        <w:t>Holders of our Class A stock are</w:t>
      </w:r>
    </w:p>
    <w:p>
      <w:pPr>
        <w:spacing w:after="0" w:line="3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entitled to ten votes per share and the</w:t>
      </w:r>
    </w:p>
    <w:p>
      <w:pPr>
        <w:spacing w:after="0" w:line="2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holders of our common stock are</w:t>
      </w:r>
    </w:p>
    <w:p>
      <w:pPr>
        <w:ind w:left="4320"/>
        <w:spacing w:after="0"/>
        <w:rPr>
          <w:sz w:val="20"/>
          <w:szCs w:val="20"/>
          <w:color w:val="auto"/>
        </w:rPr>
      </w:pPr>
      <w:r>
        <w:rPr>
          <w:rFonts w:ascii="Courier New" w:cs="Courier New" w:eastAsia="Courier New" w:hAnsi="Courier New"/>
          <w:sz w:val="18"/>
          <w:szCs w:val="18"/>
          <w:color w:val="auto"/>
        </w:rPr>
        <w:t>entitled to one vote per share.</w:t>
      </w:r>
    </w:p>
    <w:p>
      <w:pPr>
        <w:sectPr>
          <w:pgSz w:w="11900" w:h="16838" w:orient="portrait"/>
          <w:cols w:equalWidth="0" w:num="1">
            <w:col w:w="10219"/>
          </w:cols>
          <w:pgMar w:left="240" w:top="285"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879"/>
        <w:spacing w:after="0" w:line="285" w:lineRule="auto"/>
        <w:rPr>
          <w:sz w:val="20"/>
          <w:szCs w:val="20"/>
          <w:color w:val="auto"/>
        </w:rPr>
      </w:pPr>
      <w:r>
        <w:rPr>
          <w:rFonts w:ascii="Courier New" w:cs="Courier New" w:eastAsia="Courier New" w:hAnsi="Courier New"/>
          <w:sz w:val="16"/>
          <w:szCs w:val="16"/>
          <w:color w:val="auto"/>
        </w:rPr>
        <w:t>We will receive net proceeds from this offering of approximately $153.6 million. We intend to use the net proceeds for preclinical and clinical development of our product candidates, basic research activities, development of novel technology platforms, and general corporate purposes, including capital expenditures and working capital. See "Use of Proceeds".</w:t>
      </w:r>
    </w:p>
    <w:p>
      <w:pPr>
        <w:spacing w:after="0" w:line="76" w:lineRule="exact"/>
        <w:rPr>
          <w:sz w:val="20"/>
          <w:szCs w:val="20"/>
          <w:color w:val="auto"/>
        </w:rPr>
      </w:pPr>
    </w:p>
    <w:p>
      <w:pPr>
        <w:sectPr>
          <w:pgSz w:w="11900" w:h="16838" w:orient="portrait"/>
          <w:cols w:equalWidth="0" w:num="2">
            <w:col w:w="3800" w:space="520"/>
            <w:col w:w="5899"/>
          </w:cols>
          <w:pgMar w:left="240" w:top="285" w:right="1440" w:bottom="1440" w:gutter="0" w:footer="0" w:header="0"/>
          <w:type w:val="continuous"/>
        </w:sectPr>
      </w:pPr>
    </w:p>
    <w:p>
      <w:pPr>
        <w:ind w:left="4320"/>
        <w:spacing w:after="0"/>
        <w:rPr>
          <w:sz w:val="20"/>
          <w:szCs w:val="20"/>
          <w:color w:val="auto"/>
        </w:rPr>
      </w:pPr>
      <w:r>
        <w:rPr>
          <w:rFonts w:ascii="Courier New" w:cs="Courier New" w:eastAsia="Courier New" w:hAnsi="Courier New"/>
          <w:sz w:val="16"/>
          <w:szCs w:val="16"/>
          <w:color w:val="auto"/>
        </w:rPr>
        <w:t>We will not receive any of the proceeds</w:t>
      </w:r>
    </w:p>
    <w:p>
      <w:pPr>
        <w:spacing w:after="0" w:line="5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from the shares of common stock sold by</w:t>
      </w:r>
    </w:p>
    <w:p>
      <w:pPr>
        <w:spacing w:after="0" w:line="2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the selling shareholder. See "Selling</w:t>
      </w:r>
    </w:p>
    <w:p>
      <w:pPr>
        <w:ind w:left="4320"/>
        <w:spacing w:after="0"/>
        <w:rPr>
          <w:sz w:val="20"/>
          <w:szCs w:val="20"/>
          <w:color w:val="auto"/>
        </w:rPr>
      </w:pPr>
      <w:r>
        <w:rPr>
          <w:rFonts w:ascii="Courier New" w:cs="Courier New" w:eastAsia="Courier New" w:hAnsi="Courier New"/>
          <w:sz w:val="18"/>
          <w:szCs w:val="18"/>
          <w:color w:val="auto"/>
        </w:rPr>
        <w:t>Shareholder".</w:t>
      </w:r>
    </w:p>
    <w:p>
      <w:pPr>
        <w:sectPr>
          <w:pgSz w:w="11900" w:h="16838" w:orient="portrait"/>
          <w:cols w:equalWidth="0" w:num="1">
            <w:col w:w="10219"/>
          </w:cols>
          <w:pgMar w:left="240" w:top="285"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See "Risk Factors" and other information included in this prospectus for a discussion of factors you should carefully consider before deciding to invest in shares of our common stock.</w:t>
      </w:r>
    </w:p>
    <w:p>
      <w:pPr>
        <w:spacing w:after="0" w:line="60" w:lineRule="exact"/>
        <w:rPr>
          <w:sz w:val="20"/>
          <w:szCs w:val="20"/>
          <w:color w:val="auto"/>
        </w:rPr>
      </w:pPr>
    </w:p>
    <w:p>
      <w:pPr>
        <w:sectPr>
          <w:pgSz w:w="11900" w:h="16838" w:orient="portrait"/>
          <w:cols w:equalWidth="0" w:num="2">
            <w:col w:w="3800" w:space="520"/>
            <w:col w:w="589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REGN</w:t>
      </w:r>
    </w:p>
    <w:p>
      <w:pPr>
        <w:spacing w:after="0" w:line="200" w:lineRule="exact"/>
        <w:rPr>
          <w:sz w:val="20"/>
          <w:szCs w:val="20"/>
          <w:color w:val="auto"/>
        </w:rPr>
      </w:pPr>
    </w:p>
    <w:p>
      <w:pPr>
        <w:sectPr>
          <w:pgSz w:w="11900" w:h="16838" w:orient="portrait"/>
          <w:cols w:equalWidth="0" w:num="2">
            <w:col w:w="3800" w:space="520"/>
            <w:col w:w="5899"/>
          </w:cols>
          <w:pgMar w:left="240" w:top="285" w:right="1440" w:bottom="1440" w:gutter="0" w:footer="0" w:header="0"/>
          <w:type w:val="continuous"/>
        </w:sectPr>
      </w:pPr>
    </w:p>
    <w:p>
      <w:pPr>
        <w:spacing w:after="0" w:line="24"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number of shares outstanding after the offering is as of March 16, 2001 and excludes (1) options to purchase 7,523,214 shares of our common stock under our 1990 Long-Term Incentive Plan and 2000 Long-Term Incentive Plan, of which 2,872,263 were exercisable at March 16, 2001 and (2) 107,400 warrants held by Medtronic, Inc. as of March 16, 2001.</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SUMMARY SELECTED FINANCIAL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52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56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20" w:type="dxa"/>
            <w:vAlign w:val="bottom"/>
          </w:tcPr>
          <w:p>
            <w:pPr>
              <w:jc w:val="right"/>
              <w:ind w:right="395"/>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1998</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85"/>
              </w:rPr>
              <w:t>--------</w:t>
            </w:r>
            <w:r>
              <w:rPr>
                <w:rFonts w:ascii="Courier New" w:cs="Courier New" w:eastAsia="Courier New" w:hAnsi="Courier New"/>
                <w:sz w:val="35"/>
                <w:szCs w:val="35"/>
                <w:color w:val="auto"/>
                <w:w w:val="85"/>
                <w:vertAlign w:val="subscript"/>
              </w:rPr>
              <w:t>(IN</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3"/>
        </w:trPr>
        <w:tc>
          <w:tcPr>
            <w:tcW w:w="53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THOUSANDS, EXCEPT PER</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SHARE DATA)</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vMerge w:val="restart"/>
          </w:tcPr>
          <w:p>
            <w:pPr>
              <w:jc w:val="right"/>
              <w:ind w:right="195"/>
              <w:spacing w:after="0"/>
              <w:rPr>
                <w:sz w:val="20"/>
                <w:szCs w:val="20"/>
                <w:color w:val="auto"/>
              </w:rPr>
            </w:pPr>
            <w:r>
              <w:rPr>
                <w:rFonts w:ascii="Courier New" w:cs="Courier New" w:eastAsia="Courier New" w:hAnsi="Courier New"/>
                <w:sz w:val="18"/>
                <w:szCs w:val="18"/>
                <w:color w:val="auto"/>
              </w:rPr>
              <w:t>$ 36,478</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9"/>
              </w:rPr>
              <w:t>$ 24,539</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$ 19,714</w:t>
            </w:r>
          </w:p>
        </w:tc>
        <w:tc>
          <w:tcPr>
            <w:tcW w:w="12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$ 17,400</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17,303</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research and development...............</w:t>
            </w:r>
          </w:p>
        </w:tc>
        <w:tc>
          <w:tcPr>
            <w:tcW w:w="1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progress payments......................</w:t>
            </w:r>
          </w:p>
        </w:tc>
        <w:tc>
          <w:tcPr>
            <w:tcW w:w="1220" w:type="dxa"/>
            <w:vAlign w:val="bottom"/>
          </w:tcPr>
          <w:p>
            <w:pPr>
              <w:jc w:val="right"/>
              <w:ind w:right="195"/>
              <w:spacing w:after="0" w:line="203" w:lineRule="exact"/>
              <w:rPr>
                <w:sz w:val="20"/>
                <w:szCs w:val="20"/>
                <w:color w:val="auto"/>
              </w:rPr>
            </w:pPr>
            <w:r>
              <w:rPr>
                <w:rFonts w:ascii="Courier New" w:cs="Courier New" w:eastAsia="Courier New" w:hAnsi="Courier New"/>
                <w:sz w:val="18"/>
                <w:szCs w:val="18"/>
                <w:color w:val="auto"/>
              </w:rPr>
              <w:t>6,200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220" w:type="dxa"/>
            <w:vAlign w:val="bottom"/>
          </w:tcPr>
          <w:p>
            <w:pPr>
              <w:jc w:val="right"/>
              <w:ind w:right="195"/>
              <w:spacing w:after="0" w:line="203" w:lineRule="exact"/>
              <w:rPr>
                <w:sz w:val="20"/>
                <w:szCs w:val="20"/>
                <w:color w:val="auto"/>
              </w:rPr>
            </w:pPr>
            <w:r>
              <w:rPr>
                <w:rFonts w:ascii="Courier New" w:cs="Courier New" w:eastAsia="Courier New" w:hAnsi="Courier New"/>
                <w:sz w:val="18"/>
                <w:szCs w:val="18"/>
                <w:color w:val="auto"/>
              </w:rPr>
              <w:t>16,598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9,113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4,458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2,451</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20" w:type="dxa"/>
            <w:vAlign w:val="bottom"/>
            <w:vMerge w:val="restart"/>
          </w:tcPr>
          <w:p>
            <w:pPr>
              <w:jc w:val="right"/>
              <w:ind w:right="195"/>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59,276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34,499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38,327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26,858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19,754</w:t>
            </w:r>
          </w:p>
        </w:tc>
        <w:tc>
          <w:tcPr>
            <w:tcW w:w="0" w:type="dxa"/>
            <w:vAlign w:val="bottom"/>
          </w:tcPr>
          <w:p>
            <w:pPr>
              <w:spacing w:after="0"/>
              <w:rPr>
                <w:sz w:val="1"/>
                <w:szCs w:val="1"/>
                <w:color w:val="auto"/>
              </w:rPr>
            </w:pPr>
          </w:p>
        </w:tc>
      </w:tr>
      <w:tr>
        <w:trPr>
          <w:trHeight w:val="296"/>
        </w:trPr>
        <w:tc>
          <w:tcPr>
            <w:tcW w:w="5380" w:type="dxa"/>
            <w:vAlign w:val="bottom"/>
            <w:vMerge w:val="restart"/>
          </w:tcPr>
          <w:p>
            <w:pPr>
              <w:spacing w:after="0"/>
              <w:rPr>
                <w:sz w:val="20"/>
                <w:szCs w:val="20"/>
                <w:color w:val="auto"/>
              </w:rPr>
            </w:pPr>
            <w:r>
              <w:rPr>
                <w:rFonts w:ascii="Courier New" w:cs="Courier New" w:eastAsia="Courier New" w:hAnsi="Courier New"/>
                <w:sz w:val="18"/>
                <w:szCs w:val="18"/>
                <w:color w:val="auto"/>
              </w:rPr>
              <w:t>Expenses:</w:t>
            </w:r>
          </w:p>
        </w:tc>
        <w:tc>
          <w:tcPr>
            <w:tcW w:w="1220" w:type="dxa"/>
            <w:vAlign w:val="bottom"/>
          </w:tcPr>
          <w:p>
            <w:pPr>
              <w:jc w:val="right"/>
              <w:ind w:right="195"/>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380" w:type="dxa"/>
            <w:vAlign w:val="bottom"/>
            <w:vMerge w:val="continue"/>
          </w:tcPr>
          <w:p>
            <w:pPr>
              <w:spacing w:after="0"/>
              <w:rPr>
                <w:sz w:val="9"/>
                <w:szCs w:val="9"/>
                <w:color w:val="auto"/>
              </w:rPr>
            </w:pPr>
          </w:p>
        </w:tc>
        <w:tc>
          <w:tcPr>
            <w:tcW w:w="1220" w:type="dxa"/>
            <w:vAlign w:val="bottom"/>
            <w:vMerge w:val="restart"/>
          </w:tcPr>
          <w:p>
            <w:pPr>
              <w:jc w:val="right"/>
              <w:ind w:right="195"/>
              <w:spacing w:after="0"/>
              <w:rPr>
                <w:sz w:val="20"/>
                <w:szCs w:val="20"/>
                <w:color w:val="auto"/>
              </w:rPr>
            </w:pPr>
            <w:r>
              <w:rPr>
                <w:rFonts w:ascii="Courier New" w:cs="Courier New" w:eastAsia="Courier New" w:hAnsi="Courier New"/>
                <w:sz w:val="18"/>
                <w:szCs w:val="18"/>
                <w:color w:val="auto"/>
              </w:rPr>
              <w:t>56,256</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44,940</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37,047</w:t>
            </w:r>
          </w:p>
        </w:tc>
        <w:tc>
          <w:tcPr>
            <w:tcW w:w="12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27,770</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28,269</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220" w:type="dxa"/>
            <w:vAlign w:val="bottom"/>
          </w:tcPr>
          <w:p>
            <w:pPr>
              <w:jc w:val="right"/>
              <w:ind w:right="195"/>
              <w:spacing w:after="0" w:line="203" w:lineRule="exact"/>
              <w:rPr>
                <w:sz w:val="20"/>
                <w:szCs w:val="20"/>
                <w:color w:val="auto"/>
              </w:rPr>
            </w:pPr>
            <w:r>
              <w:rPr>
                <w:rFonts w:ascii="Courier New" w:cs="Courier New" w:eastAsia="Courier New" w:hAnsi="Courier New"/>
                <w:sz w:val="18"/>
                <w:szCs w:val="18"/>
                <w:color w:val="auto"/>
              </w:rPr>
              <w:t>15,566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3,612</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1,115</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195"/>
              <w:spacing w:after="0" w:line="203" w:lineRule="exact"/>
              <w:rPr>
                <w:sz w:val="20"/>
                <w:szCs w:val="20"/>
                <w:color w:val="auto"/>
              </w:rPr>
            </w:pPr>
            <w:r>
              <w:rPr>
                <w:rFonts w:ascii="Courier New" w:cs="Courier New" w:eastAsia="Courier New" w:hAnsi="Courier New"/>
                <w:sz w:val="18"/>
                <w:szCs w:val="18"/>
                <w:color w:val="auto"/>
              </w:rPr>
              <w:t>12,730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9,781</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8,857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10,154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11,964</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20" w:type="dxa"/>
            <w:vAlign w:val="bottom"/>
            <w:vMerge w:val="restart"/>
          </w:tcPr>
          <w:p>
            <w:pPr>
              <w:jc w:val="right"/>
              <w:ind w:right="195"/>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84,552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58,333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50,906</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40,541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41,348</w:t>
            </w:r>
          </w:p>
        </w:tc>
        <w:tc>
          <w:tcPr>
            <w:tcW w:w="0" w:type="dxa"/>
            <w:vAlign w:val="bottom"/>
          </w:tcPr>
          <w:p>
            <w:pPr>
              <w:spacing w:after="0"/>
              <w:rPr>
                <w:sz w:val="1"/>
                <w:szCs w:val="1"/>
                <w:color w:val="auto"/>
              </w:rPr>
            </w:pPr>
          </w:p>
        </w:tc>
      </w:tr>
      <w:tr>
        <w:trPr>
          <w:trHeight w:val="203"/>
        </w:trPr>
        <w:tc>
          <w:tcPr>
            <w:tcW w:w="5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Loss from operations..............................</w:t>
            </w:r>
          </w:p>
        </w:tc>
        <w:tc>
          <w:tcPr>
            <w:tcW w:w="1220" w:type="dxa"/>
            <w:vAlign w:val="bottom"/>
            <w:vMerge w:val="restart"/>
          </w:tcPr>
          <w:p>
            <w:pPr>
              <w:ind w:left="100"/>
              <w:spacing w:after="0"/>
              <w:rPr>
                <w:sz w:val="20"/>
                <w:szCs w:val="20"/>
                <w:color w:val="auto"/>
              </w:rPr>
            </w:pPr>
            <w:r>
              <w:rPr>
                <w:rFonts w:ascii="Courier New" w:cs="Courier New" w:eastAsia="Courier New" w:hAnsi="Courier New"/>
                <w:sz w:val="26"/>
                <w:szCs w:val="26"/>
                <w:color w:val="auto"/>
                <w:w w:val="73"/>
                <w:vertAlign w:val="superscript"/>
              </w:rPr>
              <w:t>--------</w:t>
            </w:r>
            <w:r>
              <w:rPr>
                <w:rFonts w:ascii="Courier New" w:cs="Courier New" w:eastAsia="Courier New" w:hAnsi="Courier New"/>
                <w:sz w:val="14"/>
                <w:szCs w:val="14"/>
                <w:color w:val="auto"/>
                <w:w w:val="73"/>
              </w:rPr>
              <w:t>(25,276)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(23,834)</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(12,579)</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(21,594)</w:t>
            </w:r>
          </w:p>
        </w:tc>
        <w:tc>
          <w:tcPr>
            <w:tcW w:w="0" w:type="dxa"/>
            <w:vAlign w:val="bottom"/>
          </w:tcPr>
          <w:p>
            <w:pPr>
              <w:spacing w:after="0"/>
              <w:rPr>
                <w:sz w:val="1"/>
                <w:szCs w:val="1"/>
                <w:color w:val="auto"/>
              </w:rPr>
            </w:pPr>
          </w:p>
        </w:tc>
      </w:tr>
      <w:tr>
        <w:trPr>
          <w:trHeight w:val="296"/>
        </w:trPr>
        <w:tc>
          <w:tcPr>
            <w:tcW w:w="538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220" w:type="dxa"/>
            <w:vAlign w:val="bottom"/>
          </w:tcPr>
          <w:p>
            <w:pPr>
              <w:jc w:val="right"/>
              <w:ind w:right="195"/>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380" w:type="dxa"/>
            <w:vAlign w:val="bottom"/>
            <w:vMerge w:val="continue"/>
          </w:tcPr>
          <w:p>
            <w:pPr>
              <w:spacing w:after="0"/>
              <w:rPr>
                <w:sz w:val="9"/>
                <w:szCs w:val="9"/>
                <w:color w:val="auto"/>
              </w:rPr>
            </w:pPr>
          </w:p>
        </w:tc>
        <w:tc>
          <w:tcPr>
            <w:tcW w:w="1220" w:type="dxa"/>
            <w:vAlign w:val="bottom"/>
            <w:vMerge w:val="restart"/>
          </w:tcPr>
          <w:p>
            <w:pPr>
              <w:jc w:val="right"/>
              <w:ind w:right="75"/>
              <w:spacing w:after="0"/>
              <w:rPr>
                <w:sz w:val="20"/>
                <w:szCs w:val="20"/>
                <w:color w:val="auto"/>
              </w:rPr>
            </w:pPr>
            <w:r>
              <w:rPr>
                <w:rFonts w:ascii="Courier New" w:cs="Courier New" w:eastAsia="Courier New" w:hAnsi="Courier New"/>
                <w:sz w:val="18"/>
                <w:szCs w:val="18"/>
                <w:color w:val="auto"/>
              </w:rPr>
              <w:t>(4,575)</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(4,159)</w:t>
            </w:r>
          </w:p>
        </w:tc>
        <w:tc>
          <w:tcPr>
            <w:tcW w:w="12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(2,484)</w:t>
            </w:r>
          </w:p>
        </w:tc>
        <w:tc>
          <w:tcPr>
            <w:tcW w:w="12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(3,403)</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(14,250)</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in Amgen-Regeneron Partners................</w:t>
            </w:r>
          </w:p>
        </w:tc>
        <w:tc>
          <w:tcPr>
            <w:tcW w:w="1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 net...............................</w:t>
            </w:r>
          </w:p>
        </w:tc>
        <w:tc>
          <w:tcPr>
            <w:tcW w:w="1220" w:type="dxa"/>
            <w:vAlign w:val="bottom"/>
          </w:tcPr>
          <w:p>
            <w:pPr>
              <w:jc w:val="right"/>
              <w:ind w:right="195"/>
              <w:spacing w:after="0" w:line="203" w:lineRule="exact"/>
              <w:rPr>
                <w:sz w:val="20"/>
                <w:szCs w:val="20"/>
                <w:color w:val="auto"/>
              </w:rPr>
            </w:pPr>
            <w:r>
              <w:rPr>
                <w:rFonts w:ascii="Courier New" w:cs="Courier New" w:eastAsia="Courier New" w:hAnsi="Courier New"/>
                <w:sz w:val="18"/>
                <w:szCs w:val="18"/>
                <w:color w:val="auto"/>
              </w:rPr>
              <w:t>8,199</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4,923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6,438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3,420</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20" w:type="dxa"/>
            <w:vAlign w:val="bottom"/>
            <w:vMerge w:val="restart"/>
          </w:tcPr>
          <w:p>
            <w:pPr>
              <w:jc w:val="right"/>
              <w:ind w:right="195"/>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3,624</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764</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3,954</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(10,830)</w:t>
            </w:r>
          </w:p>
        </w:tc>
        <w:tc>
          <w:tcPr>
            <w:tcW w:w="0" w:type="dxa"/>
            <w:vAlign w:val="bottom"/>
          </w:tcPr>
          <w:p>
            <w:pPr>
              <w:spacing w:after="0"/>
              <w:rPr>
                <w:sz w:val="1"/>
                <w:szCs w:val="1"/>
                <w:color w:val="auto"/>
              </w:rPr>
            </w:pPr>
          </w:p>
        </w:tc>
      </w:tr>
      <w:tr>
        <w:trPr>
          <w:trHeight w:val="296"/>
        </w:trPr>
        <w:tc>
          <w:tcPr>
            <w:tcW w:w="5380" w:type="dxa"/>
            <w:vAlign w:val="bottom"/>
            <w:vMerge w:val="restart"/>
          </w:tcPr>
          <w:p>
            <w:pPr>
              <w:spacing w:after="0"/>
              <w:rPr>
                <w:sz w:val="20"/>
                <w:szCs w:val="20"/>
                <w:color w:val="auto"/>
              </w:rPr>
            </w:pPr>
            <w:r>
              <w:rPr>
                <w:rFonts w:ascii="Courier New" w:cs="Courier New" w:eastAsia="Courier New" w:hAnsi="Courier New"/>
                <w:sz w:val="18"/>
                <w:szCs w:val="18"/>
                <w:color w:val="auto"/>
              </w:rPr>
              <w:t>Net loss before cumulative effect of a change in</w:t>
            </w:r>
          </w:p>
        </w:tc>
        <w:tc>
          <w:tcPr>
            <w:tcW w:w="1220" w:type="dxa"/>
            <w:vAlign w:val="bottom"/>
          </w:tcPr>
          <w:p>
            <w:pPr>
              <w:jc w:val="right"/>
              <w:ind w:right="195"/>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380" w:type="dxa"/>
            <w:vAlign w:val="bottom"/>
            <w:vMerge w:val="continue"/>
          </w:tcPr>
          <w:p>
            <w:pPr>
              <w:spacing w:after="0"/>
              <w:rPr>
                <w:sz w:val="9"/>
                <w:szCs w:val="9"/>
                <w:color w:val="auto"/>
              </w:rPr>
            </w:pPr>
          </w:p>
        </w:tc>
        <w:tc>
          <w:tcPr>
            <w:tcW w:w="1220" w:type="dxa"/>
            <w:vAlign w:val="bottom"/>
            <w:vMerge w:val="restart"/>
          </w:tcPr>
          <w:p>
            <w:pPr>
              <w:jc w:val="right"/>
              <w:ind w:right="75"/>
              <w:spacing w:after="0"/>
              <w:rPr>
                <w:sz w:val="20"/>
                <w:szCs w:val="20"/>
                <w:color w:val="auto"/>
              </w:rPr>
            </w:pPr>
            <w:r>
              <w:rPr>
                <w:rFonts w:ascii="Courier New" w:cs="Courier New" w:eastAsia="Courier New" w:hAnsi="Courier New"/>
                <w:sz w:val="18"/>
                <w:szCs w:val="18"/>
                <w:color w:val="auto"/>
              </w:rPr>
              <w:t>(21,652)</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(23,070)</w:t>
            </w:r>
          </w:p>
        </w:tc>
        <w:tc>
          <w:tcPr>
            <w:tcW w:w="12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(8,625)</w:t>
            </w:r>
          </w:p>
        </w:tc>
        <w:tc>
          <w:tcPr>
            <w:tcW w:w="12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(11,579)</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(32,424)</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adopting Staff</w:t>
            </w:r>
          </w:p>
        </w:tc>
        <w:tc>
          <w:tcPr>
            <w:tcW w:w="1220" w:type="dxa"/>
            <w:vAlign w:val="bottom"/>
            <w:vMerge w:val="restart"/>
          </w:tcPr>
          <w:p>
            <w:pPr>
              <w:jc w:val="right"/>
              <w:ind w:right="75"/>
              <w:spacing w:after="0"/>
              <w:rPr>
                <w:sz w:val="20"/>
                <w:szCs w:val="20"/>
                <w:color w:val="auto"/>
              </w:rPr>
            </w:pPr>
            <w:r>
              <w:rPr>
                <w:rFonts w:ascii="Courier New" w:cs="Courier New" w:eastAsia="Courier New" w:hAnsi="Courier New"/>
                <w:sz w:val="18"/>
                <w:szCs w:val="18"/>
                <w:color w:val="auto"/>
              </w:rPr>
              <w:t>(1,563)</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Bulletin 101.........................</w:t>
            </w:r>
          </w:p>
        </w:tc>
        <w:tc>
          <w:tcPr>
            <w:tcW w:w="1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Net loss..........................................</w:t>
            </w:r>
          </w:p>
        </w:tc>
        <w:tc>
          <w:tcPr>
            <w:tcW w:w="12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4"/>
                <w:szCs w:val="14"/>
                <w:color w:val="auto"/>
                <w:w w:val="70"/>
              </w:rPr>
              <w:t>(23,215)</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(8,625)</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$(32,424)</w:t>
            </w:r>
          </w:p>
        </w:tc>
        <w:tc>
          <w:tcPr>
            <w:tcW w:w="0" w:type="dxa"/>
            <w:vAlign w:val="bottom"/>
          </w:tcPr>
          <w:p>
            <w:pPr>
              <w:spacing w:after="0"/>
              <w:rPr>
                <w:sz w:val="1"/>
                <w:szCs w:val="1"/>
                <w:color w:val="auto"/>
              </w:rPr>
            </w:pPr>
          </w:p>
        </w:tc>
      </w:tr>
      <w:tr>
        <w:trPr>
          <w:trHeight w:val="296"/>
        </w:trPr>
        <w:tc>
          <w:tcPr>
            <w:tcW w:w="538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 Class A and common</w:t>
            </w:r>
          </w:p>
        </w:tc>
        <w:tc>
          <w:tcPr>
            <w:tcW w:w="1220" w:type="dxa"/>
            <w:vAlign w:val="bottom"/>
          </w:tcPr>
          <w:p>
            <w:pPr>
              <w:jc w:val="right"/>
              <w:ind w:right="195"/>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380" w:type="dxa"/>
            <w:vAlign w:val="bottom"/>
            <w:vMerge w:val="continue"/>
          </w:tcPr>
          <w:p>
            <w:pPr>
              <w:spacing w:after="0"/>
              <w:rPr>
                <w:sz w:val="9"/>
                <w:szCs w:val="9"/>
                <w:color w:val="auto"/>
              </w:rPr>
            </w:pPr>
          </w:p>
        </w:tc>
        <w:tc>
          <w:tcPr>
            <w:tcW w:w="1220" w:type="dxa"/>
            <w:vAlign w:val="bottom"/>
            <w:vMerge w:val="restart"/>
          </w:tcPr>
          <w:p>
            <w:pPr>
              <w:jc w:val="right"/>
              <w:ind w:right="195"/>
              <w:spacing w:after="0"/>
              <w:rPr>
                <w:sz w:val="20"/>
                <w:szCs w:val="20"/>
                <w:color w:val="auto"/>
              </w:rPr>
            </w:pPr>
            <w:r>
              <w:rPr>
                <w:rFonts w:ascii="Courier New" w:cs="Courier New" w:eastAsia="Courier New" w:hAnsi="Courier New"/>
                <w:sz w:val="18"/>
                <w:szCs w:val="18"/>
                <w:color w:val="auto"/>
              </w:rPr>
              <w:t>34,950</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31,308</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30,992</w:t>
            </w:r>
          </w:p>
        </w:tc>
        <w:tc>
          <w:tcPr>
            <w:tcW w:w="12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28,702</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24,464</w:t>
            </w:r>
          </w:p>
        </w:tc>
        <w:tc>
          <w:tcPr>
            <w:tcW w:w="0" w:type="dxa"/>
            <w:vAlign w:val="bottom"/>
          </w:tcPr>
          <w:p>
            <w:pPr>
              <w:spacing w:after="0"/>
              <w:rPr>
                <w:sz w:val="1"/>
                <w:szCs w:val="1"/>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outstanding, basic and diluted............</w:t>
            </w:r>
          </w:p>
        </w:tc>
        <w:tc>
          <w:tcPr>
            <w:tcW w:w="1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Net loss per share, basic and diluted.............</w:t>
            </w:r>
          </w:p>
        </w:tc>
        <w:tc>
          <w:tcPr>
            <w:tcW w:w="1220" w:type="dxa"/>
            <w:vAlign w:val="bottom"/>
          </w:tcPr>
          <w:p>
            <w:pPr>
              <w:jc w:val="right"/>
              <w:ind w:right="195"/>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220" w:type="dxa"/>
            <w:vAlign w:val="bottom"/>
          </w:tcPr>
          <w:p>
            <w:pPr>
              <w:jc w:val="right"/>
              <w:ind w:right="75"/>
              <w:spacing w:after="0" w:line="203" w:lineRule="exact"/>
              <w:rPr>
                <w:sz w:val="20"/>
                <w:szCs w:val="20"/>
                <w:color w:val="auto"/>
              </w:rPr>
            </w:pPr>
            <w:r>
              <w:rPr>
                <w:rFonts w:ascii="Courier New" w:cs="Courier New" w:eastAsia="Courier New" w:hAnsi="Courier New"/>
                <w:sz w:val="18"/>
                <w:szCs w:val="18"/>
                <w:color w:val="auto"/>
              </w:rPr>
              <w:t>$  (0.66)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(0.74)</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(0.28)</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(0.40)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(1.33)</w:t>
            </w:r>
          </w:p>
        </w:tc>
        <w:tc>
          <w:tcPr>
            <w:tcW w:w="0" w:type="dxa"/>
            <w:vAlign w:val="bottom"/>
          </w:tcPr>
          <w:p>
            <w:pPr>
              <w:spacing w:after="0"/>
              <w:rPr>
                <w:sz w:val="1"/>
                <w:szCs w:val="1"/>
                <w:color w:val="auto"/>
              </w:rPr>
            </w:pPr>
          </w:p>
        </w:tc>
      </w:tr>
      <w:tr>
        <w:trPr>
          <w:trHeight w:val="296"/>
        </w:trPr>
        <w:tc>
          <w:tcPr>
            <w:tcW w:w="5380" w:type="dxa"/>
            <w:vAlign w:val="bottom"/>
          </w:tcPr>
          <w:p>
            <w:pPr>
              <w:spacing w:after="0"/>
              <w:rPr>
                <w:sz w:val="24"/>
                <w:szCs w:val="24"/>
                <w:color w:val="auto"/>
              </w:rPr>
            </w:pPr>
          </w:p>
        </w:tc>
        <w:tc>
          <w:tcPr>
            <w:tcW w:w="1220" w:type="dxa"/>
            <w:vAlign w:val="bottom"/>
          </w:tcPr>
          <w:p>
            <w:pPr>
              <w:jc w:val="right"/>
              <w:ind w:right="195"/>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9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AS OF DECEMBER 31, 2000</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ACTUAL</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ADJUSTED(1)</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29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(IN THOUSANDS)</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$154,370</w:t>
            </w:r>
          </w:p>
        </w:tc>
        <w:tc>
          <w:tcPr>
            <w:tcW w:w="17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$307,995</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cash equivalents, and marketable securities...........</w:t>
            </w:r>
          </w:p>
        </w:tc>
        <w:tc>
          <w:tcPr>
            <w:tcW w:w="120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assets................................................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208,274</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361,899</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Stockholders' equity........................................</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182,130</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335,755</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2620" w:hanging="412"/>
        <w:spacing w:after="0" w:line="306"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Gives effect to the sale of 6,500,000 shares of common stock by Regeneron, at a public offering price of $25.00 per share, and our receipt of the net proceeds after deducting the underwriting discount and estimated offering expenses. We will not receive any of the proceeds from the sale of 500,000 shares of our common stock by the selling shareholder. See "Capitalization."</w:t>
      </w:r>
    </w:p>
    <w:p>
      <w:pPr>
        <w:sectPr>
          <w:pgSz w:w="11900" w:h="16838" w:orient="portrait"/>
          <w:cols w:equalWidth="0" w:num="1">
            <w:col w:w="11060"/>
          </w:cols>
          <w:pgMar w:left="240" w:top="285" w:right="599" w:bottom="1440" w:gutter="0" w:footer="0" w:header="0"/>
        </w:sectPr>
      </w:pPr>
    </w:p>
    <w:p>
      <w:pPr>
        <w:spacing w:after="0" w:line="6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60"/>
          </w:cols>
          <w:pgMar w:left="240" w:top="285" w:right="599"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You should carefully consider the following risk factors before you decide to buy our common stock. If any of these risks actually occurs, our business, financial condition, operating results or cash flows could be materially adversely affected. This could cause the trading price of our common stock to decline and you may lose part or all of your investment.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 INDUSTRY AND STRATEGY</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OUR RESEARCH AND DEVELOPMENT PROGRAMS MAY BE UNSUCCESSFUL AND MAY NOT LEAD TO THE DEVELOPMENT OF ANY COMMERCIALLY SUCCESSFUL PRODUCTS.</w:t>
      </w:r>
    </w:p>
    <w:p>
      <w:pPr>
        <w:spacing w:after="0" w:line="18"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which demonstrate their safety and efficacy to the satisfaction of the United States Food and Drug Administration (FDA) and applicable foreign regulatory authorities.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w:t>
      </w:r>
    </w:p>
    <w:p>
      <w:pPr>
        <w:spacing w:after="0" w:line="10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may never obtain regulatory approval for any of our product candidates. 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99"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WE MAY BE REQUIRED TO SUSPEND, REPEAT, OR TERMINATE OUR CLINICAL TRIALS, WHICH COULD HAVE A MATERIAL ADVERSE EFFECT ON OUR BUSINESS.</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 order to obtain regulatory approval for the commercialization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93" w:lineRule="exact"/>
        <w:rPr>
          <w:sz w:val="20"/>
          <w:szCs w:val="20"/>
          <w:color w:val="auto"/>
        </w:rPr>
      </w:pPr>
    </w:p>
    <w:p>
      <w:pPr>
        <w:ind w:left="740" w:right="2739" w:hanging="205"/>
        <w:spacing w:after="0" w:line="34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cause unforeseen adverse side effects, including immune reactions;</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required to determine whether the product candidate is effective may be longer than expected;</w:t>
      </w:r>
    </w:p>
    <w:p>
      <w:pPr>
        <w:spacing w:after="0" w:line="18"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not appear to be more effective than current available therapies;</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enroll a sufficient number of patients meeting eligibility requirements;</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clinical investigators, trial monitors, or trial subjects may fail to comply with the trial plan or protocol; or</w:t>
      </w:r>
    </w:p>
    <w:p>
      <w:pPr>
        <w:spacing w:after="0" w:line="18"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be able to supply sufficient quantities of the product candidate to complete the trial.</w:t>
      </w:r>
    </w:p>
    <w:p>
      <w:pPr>
        <w:spacing w:after="0" w:line="18"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ectPr>
          <w:pgSz w:w="11900" w:h="16838" w:orient="portrait"/>
          <w:cols w:equalWidth="0" w:num="1">
            <w:col w:w="10219"/>
          </w:cols>
          <w:pgMar w:left="240" w:top="285" w:right="1440" w:bottom="411" w:gutter="0" w:footer="0" w:header="0"/>
        </w:sectPr>
      </w:pP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85" w:right="1440" w:bottom="411"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WE MAY NOT BE SUCCESSFUL IN OUR ATTEMPT TO BROADEN OUR PRODUCT PIPELINE AS IT WILL REQUIRE EXPERTISE AND RESOURCES WE DO NOT CURRENTLY HAVE.</w:t>
      </w:r>
    </w:p>
    <w:p>
      <w:pPr>
        <w:spacing w:after="0" w:line="1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We have expanded from our initial focus on degenerative neurologic disease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108"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WE HAVE NEVER GENERATED SALES OR PROFITS AND EXPECT TO INCUR LOSSES OVER THE NEXT SEVERAL YEARS.</w:t>
      </w:r>
    </w:p>
    <w:p>
      <w:pPr>
        <w:spacing w:after="0" w:line="18"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have not received revenue from the commercialization of our product candidates. We do not expect to receive any revenue from the commercialization of our product candidates for several years and we intend to continue to invest significantly in our product candidates. We have incurred losses in each year since inception of operations in 1988. As of December 31, 2000, we had an accumulated deficit of $223.5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104"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WE CURRENTLY RECEIVE REVENUE FROM THIRD PARTIES; IF WE DO NOT RECEIVE THESE REVENUES, WE MAY NEED TO FIND ALTERNATIVE SOURCES OF FUNDING FOR OUR RESEARCH AND DEVELOPMENT ACTIVITIES.</w:t>
      </w:r>
    </w:p>
    <w:p>
      <w:pPr>
        <w:spacing w:after="0" w:line="6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To date, we have received revenues from (1) our licensees and collaborators for research and development efforts, (2) Merck and Sumitomo Pharmaceuticals Co.,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development activities.</w:t>
      </w:r>
    </w:p>
    <w:p>
      <w:pPr>
        <w:spacing w:after="0" w:line="9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For example, in January 2001, Amgen-Regeneron Partners discontinued all clinical development of BDNF which is licensed to Sumitomo Pharmaceuticals for development in Japan. As a result, it is likely that Sumitomo Pharmaceuticals will exercise its discretionary right to terminate the license with us for BDNF and, other than amounts currently outstanding and any wind-down costs, we would not expect to receive further payments from Sumitomo Pharmaceuticals. We recognized revenue from Sumitomo Pharmaceuticals of $7.6 million in 2000, $0.1 million in 1999, and $8.8 million in 1998.</w:t>
      </w:r>
    </w:p>
    <w:p>
      <w:pPr>
        <w:spacing w:after="0" w:line="104"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WE MAY REQUIRE ADDITIONAL FINANCING, WHICH MAY BE DIFFICULT TO OBTAIN AND MAY DILUTE YOUR OWNERSHIP INTEREST.</w:t>
      </w:r>
    </w:p>
    <w:p>
      <w:pPr>
        <w:spacing w:after="0" w:line="1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if we are able to commence a Phase III study of AXOKINE, the costs of conducting such a study, or any potential further studies required by the FDA or foreign regulatory authorities, would likely exceed $50 million or more.</w:t>
      </w:r>
    </w:p>
    <w:p>
      <w:pPr>
        <w:spacing w:after="0" w:line="9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 addition, we are required to provide capital from time to time to fund and remain equal partners with Amgen in Amgen-Regeneron Partners.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w:t>
      </w:r>
    </w:p>
    <w:p>
      <w:pPr>
        <w:sectPr>
          <w:pgSz w:w="11900" w:h="16838" w:orient="portrait"/>
          <w:cols w:equalWidth="0" w:num="1">
            <w:col w:w="10219"/>
          </w:cols>
          <w:pgMar w:left="240" w:top="285" w:right="1440" w:bottom="1019" w:gutter="0" w:footer="0" w:header="0"/>
        </w:sectPr>
      </w:pP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85" w:right="1440" w:bottom="1019"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right="2099"/>
        <w:spacing w:after="0" w:line="402" w:lineRule="auto"/>
        <w:rPr>
          <w:sz w:val="20"/>
          <w:szCs w:val="20"/>
          <w:color w:val="auto"/>
        </w:rPr>
      </w:pPr>
      <w:r>
        <w:rPr>
          <w:rFonts w:ascii="Courier New" w:cs="Courier New" w:eastAsia="Courier New" w:hAnsi="Courier New"/>
          <w:sz w:val="16"/>
          <w:szCs w:val="16"/>
          <w:color w:val="auto"/>
        </w:rPr>
        <w:t>NT-3 studies that Amgen-Regeneron Partners may conduct, the outcomes of those studies, and costs associated with the discontinuation of the BDNF studies.</w:t>
      </w:r>
    </w:p>
    <w:p>
      <w:pPr>
        <w:spacing w:after="0" w:line="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anticipate that the net proceeds from this offering, together with our cash, cash equivalents, and marketable securities of $154.4 million as of December 31, 2000, will be sufficient for our working capital needs for several years. However, we may need additional funding sooner due to a number of factors, including:</w:t>
      </w:r>
    </w:p>
    <w:p>
      <w:pPr>
        <w:spacing w:after="0" w:line="90" w:lineRule="exact"/>
        <w:rPr>
          <w:sz w:val="20"/>
          <w:szCs w:val="20"/>
          <w:color w:val="auto"/>
        </w:rPr>
      </w:pPr>
    </w:p>
    <w:p>
      <w:pPr>
        <w:ind w:left="740" w:right="219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speed with which some of our earlier stage developmental products move into later stage clinical development;</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additional product candidates;</w:t>
      </w:r>
    </w:p>
    <w:p>
      <w:pPr>
        <w:spacing w:after="0" w:line="20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new indications for a potential product in later stage clinical trials;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any of our collaboration agreements;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technologies or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new business opportunities;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a marketing or sales force; and</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or defending our patents, patent applications, and other intellectual property rights.</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further dilution to our then existing shareholders may result.</w:t>
      </w:r>
    </w:p>
    <w:p>
      <w:pPr>
        <w:spacing w:after="0" w:line="104" w:lineRule="exact"/>
        <w:rPr>
          <w:sz w:val="20"/>
          <w:szCs w:val="20"/>
          <w:color w:val="auto"/>
        </w:rPr>
      </w:pPr>
    </w:p>
    <w:p>
      <w:pPr>
        <w:ind w:right="2419"/>
        <w:spacing w:after="0" w:line="402" w:lineRule="auto"/>
        <w:rPr>
          <w:sz w:val="20"/>
          <w:szCs w:val="20"/>
          <w:color w:val="auto"/>
        </w:rPr>
      </w:pPr>
      <w:r>
        <w:rPr>
          <w:rFonts w:ascii="Courier New" w:cs="Courier New" w:eastAsia="Courier New" w:hAnsi="Courier New"/>
          <w:sz w:val="16"/>
          <w:szCs w:val="16"/>
          <w:color w:val="auto"/>
        </w:rPr>
        <w:t>UNDESIRABLE AND UNINTENDED SIDE EFFECTS OF AXOKINE MAY INTERRUPT OR DELAY CLINICAL STUDIES AND COULD ULTIMATELY PREVENT OR LIMIT ITS COMMERCIAL USE.</w:t>
      </w:r>
    </w:p>
    <w:p>
      <w:pPr>
        <w:spacing w:after="0" w:line="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104"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6"/>
          <w:szCs w:val="16"/>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 The FDA may not permit us to commence large-scale, Phase III testing of AXOKINE without first undertaking additional clinical or preclinical studies. This additional testing could substantially delay, or restrict, the further development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AXOKINE.</w:t>
      </w:r>
    </w:p>
    <w:p>
      <w:pPr>
        <w:spacing w:after="0" w:line="169" w:lineRule="exact"/>
        <w:rPr>
          <w:sz w:val="20"/>
          <w:szCs w:val="20"/>
          <w:color w:val="auto"/>
        </w:rPr>
      </w:pPr>
    </w:p>
    <w:p>
      <w:pPr>
        <w:ind w:right="1999"/>
        <w:spacing w:after="0" w:line="402" w:lineRule="auto"/>
        <w:rPr>
          <w:sz w:val="20"/>
          <w:szCs w:val="20"/>
          <w:color w:val="auto"/>
        </w:rPr>
      </w:pPr>
      <w:r>
        <w:rPr>
          <w:rFonts w:ascii="Courier New" w:cs="Courier New" w:eastAsia="Courier New" w:hAnsi="Courier New"/>
          <w:sz w:val="16"/>
          <w:szCs w:val="16"/>
          <w:color w:val="auto"/>
        </w:rPr>
        <w:t>WE FACE SUBSTANTIAL COMPETITION WHICH MAY RESULT IN OTHERS DISCOVERING, DEVELOPING OR COMMERCIALIZING PRODUCTS BEFORE OR MORE SUCCESSFULLY THAN WE DO.</w:t>
      </w:r>
    </w:p>
    <w:p>
      <w:pPr>
        <w:spacing w:after="0" w:line="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There is substantial competition in the biotechnology and pharmaceutical industries from pharmaceutical, biotechnology, and chemical companies. Our competition includes Hoffmann-La Roche, Inc., Merck, Amgen, and others. Each have products under development or currently available for sale that address the</w:t>
      </w:r>
    </w:p>
    <w:p>
      <w:pPr>
        <w:sectPr>
          <w:pgSz w:w="11900" w:h="16838" w:orient="portrait"/>
          <w:cols w:equalWidth="0" w:num="1">
            <w:col w:w="10219"/>
          </w:cols>
          <w:pgMar w:left="240" w:top="285" w:right="1440" w:bottom="1440" w:gutter="0" w:footer="0" w:header="0"/>
        </w:sectPr>
      </w:pP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85"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same or similar medical conditions as some of our product candidates. We discuss these and other competitors and their competing products in the "Business" section of this prospectus under the caption "Competition".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 safe and effective product candidates, obtain patent protection, complete clinical testing, obtain regulatory approval to commercialize our product candidate, and supply commercial quantities of the product to the market.</w:t>
      </w:r>
    </w:p>
    <w:p>
      <w:pPr>
        <w:spacing w:after="0" w:line="29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or the price of our common stock.</w:t>
      </w:r>
    </w:p>
    <w:p>
      <w:pPr>
        <w:spacing w:after="0" w:line="90"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99" w:lineRule="exact"/>
        <w:rPr>
          <w:sz w:val="20"/>
          <w:szCs w:val="20"/>
          <w:color w:val="auto"/>
        </w:rPr>
      </w:pPr>
    </w:p>
    <w:p>
      <w:pPr>
        <w:jc w:val="both"/>
        <w:ind w:right="2099"/>
        <w:spacing w:after="0" w:line="274" w:lineRule="auto"/>
        <w:rPr>
          <w:sz w:val="20"/>
          <w:szCs w:val="20"/>
          <w:color w:val="auto"/>
        </w:rPr>
      </w:pPr>
      <w:r>
        <w:rPr>
          <w:rFonts w:ascii="Courier New" w:cs="Courier New" w:eastAsia="Courier New" w:hAnsi="Courier New"/>
          <w:sz w:val="18"/>
          <w:szCs w:val="18"/>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82"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manner consistent with the applicable contractual terms,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29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7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We may seek additional collaborative arrangements to develop and commercialize our products in the future. We may not be able to negotiate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ectPr>
          <w:pgSz w:w="11900" w:h="16838" w:orient="portrait"/>
          <w:cols w:equalWidth="0" w:num="1">
            <w:col w:w="10219"/>
          </w:cols>
          <w:pgMar w:left="240" w:top="285" w:right="1440" w:bottom="1019" w:gutter="0" w:footer="0" w:header="0"/>
        </w:sectPr>
      </w:pP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85" w:right="1440" w:bottom="1019"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jc w:val="both"/>
        <w:ind w:right="2099"/>
        <w:spacing w:after="0" w:line="292" w:lineRule="auto"/>
        <w:rPr>
          <w:sz w:val="20"/>
          <w:szCs w:val="20"/>
          <w:color w:val="auto"/>
        </w:rPr>
      </w:pPr>
      <w:r>
        <w:rPr>
          <w:rFonts w:ascii="Courier New" w:cs="Courier New" w:eastAsia="Courier New" w:hAnsi="Courier New"/>
          <w:sz w:val="18"/>
          <w:szCs w:val="18"/>
          <w:color w:val="auto"/>
        </w:rPr>
        <w:t>IF WE CAN NOT SUCCESSFULLY MANUFACTURE OUR PRODUCT CANDIDATES IN AN EFFICIENT MANNER, OUR ABILITY TO CONDUCT CLINICAL TRIALS AND COMMERCIALIZE OUR PRODUCT CANDIDATES WOULD BE IMPAIRED.</w:t>
      </w:r>
    </w:p>
    <w:p>
      <w:pPr>
        <w:spacing w:after="0" w:line="66"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93"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use our own manufacturing facilities or to contract with a third-party to manufacture our products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106"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82"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3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98" w:lineRule="exact"/>
        <w:rPr>
          <w:sz w:val="20"/>
          <w:szCs w:val="20"/>
          <w:color w:val="auto"/>
        </w:rPr>
      </w:pPr>
    </w:p>
    <w:p>
      <w:pPr>
        <w:ind w:left="740" w:right="1879" w:hanging="205"/>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attract and build a significant marketing or sales force;</w:t>
      </w:r>
    </w:p>
    <w:p>
      <w:pPr>
        <w:spacing w:after="0" w:line="18"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significant cost of establishing a marketing or sales force may not be justifiable in light of any product revenues;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direct sales and marketing efforts may not be successful.</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WE MAY NOT BE ABLE TO ATTRACT OR RETAIN QUALIFIED SCIENTIFIC AND MANAGEMENT PERSONNEL, INCLUDING OUR KEY PERSONNEL, ON ACCEPTABLE TERMS.</w:t>
      </w:r>
    </w:p>
    <w:p>
      <w:pPr>
        <w:spacing w:after="0" w:line="18"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 scientific workers from the limited pool of available talent. The failure to attract and retain management and scientific personnel could have a material adverse effect on our research and development work and on the operation of our business.</w:t>
      </w:r>
    </w:p>
    <w:p>
      <w:pPr>
        <w:sectPr>
          <w:pgSz w:w="11900" w:h="16838" w:orient="portrait"/>
          <w:cols w:equalWidth="0" w:num="1">
            <w:col w:w="10219"/>
          </w:cols>
          <w:pgMar w:left="240" w:top="285" w:right="1440" w:bottom="1440" w:gutter="0" w:footer="0" w:header="0"/>
        </w:sectPr>
      </w:pPr>
    </w:p>
    <w:p>
      <w:pPr>
        <w:spacing w:after="0" w:line="1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85"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WE COULD BE EXPOSED TO SIGNIFICANT LIABILITY CLAIMS AND OUR INSURANCE COVERAGE MAY NOT BE ADEQUATE TO COVER THESE CLAIMS.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health care product liability insurance policies, including a policy carried by Amgen-Regeneron Partners, the purpose of which is to cover certain claims that could arise during the clinical trials of AXOKINE, the IL-1 Trap, and NT-3. We may not be able to maintain or renew the insurance we have or obtain additional coverage. If our insurance coverage is insufficient, a significant product liability claim or recall would have a material adverse effect on us.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INTELLECTUAL PROPERTY</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WE MAY NOT BE ABLE TO OBTAIN AND ADEQUATELY PROTECT OUR INTELLECTUAL PROPERTY RIGHTS OR AVOID INFRINGING THE RIGHTS OF OTHERS.</w:t>
      </w:r>
    </w:p>
    <w:p>
      <w:pPr>
        <w:spacing w:after="0" w:line="1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104"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93"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294"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IF WE ARE NOT ABLE TO KEEP OUR TRADE SECRETS CONFIDENTIAL, OUR TECHNOLOGY AND INFORMATION MAY BE USED BY OTHERS TO COMPETE AGAINST US.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 unauthorized use or disclosure of such information. Others may independently develop substantially equivalent proprietary information and techniques or otherwise gain access to our trade secrets or technology which will adversely affect our competitive position.</w:t>
      </w:r>
    </w:p>
    <w:p>
      <w:pPr>
        <w:sectPr>
          <w:pgSz w:w="11900" w:h="16838" w:orient="portrait"/>
          <w:cols w:equalWidth="0" w:num="1">
            <w:col w:w="10219"/>
          </w:cols>
          <w:pgMar w:left="240" w:top="285" w:right="1440" w:bottom="1440" w:gutter="0" w:footer="0" w:header="0"/>
        </w:sectPr>
      </w:pP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right="2519"/>
        <w:spacing w:after="0" w:line="402" w:lineRule="auto"/>
        <w:rPr>
          <w:sz w:val="20"/>
          <w:szCs w:val="20"/>
          <w:color w:val="auto"/>
        </w:rPr>
      </w:pPr>
      <w:r>
        <w:rPr>
          <w:rFonts w:ascii="Courier New" w:cs="Courier New" w:eastAsia="Courier New" w:hAnsi="Courier New"/>
          <w:sz w:val="16"/>
          <w:szCs w:val="16"/>
          <w:color w:val="auto"/>
        </w:rPr>
        <w:t>IF WE BREACH ANY OF THE AGREEMENTS UNDER WHICH WE LICENSE TECHNOLOGY FROM OTHERS, WE COULD LOSE LICENSE RIGHTS THAT ARE IMPORTANT TO OUR BUSINESS.</w:t>
      </w:r>
    </w:p>
    <w:p>
      <w:pPr>
        <w:spacing w:after="0" w:line="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COMMON STOCK</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OUR STOCK PRICE COULD BE VOLATILE WHICH COULD CAUSE YOU TO LOSE PART OR ALL OF YOUR INVESTMENT.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There has been a history of significant volatility in the market price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biotechnology companies, including our shares, and it is likely that</w:t>
      </w:r>
    </w:p>
    <w:p>
      <w:pPr>
        <w:spacing w:after="0" w:line="238" w:lineRule="auto"/>
        <w:rPr>
          <w:sz w:val="20"/>
          <w:szCs w:val="20"/>
          <w:color w:val="auto"/>
        </w:rPr>
      </w:pPr>
      <w:r>
        <w:rPr>
          <w:rFonts w:ascii="Courier New" w:cs="Courier New" w:eastAsia="Courier New" w:hAnsi="Courier New"/>
          <w:sz w:val="18"/>
          <w:szCs w:val="18"/>
          <w:color w:val="auto"/>
        </w:rPr>
        <w:t>the market price of our common stock will continue to be highly volatile. In</w:t>
      </w:r>
    </w:p>
    <w:p>
      <w:pPr>
        <w:spacing w:after="0"/>
        <w:rPr>
          <w:sz w:val="20"/>
          <w:szCs w:val="20"/>
          <w:color w:val="auto"/>
        </w:rPr>
      </w:pPr>
      <w:r>
        <w:rPr>
          <w:rFonts w:ascii="Courier New" w:cs="Courier New" w:eastAsia="Courier New" w:hAnsi="Courier New"/>
          <w:sz w:val="16"/>
          <w:szCs w:val="16"/>
          <w:color w:val="auto"/>
        </w:rPr>
        <w:t>1998, the bid price for our common stock fluctuated from a low of $5.75 a share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 high of $11.00 a share. In 1999, the bid price fluctuated from a low of</w:t>
      </w:r>
    </w:p>
    <w:p>
      <w:pPr>
        <w:spacing w:after="0"/>
        <w:rPr>
          <w:sz w:val="20"/>
          <w:szCs w:val="20"/>
          <w:color w:val="auto"/>
        </w:rPr>
      </w:pPr>
      <w:r>
        <w:rPr>
          <w:rFonts w:ascii="Courier New" w:cs="Courier New" w:eastAsia="Courier New" w:hAnsi="Courier New"/>
          <w:sz w:val="16"/>
          <w:szCs w:val="16"/>
          <w:color w:val="auto"/>
        </w:rPr>
        <w:t>$5.38 per share to a high of $13.00 per share. From January 1, 2000 to March 19,</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2001, the bid price fluctuated from a low of $10.95 per share to a high of</w:t>
      </w:r>
    </w:p>
    <w:p>
      <w:pPr>
        <w:spacing w:after="0" w:line="238" w:lineRule="auto"/>
        <w:rPr>
          <w:sz w:val="20"/>
          <w:szCs w:val="20"/>
          <w:color w:val="auto"/>
        </w:rPr>
      </w:pPr>
      <w:r>
        <w:rPr>
          <w:rFonts w:ascii="Courier New" w:cs="Courier New" w:eastAsia="Courier New" w:hAnsi="Courier New"/>
          <w:sz w:val="18"/>
          <w:szCs w:val="18"/>
          <w:color w:val="auto"/>
        </w:rPr>
        <w:t>$57.38 per share. The following factors may have a significant effect on the</w:t>
      </w:r>
    </w:p>
    <w:p>
      <w:pPr>
        <w:spacing w:after="0"/>
        <w:rPr>
          <w:sz w:val="20"/>
          <w:szCs w:val="20"/>
          <w:color w:val="auto"/>
        </w:rPr>
      </w:pPr>
      <w:r>
        <w:rPr>
          <w:rFonts w:ascii="Courier New" w:cs="Courier New" w:eastAsia="Courier New" w:hAnsi="Courier New"/>
          <w:sz w:val="18"/>
          <w:szCs w:val="18"/>
          <w:color w:val="auto"/>
        </w:rPr>
        <w:t>market price of our common stock:</w:t>
      </w:r>
    </w:p>
    <w:p>
      <w:pPr>
        <w:spacing w:after="0" w:line="169" w:lineRule="exact"/>
        <w:rPr>
          <w:sz w:val="20"/>
          <w:szCs w:val="20"/>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our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 results;</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commercial therapeutic products introduced by us or our competitors;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delays;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patent or other proprietary rights;</w:t>
      </w:r>
    </w:p>
    <w:p>
      <w:pPr>
        <w:spacing w:after="0" w:line="201"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concern as to the safety or other implications of the drugs sought to be developed by us or the genetic engineering involved in their production; and</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Any clinical trial results that are below the expectations of financial analysts or investors would most likely cause our stock price to drop dramatically. Similarly, our stock is likely to drop dramatically if we are not permitted by the FDA to commence a Phase III trial for AXOKINE in 2001 or if the Phase II NT-3 trials expected to be completed in mid-2001 fail to achieve positive results.</w:t>
      </w:r>
    </w:p>
    <w:p>
      <w:pPr>
        <w:spacing w:after="0" w:line="93"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OUR EXISTING SHAREHOLDERS MAY BE ABLE TO EXERT SIGNIFICANT INFLUENCE OVER MATTERS REQUIRING SHAREHOLDER APPROVAL.</w:t>
      </w:r>
    </w:p>
    <w:p>
      <w:pPr>
        <w:spacing w:after="0" w:line="18"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Holders of Class A stock, who are the shareholders who purchased their stock from us before our initial public offering, are entitled to ten votes per share and holders of common stock are entitled to one vote per share. Upon completion of this offering, holders of Class A stock will hold 5.9% of the total of our outstanding shares of common stock and Class A stock, or collectively, our common shares, and have 38.7% of the combined voting power of the common shares. These shareholders, if acting together, will be in position to significantly influence the election of our directors and to effect or prevent certain corporate transactions which require majority or supermajority approval of the combined classes, including mergers and other business combinations. This may result in the company taking corporate actions that you may not consider to be in your best interest and may affect the price of our common stock. Specifically, upon the completion of this offering:</w:t>
      </w:r>
    </w:p>
    <w:p>
      <w:pPr>
        <w:spacing w:after="0" w:line="290" w:lineRule="exact"/>
        <w:rPr>
          <w:sz w:val="20"/>
          <w:szCs w:val="20"/>
          <w:color w:val="auto"/>
        </w:rPr>
      </w:pPr>
    </w:p>
    <w:p>
      <w:pPr>
        <w:ind w:left="740" w:right="2419" w:hanging="205"/>
        <w:spacing w:after="0" w:line="250"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officers and directors will own 8.9% of our outstanding common shares and 37.1% of the combined voting power of our common shares;</w:t>
      </w:r>
    </w:p>
    <w:p>
      <w:pPr>
        <w:sectPr>
          <w:pgSz w:w="11900" w:h="16838" w:orient="portrait"/>
          <w:cols w:equalWidth="0" w:num="1">
            <w:col w:w="10219"/>
          </w:cols>
          <w:pgMar w:left="240" w:top="285" w:right="1440" w:bottom="559" w:gutter="0" w:footer="0" w:header="0"/>
        </w:sectPr>
      </w:pP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559"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740" w:right="2199" w:hanging="205"/>
        <w:spacing w:after="0" w:line="34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 Gamble will hold 13.1% of our outstanding common shares and 8.5% of the combined voting power of our common shares; and</w:t>
      </w:r>
    </w:p>
    <w:p>
      <w:pPr>
        <w:spacing w:after="0" w:line="18"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Amgen will hold 10.2% of our outstanding common shares and 6.6% of the combined voting power of our common shares.</w:t>
      </w:r>
    </w:p>
    <w:p>
      <w:pPr>
        <w:spacing w:after="0" w:line="18"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WE HAVE ANTITAKEOVER DEFENSES THAT COULD DELAY OR PREVENT AN ACQUISITION AND COULD ADVERSELY AFFECT THE PRICE OF OUR COMMON STOCK.</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04" w:lineRule="exact"/>
        <w:rPr>
          <w:sz w:val="20"/>
          <w:szCs w:val="20"/>
          <w:color w:val="auto"/>
        </w:rPr>
      </w:pPr>
    </w:p>
    <w:p>
      <w:pPr>
        <w:ind w:left="740" w:right="1879" w:hanging="205"/>
        <w:spacing w:after="0" w:line="274"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8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staggered board of directors, so that it would take three successive annual meetings to replace all directors.</w:t>
      </w:r>
    </w:p>
    <w:p>
      <w:pPr>
        <w:spacing w:after="0" w:line="18"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In addition, we have a shareholders rights plan which will make it more difficult for a third party to acquire us without the support of our board of directors and principal shareholders.</w:t>
      </w:r>
    </w:p>
    <w:p>
      <w:pPr>
        <w:spacing w:after="0" w:line="66" w:lineRule="exact"/>
        <w:rPr>
          <w:sz w:val="20"/>
          <w:szCs w:val="20"/>
          <w:color w:val="auto"/>
        </w:rPr>
      </w:pPr>
    </w:p>
    <w:p>
      <w:pPr>
        <w:jc w:val="both"/>
        <w:ind w:right="2099"/>
        <w:spacing w:after="0" w:line="402" w:lineRule="auto"/>
        <w:rPr>
          <w:sz w:val="20"/>
          <w:szCs w:val="20"/>
          <w:color w:val="auto"/>
        </w:rPr>
      </w:pPr>
      <w:r>
        <w:rPr>
          <w:rFonts w:ascii="Courier New" w:cs="Courier New" w:eastAsia="Courier New" w:hAnsi="Courier New"/>
          <w:sz w:val="16"/>
          <w:szCs w:val="16"/>
          <w:color w:val="auto"/>
        </w:rPr>
        <w:t>A SIGNIFICANT NUMBER OF OUR SHARES ARE ELIGIBLE FOR RESALE. THIS COULD REDUCE OUR SHARE PRICE AND IMPAIR OUR ABILITY TO RAISE FUNDS IN NEW SHARE OFFERINGS.</w:t>
      </w:r>
    </w:p>
    <w:p>
      <w:pPr>
        <w:spacing w:after="0" w:line="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Procter &amp; Gamble and Amgen own 15.4% (or 5,662,505 shares) and 13.3% (or 4,916,808 shares), respectively, of our outstanding shares. Our agreements with both Procter &amp; Gamble and Amgen grant them demand and piggyback registration rights with respect to their shares of common stock. Procter &amp; Gamble and Amgen have each agreed not to sell shares of our common stock for 90 days following the date of this prospectus without the written consent of Merrill Lynch. In addition to this lock-up arrangement with Merrill Lynch, both Procter &amp; Gamble and Amgen have agreed to separate lock-up arrangements with us. Procter &amp; Gamble has agreed not to sell or transfer any of our common stock from March 12, 2001 until March 31, 2002. Amgen has agreed with us not to sell or transfer more than an additional 500,000 shares of our common stock from March 12, 2001 until March 31, 2002. If, for any reason, Amgen does not sell its full allotment of shares in this offering, the amount available for sale during this lock-up period would be increased by the number of shares not sold in this offering. After these lock-up periods expire, either one of these companies could cause a significant number of shares of our common stock to be registered and sold in the public market, particularly in light of the discontinuation of certain of our collaborative efforts with Procter &amp; Gamble and Amgen, which could cause our stock price to decline.</w:t>
      </w:r>
    </w:p>
    <w:p>
      <w:pPr>
        <w:spacing w:after="0" w:line="113"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Immediately after completion of this offering, we will have 43,362,789 common shares outstanding and available for resale beginning at various points of time in the future. In addition, we will have 7,523,214 outstanding stock options held by our directors, officers, and employees and 107,400 warrants held by Medtronic as of March 16, 2001. Sales of substantial amounts of shares of our common stock in the public market after this offering,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WILL SUFFER IMMEDIATE AND SUBSTANTIAL DILUTION.</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price you will pay for our common stock in this offering will be substantially higher than the $7.75 pro forma net tangible book value per share of our outstanding common shares as of December 31, 2000. As a result, at the offering price of $25.00, you will experience immediate dilution of $17.25 in net tangible book value per share, and our current shareholders will experience an immediate increase in the net tangible book value per share of their common shares of $2.80.</w:t>
      </w:r>
    </w:p>
    <w:p>
      <w:pPr>
        <w:sectPr>
          <w:pgSz w:w="11900" w:h="16838" w:orient="portrait"/>
          <w:cols w:equalWidth="0" w:num="1">
            <w:col w:w="10219"/>
          </w:cols>
          <w:pgMar w:left="240" w:top="285" w:right="1440" w:bottom="388" w:gutter="0" w:footer="0" w:header="0"/>
        </w:sectPr>
      </w:pP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388"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This prospectus and the documents incorporated by reference include forward-looking statements. We have based these forward-looking statements on our current expectations and projections about future events. These forward-looking statements include, among other things, statements relating to:</w:t>
      </w:r>
    </w:p>
    <w:p>
      <w:pPr>
        <w:spacing w:after="0" w:line="82"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business strategies;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clinical trials;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products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relationships with collaborators;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trends in our businesses;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capital expenditures;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conduct clinical trials and obtain regulatory approval.</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forward-looking statements included in this prospectus or in the documents incorporated by reference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105" w:lineRule="exact"/>
        <w:rPr>
          <w:sz w:val="20"/>
          <w:szCs w:val="20"/>
          <w:color w:val="auto"/>
        </w:rPr>
      </w:pPr>
    </w:p>
    <w:p>
      <w:pPr>
        <w:ind w:right="2419" w:firstLine="527"/>
        <w:spacing w:after="0" w:line="402" w:lineRule="auto"/>
        <w:rPr>
          <w:sz w:val="20"/>
          <w:szCs w:val="20"/>
          <w:color w:val="auto"/>
        </w:rPr>
      </w:pPr>
      <w:r>
        <w:rPr>
          <w:rFonts w:ascii="Courier New" w:cs="Courier New" w:eastAsia="Courier New" w:hAnsi="Courier New"/>
          <w:sz w:val="16"/>
          <w:szCs w:val="16"/>
          <w:color w:val="auto"/>
        </w:rPr>
        <w:t>For these statements, we claim the protection of the safe harbor for forward-looking statements contained in Section 21E of the Securities Act.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will receive approximately $153.6 million of net proceeds from the sale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6,500,000 shares of our common stock, based on the public offering price of</w:t>
      </w:r>
    </w:p>
    <w:p>
      <w:pPr>
        <w:spacing w:after="0"/>
        <w:rPr>
          <w:sz w:val="20"/>
          <w:szCs w:val="20"/>
          <w:color w:val="auto"/>
        </w:rPr>
      </w:pPr>
      <w:r>
        <w:rPr>
          <w:rFonts w:ascii="Courier New" w:cs="Courier New" w:eastAsia="Courier New" w:hAnsi="Courier New"/>
          <w:sz w:val="16"/>
          <w:szCs w:val="16"/>
          <w:color w:val="auto"/>
        </w:rPr>
        <w:t>$25.00 per share, after deducting underwriting discounts and commissions and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estimated expenses of this offering. We will not receive any of the proceeds</w:t>
      </w:r>
    </w:p>
    <w:p>
      <w:pPr>
        <w:spacing w:after="0" w:line="238" w:lineRule="auto"/>
        <w:rPr>
          <w:sz w:val="20"/>
          <w:szCs w:val="20"/>
          <w:color w:val="auto"/>
        </w:rPr>
      </w:pPr>
      <w:r>
        <w:rPr>
          <w:rFonts w:ascii="Courier New" w:cs="Courier New" w:eastAsia="Courier New" w:hAnsi="Courier New"/>
          <w:sz w:val="18"/>
          <w:szCs w:val="18"/>
          <w:color w:val="auto"/>
        </w:rPr>
        <w:t>from the sale of 500,000 shares of our common stock by Amgen, the selling</w:t>
      </w:r>
    </w:p>
    <w:p>
      <w:pPr>
        <w:spacing w:after="0"/>
        <w:rPr>
          <w:sz w:val="20"/>
          <w:szCs w:val="20"/>
          <w:color w:val="auto"/>
        </w:rPr>
      </w:pPr>
      <w:r>
        <w:rPr>
          <w:rFonts w:ascii="Courier New" w:cs="Courier New" w:eastAsia="Courier New" w:hAnsi="Courier New"/>
          <w:sz w:val="16"/>
          <w:szCs w:val="16"/>
          <w:color w:val="auto"/>
        </w:rPr>
        <w:t>shareholder. If the underwriters' over-allotment option is exercised in full, we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estimate that such net proceeds will be approximately $178.6 million.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currently intend to use the net proceeds from this offering as follows:</w:t>
      </w:r>
    </w:p>
    <w:p>
      <w:pPr>
        <w:spacing w:after="0" w:line="224" w:lineRule="exact"/>
        <w:rPr>
          <w:sz w:val="20"/>
          <w:szCs w:val="20"/>
          <w:color w:val="auto"/>
        </w:rPr>
      </w:pPr>
    </w:p>
    <w:p>
      <w:pPr>
        <w:ind w:left="740" w:right="1879" w:hanging="205"/>
        <w:spacing w:after="0" w:line="292"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50-70% for preclinical and clinical development of product candidates, including AXOKINE, pegylated AXOKINE, IL-1 Trap, IL-4/IL-13 Trap, VEGF Trap, and the Angiopoietins;</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10-30% for basic research activities;</w:t>
      </w:r>
    </w:p>
    <w:p>
      <w:pPr>
        <w:spacing w:after="0" w:line="201" w:lineRule="exact"/>
        <w:rPr>
          <w:rFonts w:ascii="Courier New" w:cs="Courier New" w:eastAsia="Courier New" w:hAnsi="Courier New"/>
          <w:sz w:val="18"/>
          <w:szCs w:val="18"/>
          <w:color w:val="auto"/>
        </w:rPr>
      </w:pPr>
    </w:p>
    <w:p>
      <w:pPr>
        <w:ind w:left="740" w:right="2199" w:hanging="205"/>
        <w:spacing w:after="0" w:line="292"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5-15% for the continued development of novel technology platforms, including potential efforts to commercialize these technologies; and</w:t>
      </w:r>
    </w:p>
    <w:p>
      <w:pPr>
        <w:spacing w:after="0" w:line="66" w:lineRule="exact"/>
        <w:rPr>
          <w:rFonts w:ascii="Courier New" w:cs="Courier New" w:eastAsia="Courier New" w:hAnsi="Courier New"/>
          <w:sz w:val="18"/>
          <w:szCs w:val="18"/>
          <w:color w:val="auto"/>
        </w:rPr>
      </w:pPr>
    </w:p>
    <w:p>
      <w:pPr>
        <w:ind w:left="740" w:right="2839" w:hanging="205"/>
        <w:spacing w:after="0" w:line="34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for general corporate purposes, including capital expenditures and working capital.</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Pending application of the net proceeds as described above, we intend to invest the net proceeds of this offering primarily in U.S. Government and other investment grade obligations, interest bearing money market funds and other financial instruments. See "Investment Company Act Considerations."</w:t>
      </w:r>
    </w:p>
    <w:p>
      <w:pPr>
        <w:spacing w:after="0" w:line="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We have never paid cash dividends and do not anticipate paying any in the foreseeable future. In addition, under the terms of our financing from the New York State Urban Development Corporation for the purchase and renovation of our Rensselaer facility, we are not permitted to declare or pay cash dividends.</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CAPITALIZATION</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The following table sets forth our capitalization as of December 31, 2000 as adjusted to give effect to our sale of 6,500,000 shares of our common stock in this offering, at the offering price of $25.00, after deducting underwriting discounts and commissions and estimated expenses of this offering, and the application of the estimated net proceeds. See "Use of Proceeds."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center"/>
              <w:ind w:right="12"/>
              <w:spacing w:after="0"/>
              <w:rPr>
                <w:sz w:val="20"/>
                <w:szCs w:val="20"/>
                <w:color w:val="auto"/>
              </w:rPr>
            </w:pPr>
            <w:r>
              <w:rPr>
                <w:rFonts w:ascii="Courier New" w:cs="Courier New" w:eastAsia="Courier New" w:hAnsi="Courier New"/>
                <w:sz w:val="18"/>
                <w:szCs w:val="18"/>
                <w:color w:val="auto"/>
                <w:w w:val="98"/>
              </w:rPr>
              <w:t>AT DECEMBER 31, 2000</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6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ACTUAL</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 ADJUSTED</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(IN THOUSANDS,</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EXCEPT SHARE DATA)</w:t>
            </w:r>
          </w:p>
        </w:tc>
        <w:tc>
          <w:tcPr>
            <w:tcW w:w="0" w:type="dxa"/>
            <w:vAlign w:val="bottom"/>
          </w:tcPr>
          <w:p>
            <w:pPr>
              <w:spacing w:after="0"/>
              <w:rPr>
                <w:sz w:val="1"/>
                <w:szCs w:val="1"/>
                <w:color w:val="auto"/>
              </w:rPr>
            </w:pPr>
          </w:p>
        </w:tc>
      </w:tr>
      <w:tr>
        <w:trPr>
          <w:trHeight w:val="311"/>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Cash, cash equivalents, and marketable securities...........</w:t>
            </w: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$ 154,370</w:t>
            </w: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$ 307,995</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Capital lease obligations -- long-term portion..............</w:t>
            </w: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Note payable -- long-term portion...........................</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73"/>
              </w:rPr>
              <w:t>---------</w:t>
            </w:r>
          </w:p>
        </w:tc>
        <w:tc>
          <w:tcPr>
            <w:tcW w:w="11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1,466</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1,466</w:t>
            </w:r>
          </w:p>
        </w:tc>
        <w:tc>
          <w:tcPr>
            <w:tcW w:w="0" w:type="dxa"/>
            <w:vAlign w:val="bottom"/>
          </w:tcPr>
          <w:p>
            <w:pPr>
              <w:spacing w:after="0"/>
              <w:rPr>
                <w:sz w:val="1"/>
                <w:szCs w:val="1"/>
                <w:color w:val="auto"/>
              </w:rPr>
            </w:pPr>
          </w:p>
        </w:tc>
      </w:tr>
      <w:tr>
        <w:trPr>
          <w:trHeight w:val="296"/>
        </w:trPr>
        <w:tc>
          <w:tcPr>
            <w:tcW w:w="6440" w:type="dxa"/>
            <w:vAlign w:val="bottom"/>
            <w:vMerge w:val="restart"/>
          </w:tcPr>
          <w:p>
            <w:pPr>
              <w:jc w:val="right"/>
              <w:ind w:right="4132"/>
              <w:spacing w:after="0"/>
              <w:rPr>
                <w:sz w:val="20"/>
                <w:szCs w:val="20"/>
                <w:color w:val="auto"/>
              </w:rPr>
            </w:pPr>
            <w:r>
              <w:rPr>
                <w:rFonts w:ascii="Courier New" w:cs="Courier New" w:eastAsia="Courier New" w:hAnsi="Courier New"/>
                <w:sz w:val="18"/>
                <w:szCs w:val="18"/>
                <w:color w:val="auto"/>
                <w:w w:val="96"/>
              </w:rPr>
              <w:t>Stockholders' equity:</w:t>
            </w: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$.01 par value; 30,000,000 shares</w:t>
            </w:r>
          </w:p>
        </w:tc>
        <w:tc>
          <w:tcPr>
            <w:tcW w:w="200" w:type="dxa"/>
            <w:vAlign w:val="bottom"/>
          </w:tcPr>
          <w:p>
            <w:pPr>
              <w:spacing w:after="0"/>
              <w:rPr>
                <w:sz w:val="17"/>
                <w:szCs w:val="17"/>
                <w:color w:val="auto"/>
              </w:rPr>
            </w:pPr>
          </w:p>
        </w:tc>
        <w:tc>
          <w:tcPr>
            <w:tcW w:w="11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authorized; issued and outstanding -- none.............</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stock, $.001 par value, convertible into common</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40,000,000 shares authorized, 2,612,845 shares</w:t>
            </w:r>
          </w:p>
        </w:tc>
        <w:tc>
          <w:tcPr>
            <w:tcW w:w="200" w:type="dxa"/>
            <w:vAlign w:val="bottom"/>
          </w:tcPr>
          <w:p>
            <w:pPr>
              <w:spacing w:after="0"/>
              <w:rPr>
                <w:sz w:val="17"/>
                <w:szCs w:val="17"/>
                <w:color w:val="auto"/>
              </w:rPr>
            </w:pPr>
          </w:p>
        </w:tc>
        <w:tc>
          <w:tcPr>
            <w:tcW w:w="11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issued and outstanding -- actual and as adjusted.......</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60,000,000 shares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authorized; 34,197,104 shares issued and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 -- actual; 40,697,104 shares issued and</w:t>
            </w:r>
          </w:p>
        </w:tc>
        <w:tc>
          <w:tcPr>
            <w:tcW w:w="200" w:type="dxa"/>
            <w:vAlign w:val="bottom"/>
          </w:tcPr>
          <w:p>
            <w:pPr>
              <w:spacing w:after="0"/>
              <w:rPr>
                <w:sz w:val="17"/>
                <w:szCs w:val="17"/>
                <w:color w:val="auto"/>
              </w:rPr>
            </w:pPr>
          </w:p>
        </w:tc>
        <w:tc>
          <w:tcPr>
            <w:tcW w:w="11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34</w:t>
            </w:r>
          </w:p>
        </w:tc>
        <w:tc>
          <w:tcPr>
            <w:tcW w:w="36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outstanding -- as adjusted.............................</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406,391</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560,009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Unearned compensation.....................................</w:t>
            </w:r>
          </w:p>
        </w:tc>
        <w:tc>
          <w:tcPr>
            <w:tcW w:w="2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(1,314)</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2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(223,518)</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(223,518)</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534</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Total stockholders' equity..................................</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73"/>
              </w:rPr>
              <w:t>---------</w:t>
            </w:r>
          </w:p>
        </w:tc>
        <w:tc>
          <w:tcPr>
            <w:tcW w:w="11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182,130</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335,755</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Total capitalization........................................</w:t>
            </w:r>
          </w:p>
        </w:tc>
        <w:tc>
          <w:tcPr>
            <w:tcW w:w="1320" w:type="dxa"/>
            <w:vAlign w:val="bottom"/>
            <w:gridSpan w:val="2"/>
            <w:vMerge w:val="restart"/>
          </w:tcPr>
          <w:p>
            <w:pPr>
              <w:jc w:val="right"/>
              <w:ind w:right="192"/>
              <w:spacing w:after="0"/>
              <w:rPr>
                <w:sz w:val="20"/>
                <w:szCs w:val="20"/>
                <w:color w:val="auto"/>
              </w:rPr>
            </w:pP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184,199</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$ 337,824</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15</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DILUTION</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As of December 31, 2000, our net tangible book value before the offering was $182.1 million or $4.95 per common share. "Net tangible book value per share" is determined by dividing our net tangible book value (total assets less total liabilities) by the number of common shares outstanding. After giving effect to the sale of the shares of our common stock in this offering at the offering price of $25.00 and after deducting underwriting discounts and commissions and the estimated expenses of this offering, our pro forma net tangible book value as of December 31, 2000 would have been $335.8 million in the aggregate, or $7.75 per common share. This represents an immediate increase in net tangible book value of $2.80 per common share to existing holders and immediate dilution of $17.25 per common share to new investors purchasing shares of common stock in this offering. The following table illustrates this per share dilution:</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Assumed public offering price...............................</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$25.00</w:t>
            </w:r>
          </w:p>
        </w:tc>
        <w:tc>
          <w:tcPr>
            <w:tcW w:w="0" w:type="dxa"/>
            <w:vAlign w:val="bottom"/>
          </w:tcPr>
          <w:p>
            <w:pPr>
              <w:spacing w:after="0"/>
              <w:rPr>
                <w:sz w:val="1"/>
                <w:szCs w:val="1"/>
                <w:color w:val="auto"/>
              </w:rPr>
            </w:pPr>
          </w:p>
        </w:tc>
      </w:tr>
      <w:tr>
        <w:trPr>
          <w:trHeight w:val="203"/>
        </w:trPr>
        <w:tc>
          <w:tcPr>
            <w:tcW w:w="64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Net tangible book value per common share before this</w:t>
            </w:r>
          </w:p>
        </w:tc>
        <w:tc>
          <w:tcPr>
            <w:tcW w:w="196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$4.95</w:t>
            </w:r>
          </w:p>
        </w:tc>
        <w:tc>
          <w:tcPr>
            <w:tcW w:w="0" w:type="dxa"/>
            <w:vAlign w:val="bottom"/>
          </w:tcPr>
          <w:p>
            <w:pPr>
              <w:spacing w:after="0"/>
              <w:rPr>
                <w:sz w:val="1"/>
                <w:szCs w:val="1"/>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Increase attributable to new investors.................</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2.80</w:t>
            </w:r>
          </w:p>
        </w:tc>
        <w:tc>
          <w:tcPr>
            <w:tcW w:w="0" w:type="dxa"/>
            <w:vAlign w:val="bottom"/>
          </w:tcPr>
          <w:p>
            <w:pPr>
              <w:spacing w:after="0"/>
              <w:rPr>
                <w:sz w:val="1"/>
                <w:szCs w:val="1"/>
                <w:color w:val="auto"/>
              </w:rPr>
            </w:pPr>
          </w:p>
        </w:tc>
      </w:tr>
      <w:tr>
        <w:trPr>
          <w:trHeight w:val="296"/>
        </w:trPr>
        <w:tc>
          <w:tcPr>
            <w:tcW w:w="64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w w:val="97"/>
              </w:rPr>
              <w:t>Pro forma net tangible book value per common share after</w:t>
            </w:r>
          </w:p>
        </w:tc>
        <w:tc>
          <w:tcPr>
            <w:tcW w:w="19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80" w:type="dxa"/>
            <w:vAlign w:val="bottom"/>
            <w:vMerge w:val="continue"/>
          </w:tcPr>
          <w:p>
            <w:pPr>
              <w:spacing w:after="0"/>
              <w:rPr>
                <w:sz w:val="9"/>
                <w:szCs w:val="9"/>
                <w:color w:val="auto"/>
              </w:rPr>
            </w:pPr>
          </w:p>
        </w:tc>
        <w:tc>
          <w:tcPr>
            <w:tcW w:w="1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7.75</w:t>
            </w:r>
          </w:p>
        </w:tc>
        <w:tc>
          <w:tcPr>
            <w:tcW w:w="0" w:type="dxa"/>
            <w:vAlign w:val="bottom"/>
          </w:tcPr>
          <w:p>
            <w:pPr>
              <w:spacing w:after="0"/>
              <w:rPr>
                <w:sz w:val="1"/>
                <w:szCs w:val="1"/>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this offering.............................................</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7"/>
              </w:rPr>
              <w:t>Dilution per common share to new investors..................</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w:t>
            </w:r>
          </w:p>
        </w:tc>
        <w:tc>
          <w:tcPr>
            <w:tcW w:w="0" w:type="dxa"/>
            <w:vAlign w:val="bottom"/>
          </w:tcPr>
          <w:p>
            <w:pPr>
              <w:spacing w:after="0"/>
              <w:rPr>
                <w:sz w:val="1"/>
                <w:szCs w:val="1"/>
                <w:color w:val="auto"/>
              </w:rPr>
            </w:pPr>
          </w:p>
        </w:tc>
      </w:tr>
      <w:tr>
        <w:trPr>
          <w:trHeight w:val="296"/>
        </w:trPr>
        <w:tc>
          <w:tcPr>
            <w:tcW w:w="64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"Dilution per common share to new investors" means the difference between the public offering price per share of common stock and the pro forma net tangible book value per common share after giving effect to this offering.</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SELECTED FINANCIAL DATA</w:t>
      </w:r>
    </w:p>
    <w:p>
      <w:pPr>
        <w:spacing w:after="0" w:line="201" w:lineRule="exact"/>
        <w:rPr>
          <w:sz w:val="20"/>
          <w:szCs w:val="20"/>
          <w:color w:val="auto"/>
        </w:rPr>
      </w:pPr>
    </w:p>
    <w:p>
      <w:pPr>
        <w:ind w:right="3060" w:firstLine="527"/>
        <w:spacing w:after="0" w:line="248" w:lineRule="auto"/>
        <w:rPr>
          <w:sz w:val="20"/>
          <w:szCs w:val="20"/>
          <w:color w:val="auto"/>
        </w:rPr>
      </w:pPr>
      <w:r>
        <w:rPr>
          <w:rFonts w:ascii="Courier New" w:cs="Courier New" w:eastAsia="Courier New" w:hAnsi="Courier New"/>
          <w:sz w:val="18"/>
          <w:szCs w:val="18"/>
          <w:color w:val="auto"/>
        </w:rPr>
        <w:t>We have derived the selected financial data presented below for the years ended December 31, 2000, 1999 and 1998 and at December 31, 2000 and 1999 from our audited financial statements and notes thereto included in our Annual Report on Form 10-K for the year ended December 31, 2000 which is incorporated by reference in this prospectus. We have derived the selected financial data for the years ended December 31, 1997 and 1996 and at December 31, 1998, 1997 and 1996 from our audited financial statements and notes thereto not included in this prospectus. You should read the selected financial data together with the audited financial statements and the section entitled "Management's Discussion and Analysis of Financial Condition and Results of Operations" in our Annual Report on Form 10-K for the year ended December 31, 2000 which is incorporated by reference in this prospectus.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58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5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16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96"/>
        </w:trPr>
        <w:tc>
          <w:tcPr>
            <w:tcW w:w="5800" w:type="dxa"/>
            <w:vAlign w:val="bottom"/>
          </w:tcPr>
          <w:p>
            <w:pPr>
              <w:spacing w:after="0"/>
              <w:rPr>
                <w:sz w:val="24"/>
                <w:szCs w:val="24"/>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(IN THOUSANDS, EXCEPT PER</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SHARE DATA)</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0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6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$ 36,478</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$ 24,539</w:t>
            </w:r>
          </w:p>
        </w:tc>
        <w:tc>
          <w:tcPr>
            <w:tcW w:w="12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$ 19,714</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9"/>
              </w:rPr>
              <w:t>$ 17,400</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$ 17,303</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research and development...................</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progress payments..........................</w:t>
            </w:r>
          </w:p>
        </w:tc>
        <w:tc>
          <w:tcPr>
            <w:tcW w:w="11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6,200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9,500</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1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16,598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9,113</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2,451</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160" w:type="dxa"/>
            <w:vAlign w:val="bottom"/>
            <w:vMerge w:val="restart"/>
          </w:tcPr>
          <w:p>
            <w:pPr>
              <w:jc w:val="right"/>
              <w:ind w:right="135"/>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59,276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34,499</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38,327</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19,754</w:t>
            </w:r>
          </w:p>
        </w:tc>
        <w:tc>
          <w:tcPr>
            <w:tcW w:w="0" w:type="dxa"/>
            <w:vAlign w:val="bottom"/>
          </w:tcPr>
          <w:p>
            <w:pPr>
              <w:spacing w:after="0"/>
              <w:rPr>
                <w:sz w:val="1"/>
                <w:szCs w:val="1"/>
                <w:color w:val="auto"/>
              </w:rPr>
            </w:pPr>
          </w:p>
        </w:tc>
      </w:tr>
      <w:tr>
        <w:trPr>
          <w:trHeight w:val="296"/>
        </w:trPr>
        <w:tc>
          <w:tcPr>
            <w:tcW w:w="5800" w:type="dxa"/>
            <w:vAlign w:val="bottom"/>
            <w:vMerge w:val="restart"/>
          </w:tcPr>
          <w:p>
            <w:pPr>
              <w:spacing w:after="0"/>
              <w:rPr>
                <w:sz w:val="20"/>
                <w:szCs w:val="20"/>
                <w:color w:val="auto"/>
              </w:rPr>
            </w:pPr>
            <w:r>
              <w:rPr>
                <w:rFonts w:ascii="Courier New" w:cs="Courier New" w:eastAsia="Courier New" w:hAnsi="Courier New"/>
                <w:sz w:val="18"/>
                <w:szCs w:val="18"/>
                <w:color w:val="auto"/>
              </w:rPr>
              <w:t>Expenses:</w:t>
            </w:r>
          </w:p>
        </w:tc>
        <w:tc>
          <w:tcPr>
            <w:tcW w:w="116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800" w:type="dxa"/>
            <w:vAlign w:val="bottom"/>
            <w:vMerge w:val="continue"/>
          </w:tcPr>
          <w:p>
            <w:pPr>
              <w:spacing w:after="0"/>
              <w:rPr>
                <w:sz w:val="9"/>
                <w:szCs w:val="9"/>
                <w:color w:val="auto"/>
              </w:rPr>
            </w:pPr>
          </w:p>
        </w:tc>
        <w:tc>
          <w:tcPr>
            <w:tcW w:w="116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56,256</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44,940</w:t>
            </w:r>
          </w:p>
        </w:tc>
        <w:tc>
          <w:tcPr>
            <w:tcW w:w="12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37,047</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27,770</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28,269</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1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8,309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6,355</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5,838</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5,765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5,880</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4,421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3,426</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3,019</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6,084</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1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15,566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3,612</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5,002</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1,115</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160" w:type="dxa"/>
            <w:vAlign w:val="bottom"/>
            <w:vMerge w:val="restart"/>
          </w:tcPr>
          <w:p>
            <w:pPr>
              <w:jc w:val="right"/>
              <w:ind w:right="135"/>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84,552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58,333</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50,906</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40,541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41,348</w:t>
            </w:r>
          </w:p>
        </w:tc>
        <w:tc>
          <w:tcPr>
            <w:tcW w:w="0" w:type="dxa"/>
            <w:vAlign w:val="bottom"/>
          </w:tcPr>
          <w:p>
            <w:pPr>
              <w:spacing w:after="0"/>
              <w:rPr>
                <w:sz w:val="1"/>
                <w:szCs w:val="1"/>
                <w:color w:val="auto"/>
              </w:rPr>
            </w:pPr>
          </w:p>
        </w:tc>
      </w:tr>
      <w:tr>
        <w:trPr>
          <w:trHeight w:val="203"/>
        </w:trPr>
        <w:tc>
          <w:tcPr>
            <w:tcW w:w="58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Loss from operations..................................</w:t>
            </w:r>
          </w:p>
        </w:tc>
        <w:tc>
          <w:tcPr>
            <w:tcW w:w="1160" w:type="dxa"/>
            <w:vAlign w:val="bottom"/>
            <w:vMerge w:val="restart"/>
          </w:tcPr>
          <w:p>
            <w:pPr>
              <w:jc w:val="right"/>
              <w:ind w:right="15"/>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bscript"/>
              </w:rPr>
              <w:t>(25,276)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(23,834)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(12,579)</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(13,683)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(21,594)</w:t>
            </w:r>
          </w:p>
        </w:tc>
        <w:tc>
          <w:tcPr>
            <w:tcW w:w="0" w:type="dxa"/>
            <w:vAlign w:val="bottom"/>
          </w:tcPr>
          <w:p>
            <w:pPr>
              <w:spacing w:after="0"/>
              <w:rPr>
                <w:sz w:val="1"/>
                <w:szCs w:val="1"/>
                <w:color w:val="auto"/>
              </w:rPr>
            </w:pPr>
          </w:p>
        </w:tc>
      </w:tr>
      <w:tr>
        <w:trPr>
          <w:trHeight w:val="296"/>
        </w:trPr>
        <w:tc>
          <w:tcPr>
            <w:tcW w:w="580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16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800" w:type="dxa"/>
            <w:vAlign w:val="bottom"/>
            <w:vMerge w:val="continue"/>
          </w:tcPr>
          <w:p>
            <w:pPr>
              <w:spacing w:after="0"/>
              <w:rPr>
                <w:sz w:val="9"/>
                <w:szCs w:val="9"/>
                <w:color w:val="auto"/>
              </w:rPr>
            </w:pPr>
          </w:p>
        </w:tc>
        <w:tc>
          <w:tcPr>
            <w:tcW w:w="116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8,480</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5,207</w:t>
            </w:r>
          </w:p>
        </w:tc>
        <w:tc>
          <w:tcPr>
            <w:tcW w:w="12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6,866</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6,242</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4,360</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in Amgen-Regeneron Partners....................</w:t>
            </w:r>
          </w:p>
        </w:tc>
        <w:tc>
          <w:tcPr>
            <w:tcW w:w="116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(4,575)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(14,250)</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6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(281)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160" w:type="dxa"/>
            <w:vAlign w:val="bottom"/>
            <w:vMerge w:val="restart"/>
          </w:tcPr>
          <w:p>
            <w:pPr>
              <w:jc w:val="right"/>
              <w:ind w:right="135"/>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3,624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764</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3,954</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(10,830)</w:t>
            </w:r>
          </w:p>
        </w:tc>
        <w:tc>
          <w:tcPr>
            <w:tcW w:w="0" w:type="dxa"/>
            <w:vAlign w:val="bottom"/>
          </w:tcPr>
          <w:p>
            <w:pPr>
              <w:spacing w:after="0"/>
              <w:rPr>
                <w:sz w:val="1"/>
                <w:szCs w:val="1"/>
                <w:color w:val="auto"/>
              </w:rPr>
            </w:pPr>
          </w:p>
        </w:tc>
      </w:tr>
      <w:tr>
        <w:trPr>
          <w:trHeight w:val="296"/>
        </w:trPr>
        <w:tc>
          <w:tcPr>
            <w:tcW w:w="5800" w:type="dxa"/>
            <w:vAlign w:val="bottom"/>
            <w:vMerge w:val="restart"/>
          </w:tcPr>
          <w:p>
            <w:pPr>
              <w:spacing w:after="0"/>
              <w:rPr>
                <w:sz w:val="20"/>
                <w:szCs w:val="20"/>
                <w:color w:val="auto"/>
              </w:rPr>
            </w:pPr>
            <w:r>
              <w:rPr>
                <w:rFonts w:ascii="Courier New" w:cs="Courier New" w:eastAsia="Courier New" w:hAnsi="Courier New"/>
                <w:sz w:val="18"/>
                <w:szCs w:val="18"/>
                <w:color w:val="auto"/>
              </w:rPr>
              <w:t>Net loss before cumulative effect of a change in</w:t>
            </w:r>
          </w:p>
        </w:tc>
        <w:tc>
          <w:tcPr>
            <w:tcW w:w="116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800" w:type="dxa"/>
            <w:vAlign w:val="bottom"/>
            <w:vMerge w:val="continue"/>
          </w:tcPr>
          <w:p>
            <w:pPr>
              <w:spacing w:after="0"/>
              <w:rPr>
                <w:sz w:val="9"/>
                <w:szCs w:val="9"/>
                <w:color w:val="auto"/>
              </w:rPr>
            </w:pPr>
          </w:p>
        </w:tc>
        <w:tc>
          <w:tcPr>
            <w:tcW w:w="116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(21,652)</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(23,070)</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(8,625)</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(11,579)</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(32,424)</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adopting Staff Accounting</w:t>
            </w:r>
          </w:p>
        </w:tc>
        <w:tc>
          <w:tcPr>
            <w:tcW w:w="116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(1,563)</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Bulletin 101 ("SAB 101")............................</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Net loss..............................................</w:t>
            </w:r>
          </w:p>
        </w:tc>
        <w:tc>
          <w:tcPr>
            <w:tcW w:w="1160" w:type="dxa"/>
            <w:vAlign w:val="bottom"/>
            <w:vMerge w:val="restart"/>
          </w:tcPr>
          <w:p>
            <w:pPr>
              <w:jc w:val="right"/>
              <w:ind w:right="15"/>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3"/>
                <w:szCs w:val="23"/>
                <w:color w:val="auto"/>
                <w:w w:val="72"/>
                <w:vertAlign w:val="superscript"/>
              </w:rPr>
              <w:t>--------</w:t>
            </w:r>
            <w:r>
              <w:rPr>
                <w:rFonts w:ascii="Courier New" w:cs="Courier New" w:eastAsia="Courier New" w:hAnsi="Courier New"/>
                <w:sz w:val="13"/>
                <w:szCs w:val="13"/>
                <w:color w:val="auto"/>
                <w:w w:val="72"/>
              </w:rPr>
              <w:t>(23,215)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(8,625)</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$(32,424)</w:t>
            </w:r>
          </w:p>
        </w:tc>
        <w:tc>
          <w:tcPr>
            <w:tcW w:w="0" w:type="dxa"/>
            <w:vAlign w:val="bottom"/>
          </w:tcPr>
          <w:p>
            <w:pPr>
              <w:spacing w:after="0"/>
              <w:rPr>
                <w:sz w:val="1"/>
                <w:szCs w:val="1"/>
                <w:color w:val="auto"/>
              </w:rPr>
            </w:pPr>
          </w:p>
        </w:tc>
      </w:tr>
      <w:tr>
        <w:trPr>
          <w:trHeight w:val="296"/>
        </w:trPr>
        <w:tc>
          <w:tcPr>
            <w:tcW w:w="580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 Class A and common stock</w:t>
            </w:r>
          </w:p>
        </w:tc>
        <w:tc>
          <w:tcPr>
            <w:tcW w:w="116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800" w:type="dxa"/>
            <w:vAlign w:val="bottom"/>
            <w:vMerge w:val="continue"/>
          </w:tcPr>
          <w:p>
            <w:pPr>
              <w:spacing w:after="0"/>
              <w:rPr>
                <w:sz w:val="9"/>
                <w:szCs w:val="9"/>
                <w:color w:val="auto"/>
              </w:rPr>
            </w:pPr>
          </w:p>
        </w:tc>
        <w:tc>
          <w:tcPr>
            <w:tcW w:w="116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34,950</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31,308</w:t>
            </w:r>
          </w:p>
        </w:tc>
        <w:tc>
          <w:tcPr>
            <w:tcW w:w="12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30,992</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28,702</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24,464</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 basic and diluted......................</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800" w:type="dxa"/>
            <w:vAlign w:val="bottom"/>
            <w:vMerge w:val="restart"/>
          </w:tcPr>
          <w:p>
            <w:pPr>
              <w:spacing w:after="0"/>
              <w:rPr>
                <w:sz w:val="20"/>
                <w:szCs w:val="20"/>
                <w:color w:val="auto"/>
              </w:rPr>
            </w:pPr>
            <w:r>
              <w:rPr>
                <w:rFonts w:ascii="Courier New" w:cs="Courier New" w:eastAsia="Courier New" w:hAnsi="Courier New"/>
                <w:sz w:val="18"/>
                <w:szCs w:val="18"/>
                <w:color w:val="auto"/>
              </w:rPr>
              <w:t>Net loss per share, basic and diluted:</w:t>
            </w:r>
          </w:p>
        </w:tc>
        <w:tc>
          <w:tcPr>
            <w:tcW w:w="116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8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Net loss before cumulative effect of a change in</w:t>
            </w:r>
          </w:p>
        </w:tc>
        <w:tc>
          <w:tcPr>
            <w:tcW w:w="116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$(0.62)</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$(0.74)</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$(0.28)</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$(0.40)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($1.33)</w:t>
            </w: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effect of adopting SAB 101...............</w:t>
            </w:r>
          </w:p>
        </w:tc>
        <w:tc>
          <w:tcPr>
            <w:tcW w:w="116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(0.04)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Net loss per share..................................</w:t>
            </w:r>
          </w:p>
        </w:tc>
        <w:tc>
          <w:tcPr>
            <w:tcW w:w="1160" w:type="dxa"/>
            <w:vAlign w:val="bottom"/>
            <w:vMerge w:val="restart"/>
          </w:tcPr>
          <w:p>
            <w:pPr>
              <w:jc w:val="right"/>
              <w:ind w:right="15"/>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7"/>
                <w:szCs w:val="27"/>
                <w:color w:val="auto"/>
                <w:w w:val="70"/>
                <w:vertAlign w:val="subscript"/>
              </w:rPr>
              <w:t>$(0.66)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0" w:type="dxa"/>
            <w:vAlign w:val="bottom"/>
          </w:tcPr>
          <w:p>
            <w:pPr>
              <w:spacing w:after="0"/>
              <w:rPr>
                <w:sz w:val="1"/>
                <w:szCs w:val="1"/>
                <w:color w:val="auto"/>
              </w:rPr>
            </w:pPr>
          </w:p>
        </w:tc>
      </w:tr>
      <w:tr>
        <w:trPr>
          <w:trHeight w:val="296"/>
        </w:trPr>
        <w:tc>
          <w:tcPr>
            <w:tcW w:w="5800" w:type="dxa"/>
            <w:vAlign w:val="bottom"/>
          </w:tcPr>
          <w:p>
            <w:pPr>
              <w:spacing w:after="0"/>
              <w:rPr>
                <w:sz w:val="24"/>
                <w:szCs w:val="24"/>
                <w:color w:val="auto"/>
              </w:rPr>
            </w:pPr>
          </w:p>
        </w:tc>
        <w:tc>
          <w:tcPr>
            <w:tcW w:w="116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60" w:type="dxa"/>
            <w:vAlign w:val="bottom"/>
            <w:gridSpan w:val="2"/>
          </w:tcPr>
          <w:p>
            <w:pPr>
              <w:ind w:left="880"/>
              <w:spacing w:after="0"/>
              <w:rPr>
                <w:sz w:val="20"/>
                <w:szCs w:val="20"/>
                <w:color w:val="auto"/>
              </w:rPr>
            </w:pPr>
            <w:r>
              <w:rPr>
                <w:rFonts w:ascii="Courier New" w:cs="Courier New" w:eastAsia="Courier New" w:hAnsi="Courier New"/>
                <w:sz w:val="18"/>
                <w:szCs w:val="18"/>
                <w:color w:val="auto"/>
                <w:w w:val="96"/>
              </w:rPr>
              <w:t>AT DECEMBER 31,</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5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1999</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ind w:left="880"/>
              <w:spacing w:after="0"/>
              <w:rPr>
                <w:sz w:val="20"/>
                <w:szCs w:val="20"/>
                <w:color w:val="auto"/>
              </w:rPr>
            </w:pPr>
            <w:r>
              <w:rPr>
                <w:rFonts w:ascii="Courier New" w:cs="Courier New" w:eastAsia="Courier New" w:hAnsi="Courier New"/>
                <w:sz w:val="18"/>
                <w:szCs w:val="18"/>
                <w:color w:val="auto"/>
              </w:rPr>
              <w:t>(IN</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THOUSANDS)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90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$154,370</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$ 93,599</w:t>
            </w:r>
          </w:p>
        </w:tc>
        <w:tc>
          <w:tcPr>
            <w:tcW w:w="120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$113,530</w:t>
            </w:r>
          </w:p>
        </w:tc>
        <w:tc>
          <w:tcPr>
            <w:tcW w:w="10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w w:val="97"/>
              </w:rPr>
              <w:t>$128,041</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$97,028</w:t>
            </w: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cash equivalents, and marketable securities......</w:t>
            </w:r>
          </w:p>
        </w:tc>
        <w:tc>
          <w:tcPr>
            <w:tcW w:w="11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0"/>
                <w:szCs w:val="20"/>
                <w:color w:val="auto"/>
              </w:rPr>
            </w:pPr>
            <w:r>
              <w:rPr>
                <w:rFonts w:ascii="Courier New" w:cs="Courier New" w:eastAsia="Courier New" w:hAnsi="Courier New"/>
                <w:sz w:val="18"/>
                <w:szCs w:val="18"/>
                <w:color w:val="auto"/>
                <w:w w:val="98"/>
              </w:rPr>
              <w:t>Total assets...........................................</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208,274</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136,999</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156,915</w:t>
            </w:r>
          </w:p>
        </w:tc>
        <w:tc>
          <w:tcPr>
            <w:tcW w:w="1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168,380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137,582</w:t>
            </w:r>
          </w:p>
        </w:tc>
        <w:tc>
          <w:tcPr>
            <w:tcW w:w="0" w:type="dxa"/>
            <w:vAlign w:val="bottom"/>
          </w:tcPr>
          <w:p>
            <w:pPr>
              <w:spacing w:after="0"/>
              <w:rPr>
                <w:sz w:val="1"/>
                <w:szCs w:val="1"/>
                <w:color w:val="auto"/>
              </w:rPr>
            </w:pPr>
          </w:p>
        </w:tc>
      </w:tr>
    </w:tbl>
    <w:p>
      <w:pPr>
        <w:sectPr>
          <w:pgSz w:w="11900" w:h="16838" w:orient="portrait"/>
          <w:cols w:equalWidth="0" w:num="1">
            <w:col w:w="11500"/>
          </w:cols>
          <w:pgMar w:left="240" w:top="285" w:right="15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Capital lease</w:t>
            </w:r>
          </w:p>
        </w:tc>
        <w:tc>
          <w:tcPr>
            <w:tcW w:w="4480" w:type="dxa"/>
            <w:vAlign w:val="bottom"/>
          </w:tcPr>
          <w:p>
            <w:pPr>
              <w:spacing w:after="0"/>
              <w:rPr>
                <w:sz w:val="20"/>
                <w:szCs w:val="20"/>
                <w:color w:val="auto"/>
              </w:rPr>
            </w:pPr>
            <w:r>
              <w:rPr>
                <w:rFonts w:ascii="Courier New" w:cs="Courier New" w:eastAsia="Courier New" w:hAnsi="Courier New"/>
                <w:sz w:val="18"/>
                <w:szCs w:val="18"/>
                <w:color w:val="auto"/>
              </w:rPr>
              <w:t>obligations and note payable, long-term</w:t>
            </w:r>
          </w:p>
        </w:tc>
        <w:tc>
          <w:tcPr>
            <w:tcW w:w="11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2,069</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2,731</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3,066</w:t>
            </w:r>
          </w:p>
        </w:tc>
        <w:tc>
          <w:tcPr>
            <w:tcW w:w="11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3,752</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5,148</w:t>
            </w:r>
          </w:p>
        </w:tc>
        <w:tc>
          <w:tcPr>
            <w:tcW w:w="0" w:type="dxa"/>
            <w:vAlign w:val="bottom"/>
          </w:tcPr>
          <w:p>
            <w:pPr>
              <w:spacing w:after="0"/>
              <w:rPr>
                <w:sz w:val="1"/>
                <w:szCs w:val="1"/>
                <w:color w:val="auto"/>
              </w:rPr>
            </w:pPr>
          </w:p>
        </w:tc>
      </w:tr>
      <w:tr>
        <w:trPr>
          <w:trHeight w:val="203"/>
        </w:trPr>
        <w:tc>
          <w:tcPr>
            <w:tcW w:w="1480" w:type="dxa"/>
            <w:vAlign w:val="bottom"/>
          </w:tcPr>
          <w:p>
            <w:pPr>
              <w:ind w:left="220"/>
              <w:spacing w:after="0"/>
              <w:rPr>
                <w:sz w:val="20"/>
                <w:szCs w:val="20"/>
                <w:color w:val="auto"/>
              </w:rPr>
            </w:pPr>
            <w:r>
              <w:rPr>
                <w:rFonts w:ascii="Courier New" w:cs="Courier New" w:eastAsia="Courier New" w:hAnsi="Courier New"/>
                <w:sz w:val="5"/>
                <w:szCs w:val="5"/>
                <w:color w:val="auto"/>
                <w:w w:val="77"/>
              </w:rPr>
              <w:t>portion..............................................</w:t>
            </w:r>
          </w:p>
        </w:tc>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equity...................................</w:t>
            </w:r>
          </w:p>
        </w:tc>
        <w:tc>
          <w:tcPr>
            <w:tcW w:w="11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Stockholders'</w:t>
            </w:r>
          </w:p>
        </w:tc>
        <w:tc>
          <w:tcPr>
            <w:tcW w:w="4480" w:type="dxa"/>
            <w:vAlign w:val="bottom"/>
            <w:vMerge w:val="continue"/>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182,130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109,532</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131,227</w:t>
            </w:r>
          </w:p>
        </w:tc>
        <w:tc>
          <w:tcPr>
            <w:tcW w:w="11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138,897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106,931</w:t>
            </w:r>
          </w:p>
        </w:tc>
        <w:tc>
          <w:tcPr>
            <w:tcW w:w="0" w:type="dxa"/>
            <w:vAlign w:val="bottom"/>
          </w:tcPr>
          <w:p>
            <w:pPr>
              <w:spacing w:after="0"/>
              <w:rPr>
                <w:sz w:val="1"/>
                <w:szCs w:val="1"/>
                <w:color w:val="auto"/>
              </w:rPr>
            </w:pPr>
          </w:p>
        </w:tc>
      </w:tr>
      <w:tr>
        <w:trPr>
          <w:trHeight w:val="608"/>
        </w:trPr>
        <w:tc>
          <w:tcPr>
            <w:tcW w:w="1480" w:type="dxa"/>
            <w:vAlign w:val="bottom"/>
          </w:tcPr>
          <w:p>
            <w:pPr>
              <w:spacing w:after="0"/>
              <w:rPr>
                <w:sz w:val="24"/>
                <w:szCs w:val="24"/>
                <w:color w:val="auto"/>
              </w:rPr>
            </w:pPr>
          </w:p>
        </w:tc>
        <w:tc>
          <w:tcPr>
            <w:tcW w:w="448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17</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08" w:right="279"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drug candidates for the treatment of obesity, rheumatoid arthritis and other inflammatory conditions, cancer and related disorders, allergies, asthma, and other diseases and disorders.</w:t>
      </w:r>
    </w:p>
    <w:p>
      <w:pPr>
        <w:spacing w:after="0" w:line="90"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A key aspect of our strategy is to retain significant ownership and commercialization rights to our pipeline. The ability to participate in the commercialization of our products will enable us to retain the majority of the potential economic rewards from discovering and developing our pipeline. Longer-term, we will continue to invest in the development of additional enabling technologies to assist in our efforts to identify, develop, and commercialize new product candidates.</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INDEPENDENT PROGRAMS</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following table lists the programs and product candidates for which we retain sole ownership and marketing rights.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ind w:left="860"/>
              <w:spacing w:after="0"/>
              <w:rPr>
                <w:sz w:val="20"/>
                <w:szCs w:val="20"/>
                <w:color w:val="auto"/>
              </w:rPr>
            </w:pPr>
            <w:r>
              <w:rPr>
                <w:rFonts w:ascii="Courier New" w:cs="Courier New" w:eastAsia="Courier New" w:hAnsi="Courier New"/>
                <w:sz w:val="18"/>
                <w:szCs w:val="18"/>
                <w:color w:val="auto"/>
              </w:rPr>
              <w:t>PROGRAM AND PRODUCT CANDIDATE</w:t>
            </w:r>
          </w:p>
        </w:tc>
        <w:tc>
          <w:tcPr>
            <w:tcW w:w="3800" w:type="dxa"/>
            <w:vAlign w:val="bottom"/>
          </w:tcPr>
          <w:p>
            <w:pPr>
              <w:ind w:left="840"/>
              <w:spacing w:after="0"/>
              <w:rPr>
                <w:sz w:val="20"/>
                <w:szCs w:val="20"/>
                <w:color w:val="auto"/>
              </w:rPr>
            </w:pPr>
            <w:r>
              <w:rPr>
                <w:rFonts w:ascii="Courier New" w:cs="Courier New" w:eastAsia="Courier New" w:hAnsi="Courier New"/>
                <w:sz w:val="18"/>
                <w:szCs w:val="18"/>
                <w:color w:val="auto"/>
              </w:rPr>
              <w:t>TARGETED INDICATION</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STAGE</w:t>
            </w:r>
          </w:p>
        </w:tc>
        <w:tc>
          <w:tcPr>
            <w:tcW w:w="0" w:type="dxa"/>
            <w:vAlign w:val="bottom"/>
          </w:tcPr>
          <w:p>
            <w:pPr>
              <w:spacing w:after="0"/>
              <w:rPr>
                <w:sz w:val="1"/>
                <w:szCs w:val="1"/>
                <w:color w:val="auto"/>
              </w:rPr>
            </w:pPr>
          </w:p>
        </w:tc>
      </w:tr>
      <w:tr>
        <w:trPr>
          <w:trHeight w:val="296"/>
        </w:trPr>
        <w:tc>
          <w:tcPr>
            <w:tcW w:w="4960" w:type="dxa"/>
            <w:vAlign w:val="bottom"/>
          </w:tcPr>
          <w:p>
            <w:pPr>
              <w:ind w:left="860"/>
              <w:spacing w:after="0"/>
              <w:rPr>
                <w:sz w:val="20"/>
                <w:szCs w:val="20"/>
                <w:color w:val="auto"/>
              </w:rPr>
            </w:pPr>
            <w:r>
              <w:rPr>
                <w:rFonts w:ascii="Courier New" w:cs="Courier New" w:eastAsia="Courier New" w:hAnsi="Courier New"/>
                <w:sz w:val="18"/>
                <w:szCs w:val="18"/>
                <w:color w:val="auto"/>
              </w:rPr>
              <w:t>-----------------------------</w:t>
            </w:r>
          </w:p>
        </w:tc>
        <w:tc>
          <w:tcPr>
            <w:tcW w:w="3800" w:type="dxa"/>
            <w:vAlign w:val="bottom"/>
          </w:tcPr>
          <w:p>
            <w:pPr>
              <w:ind w:left="84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AXOKINE(R)</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Obesity</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Clinical</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PEGYLATED AXOKINE</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Obesity</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IL-1 TRAP</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Rheumatoid arthritis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Clinical</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IL-4/13 TRAP</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Asthma and allergic disorders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TRAPS FOR IL-2, IL-3, IL-4, IL-5, IL-6, IL-15,</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Multiple diseases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Research</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GAMMA-INTERFERON, TGF-BETA AND OTHERS</w:t>
            </w:r>
          </w:p>
        </w:tc>
        <w:tc>
          <w:tcPr>
            <w:tcW w:w="38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Cancer and related conditions</w:t>
            </w:r>
          </w:p>
        </w:tc>
        <w:tc>
          <w:tcPr>
            <w:tcW w:w="12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5"/>
              </w:rPr>
              <w:t>Preclinical</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VEGF TRAP</w:t>
            </w:r>
          </w:p>
        </w:tc>
        <w:tc>
          <w:tcPr>
            <w:tcW w:w="3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ANGIOPOIETIN-1</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Vascular leak and edema</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EPHRINS, ANGIOPOIETIN-2</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Cancer and ischemia</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Research</w:t>
            </w:r>
          </w:p>
        </w:tc>
        <w:tc>
          <w:tcPr>
            <w:tcW w:w="0" w:type="dxa"/>
            <w:vAlign w:val="bottom"/>
          </w:tcPr>
          <w:p>
            <w:pPr>
              <w:spacing w:after="0"/>
              <w:rPr>
                <w:sz w:val="1"/>
                <w:szCs w:val="1"/>
                <w:color w:val="auto"/>
              </w:rPr>
            </w:pPr>
          </w:p>
        </w:tc>
      </w:tr>
      <w:tr>
        <w:trPr>
          <w:trHeight w:val="235"/>
        </w:trPr>
        <w:tc>
          <w:tcPr>
            <w:tcW w:w="4960" w:type="dxa"/>
            <w:vAlign w:val="bottom"/>
          </w:tcPr>
          <w:p>
            <w:pPr>
              <w:spacing w:after="0"/>
              <w:rPr>
                <w:sz w:val="20"/>
                <w:szCs w:val="20"/>
                <w:color w:val="auto"/>
              </w:rPr>
            </w:pPr>
            <w:r>
              <w:rPr>
                <w:rFonts w:ascii="Courier New" w:cs="Courier New" w:eastAsia="Courier New" w:hAnsi="Courier New"/>
                <w:sz w:val="18"/>
                <w:szCs w:val="18"/>
                <w:color w:val="auto"/>
              </w:rPr>
              <w:t>REGENERON ORPHAN RECEPTORS (RORS)</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Osteoarthritis and other cartilage</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Research</w:t>
            </w:r>
          </w:p>
        </w:tc>
        <w:tc>
          <w:tcPr>
            <w:tcW w:w="0" w:type="dxa"/>
            <w:vAlign w:val="bottom"/>
          </w:tcPr>
          <w:p>
            <w:pPr>
              <w:spacing w:after="0"/>
              <w:rPr>
                <w:sz w:val="1"/>
                <w:szCs w:val="1"/>
                <w:color w:val="auto"/>
              </w:rPr>
            </w:pPr>
          </w:p>
        </w:tc>
      </w:tr>
    </w:tbl>
    <w:p>
      <w:pPr>
        <w:ind w:left="5160"/>
        <w:spacing w:after="0"/>
        <w:rPr>
          <w:sz w:val="20"/>
          <w:szCs w:val="20"/>
          <w:color w:val="auto"/>
        </w:rPr>
      </w:pPr>
      <w:r>
        <w:rPr>
          <w:rFonts w:ascii="Courier New" w:cs="Courier New" w:eastAsia="Courier New" w:hAnsi="Courier New"/>
          <w:sz w:val="18"/>
          <w:szCs w:val="18"/>
          <w:color w:val="auto"/>
        </w:rPr>
        <w:t>diseases</w:t>
      </w:r>
    </w:p>
    <w:p>
      <w:pPr>
        <w:spacing w:after="0" w:line="372" w:lineRule="exact"/>
        <w:rPr>
          <w:sz w:val="20"/>
          <w:szCs w:val="20"/>
          <w:color w:val="auto"/>
        </w:rPr>
      </w:pPr>
    </w:p>
    <w:p>
      <w:pPr>
        <w:ind w:right="2099" w:firstLine="527"/>
        <w:spacing w:after="0" w:line="402" w:lineRule="auto"/>
        <w:rPr>
          <w:sz w:val="20"/>
          <w:szCs w:val="20"/>
          <w:color w:val="auto"/>
        </w:rPr>
      </w:pPr>
      <w:r>
        <w:rPr>
          <w:rFonts w:ascii="Courier New" w:cs="Courier New" w:eastAsia="Courier New" w:hAnsi="Courier New"/>
          <w:sz w:val="16"/>
          <w:szCs w:val="16"/>
          <w:color w:val="auto"/>
        </w:rPr>
        <w:t>AXOKINE. AXOKINE is our patented second generation ciliary neurotrophic factor, called CNTF. We are developing AXOKINE for the treatment of obesity.</w:t>
      </w:r>
    </w:p>
    <w:p>
      <w:pPr>
        <w:spacing w:after="0" w:line="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II diabetes. Obesity-related conditions, such as stroke and myocardial infarct are estimated to contribute to about 300,000 deaths yearly, ranking second only to smoking as a cause of preventable death. Current treatment of obesity consists of diet, exercise and other lifestyle changes, and a limited number of drugs. There are two approved drugs currently indicated for the treatment of obesity -- sibutramine (Meridia(R), a registered trademark of Knoll Pharmaceutical Company), and orlistat (Xenical(R), a registered trademark of Hoffmann-La Roche, Inc.). According to their approved product labels, over a twelve month treatment period, these drugs, at their approved starting doses, have produced weight loss of between approximately five and nine pounds as compared to patients taking placebo.</w:t>
      </w:r>
    </w:p>
    <w:p>
      <w:pPr>
        <w:sectPr>
          <w:pgSz w:w="11900" w:h="16838" w:orient="portrait"/>
          <w:cols w:equalWidth="0" w:num="1">
            <w:col w:w="10219"/>
          </w:cols>
          <w:pgMar w:left="240" w:top="285" w:right="1440" w:bottom="1440" w:gutter="0" w:footer="0" w:header="0"/>
        </w:sectPr>
      </w:pPr>
    </w:p>
    <w:p>
      <w:pPr>
        <w:spacing w:after="0" w:line="1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285" w:right="1440" w:bottom="1440" w:gutter="0" w:footer="0" w:header="0"/>
          <w:type w:val="continuous"/>
        </w:sectPr>
      </w:pPr>
    </w:p>
    <w:bookmarkStart w:id="21" w:name="page22"/>
    <w:bookmarkEnd w:id="21"/>
    <w:p>
      <w:pPr>
        <w:spacing w:after="0" w:line="2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In November 2000, we announced the preliminary results of a Phase II clinical trial, which tested the safety and efficacy of AXOKINE in severely obese patients. This Phase II trial was a randomized, double-blind, placebo-controlled, out-patient study conducted at seven sites in the United States. Following an initial two week "run-in period," all subjects received twelve weeks of daily treatment, administered under the skin by patient self-injection. A total of 170 patients were divided into five patient groups. The first four patient groups comprised the pre-specified population for the primary analyses and received placebo, a daily dose of 0.3 micrograms (mcg) of AXOKINE per kilogram (kg), a daily dose of 1.0 mcg/kg, or a daily dose of 2.0 mcg/kg, in each case, over the twelve week treatment period. A fifth group received a daily dose of 1.0 mcg/kg for eight weeks, followed by a blinded withdrawal period in which they received placebo for four weeks. The pre-specified end points of the study were change in weight for the patients who completed the full twelve weeks of treatment ("Completer Analysis"), and change in weight for all patients, whether or not they completed the full twelve weeks of treatment ("Last Observed Value Analysis"). All AXOKINE-treated groups showed medically meaningful and statistically significant weight loss compared to placebo. Summarized below are the results of the four groups comprising the primary analyses.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4"/>
                <w:szCs w:val="24"/>
                <w:color w:val="auto"/>
              </w:rPr>
            </w:pPr>
          </w:p>
        </w:tc>
        <w:tc>
          <w:tcPr>
            <w:tcW w:w="5120" w:type="dxa"/>
            <w:vAlign w:val="bottom"/>
            <w:gridSpan w:val="2"/>
          </w:tcPr>
          <w:p>
            <w:pPr>
              <w:jc w:val="center"/>
              <w:ind w:right="72"/>
              <w:spacing w:after="0"/>
              <w:rPr>
                <w:sz w:val="20"/>
                <w:szCs w:val="20"/>
                <w:color w:val="auto"/>
              </w:rPr>
            </w:pPr>
            <w:r>
              <w:rPr>
                <w:rFonts w:ascii="Courier New" w:cs="Courier New" w:eastAsia="Courier New" w:hAnsi="Courier New"/>
                <w:sz w:val="18"/>
                <w:szCs w:val="18"/>
                <w:color w:val="auto"/>
                <w:w w:val="96"/>
              </w:rPr>
              <w:t>COMPLETER ANALYSIS</w:t>
            </w:r>
          </w:p>
        </w:tc>
        <w:tc>
          <w:tcPr>
            <w:tcW w:w="0" w:type="dxa"/>
            <w:vAlign w:val="bottom"/>
          </w:tcPr>
          <w:p>
            <w:pPr>
              <w:spacing w:after="0"/>
              <w:rPr>
                <w:sz w:val="1"/>
                <w:szCs w:val="1"/>
                <w:color w:val="auto"/>
              </w:rPr>
            </w:pPr>
          </w:p>
        </w:tc>
      </w:tr>
      <w:tr>
        <w:trPr>
          <w:trHeight w:val="717"/>
        </w:trPr>
        <w:tc>
          <w:tcPr>
            <w:tcW w:w="1740" w:type="dxa"/>
            <w:vAlign w:val="bottom"/>
          </w:tcPr>
          <w:p>
            <w:pPr>
              <w:spacing w:after="0"/>
              <w:rPr>
                <w:sz w:val="24"/>
                <w:szCs w:val="24"/>
                <w:color w:val="auto"/>
              </w:rPr>
            </w:pPr>
          </w:p>
        </w:tc>
        <w:tc>
          <w:tcPr>
            <w:tcW w:w="27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MEAN WEIGHT CHANGE</w:t>
            </w:r>
          </w:p>
        </w:tc>
        <w:tc>
          <w:tcPr>
            <w:tcW w:w="238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7"/>
              </w:rPr>
              <w:t>p VALUE</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FROM BASELINE</w:t>
            </w: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(POUNDS)</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(RELATIVE TO PLACEBO)</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7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w:t>
            </w:r>
          </w:p>
        </w:tc>
        <w:tc>
          <w:tcPr>
            <w:tcW w:w="23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0"/>
                <w:szCs w:val="20"/>
                <w:color w:val="auto"/>
              </w:rPr>
            </w:pPr>
            <w:r>
              <w:rPr>
                <w:rFonts w:ascii="Courier New" w:cs="Courier New" w:eastAsia="Courier New" w:hAnsi="Courier New"/>
                <w:sz w:val="18"/>
                <w:szCs w:val="18"/>
                <w:color w:val="auto"/>
              </w:rPr>
              <w:t>Placebo</w:t>
            </w:r>
          </w:p>
        </w:tc>
        <w:tc>
          <w:tcPr>
            <w:tcW w:w="274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7"/>
              </w:rPr>
              <w:t>+1.3</w:t>
            </w:r>
          </w:p>
        </w:tc>
        <w:tc>
          <w:tcPr>
            <w:tcW w:w="2380" w:type="dxa"/>
            <w:vAlign w:val="bottom"/>
          </w:tcPr>
          <w:p>
            <w:pPr>
              <w:jc w:val="center"/>
              <w:ind w:right="2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(n=19)</w:t>
            </w:r>
          </w:p>
        </w:tc>
        <w:tc>
          <w:tcPr>
            <w:tcW w:w="274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-3.4</w:t>
            </w:r>
          </w:p>
        </w:tc>
        <w:tc>
          <w:tcPr>
            <w:tcW w:w="2380" w:type="dxa"/>
            <w:vAlign w:val="bottom"/>
            <w:vMerge w:val="restart"/>
          </w:tcPr>
          <w:p>
            <w:pPr>
              <w:jc w:val="center"/>
              <w:ind w:right="292"/>
              <w:spacing w:after="0"/>
              <w:rPr>
                <w:sz w:val="20"/>
                <w:szCs w:val="20"/>
                <w:color w:val="auto"/>
              </w:rPr>
            </w:pPr>
            <w:r>
              <w:rPr>
                <w:rFonts w:ascii="Courier New" w:cs="Courier New" w:eastAsia="Courier New" w:hAnsi="Courier New"/>
                <w:sz w:val="18"/>
                <w:szCs w:val="18"/>
                <w:color w:val="auto"/>
                <w:w w:val="97"/>
              </w:rPr>
              <w:t>p = 0.01</w:t>
            </w:r>
          </w:p>
        </w:tc>
        <w:tc>
          <w:tcPr>
            <w:tcW w:w="0" w:type="dxa"/>
            <w:vAlign w:val="bottom"/>
          </w:tcPr>
          <w:p>
            <w:pPr>
              <w:spacing w:after="0"/>
              <w:rPr>
                <w:sz w:val="1"/>
                <w:szCs w:val="1"/>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0.3 mcg/kg</w:t>
            </w:r>
          </w:p>
        </w:tc>
        <w:tc>
          <w:tcPr>
            <w:tcW w:w="274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(n=23)</w:t>
            </w:r>
          </w:p>
        </w:tc>
        <w:tc>
          <w:tcPr>
            <w:tcW w:w="274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-8.9</w:t>
            </w:r>
          </w:p>
        </w:tc>
        <w:tc>
          <w:tcPr>
            <w:tcW w:w="2380" w:type="dxa"/>
            <w:vAlign w:val="bottom"/>
            <w:vMerge w:val="restart"/>
          </w:tcPr>
          <w:p>
            <w:pPr>
              <w:jc w:val="center"/>
              <w:ind w:right="272"/>
              <w:spacing w:after="0"/>
              <w:rPr>
                <w:sz w:val="20"/>
                <w:szCs w:val="20"/>
                <w:color w:val="auto"/>
              </w:rPr>
            </w:pPr>
            <w:r>
              <w:rPr>
                <w:rFonts w:ascii="Courier New" w:cs="Courier New" w:eastAsia="Courier New" w:hAnsi="Courier New"/>
                <w:sz w:val="18"/>
                <w:szCs w:val="18"/>
                <w:color w:val="auto"/>
                <w:w w:val="98"/>
              </w:rPr>
              <w:t>p &lt; 0.0001</w:t>
            </w:r>
          </w:p>
        </w:tc>
        <w:tc>
          <w:tcPr>
            <w:tcW w:w="0" w:type="dxa"/>
            <w:vAlign w:val="bottom"/>
          </w:tcPr>
          <w:p>
            <w:pPr>
              <w:spacing w:after="0"/>
              <w:rPr>
                <w:sz w:val="1"/>
                <w:szCs w:val="1"/>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1.0 mcg/kg</w:t>
            </w:r>
          </w:p>
        </w:tc>
        <w:tc>
          <w:tcPr>
            <w:tcW w:w="274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(n=26)</w:t>
            </w:r>
          </w:p>
        </w:tc>
        <w:tc>
          <w:tcPr>
            <w:tcW w:w="274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-7.5</w:t>
            </w:r>
          </w:p>
        </w:tc>
        <w:tc>
          <w:tcPr>
            <w:tcW w:w="2380" w:type="dxa"/>
            <w:vAlign w:val="bottom"/>
            <w:vMerge w:val="restart"/>
          </w:tcPr>
          <w:p>
            <w:pPr>
              <w:jc w:val="center"/>
              <w:ind w:right="272"/>
              <w:spacing w:after="0"/>
              <w:rPr>
                <w:sz w:val="20"/>
                <w:szCs w:val="20"/>
                <w:color w:val="auto"/>
              </w:rPr>
            </w:pPr>
            <w:r>
              <w:rPr>
                <w:rFonts w:ascii="Courier New" w:cs="Courier New" w:eastAsia="Courier New" w:hAnsi="Courier New"/>
                <w:sz w:val="18"/>
                <w:szCs w:val="18"/>
                <w:color w:val="auto"/>
                <w:w w:val="98"/>
              </w:rPr>
              <w:t>p &lt; 0.0001</w:t>
            </w:r>
          </w:p>
        </w:tc>
        <w:tc>
          <w:tcPr>
            <w:tcW w:w="0" w:type="dxa"/>
            <w:vAlign w:val="bottom"/>
          </w:tcPr>
          <w:p>
            <w:pPr>
              <w:spacing w:after="0"/>
              <w:rPr>
                <w:sz w:val="1"/>
                <w:szCs w:val="1"/>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2.0 mcg/kg</w:t>
            </w:r>
          </w:p>
        </w:tc>
        <w:tc>
          <w:tcPr>
            <w:tcW w:w="274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40" w:type="dxa"/>
            <w:vAlign w:val="bottom"/>
          </w:tcPr>
          <w:p>
            <w:pPr>
              <w:jc w:val="center"/>
              <w:ind w:right="572"/>
              <w:spacing w:after="0"/>
              <w:rPr>
                <w:sz w:val="20"/>
                <w:szCs w:val="20"/>
                <w:color w:val="auto"/>
              </w:rPr>
            </w:pPr>
            <w:r>
              <w:rPr>
                <w:rFonts w:ascii="Courier New" w:cs="Courier New" w:eastAsia="Courier New" w:hAnsi="Courier New"/>
                <w:sz w:val="18"/>
                <w:szCs w:val="18"/>
                <w:color w:val="auto"/>
                <w:w w:val="98"/>
              </w:rPr>
              <w:t>(n=19)</w:t>
            </w:r>
          </w:p>
        </w:tc>
        <w:tc>
          <w:tcPr>
            <w:tcW w:w="2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740" w:type="dxa"/>
            <w:vAlign w:val="bottom"/>
          </w:tcPr>
          <w:p>
            <w:pPr>
              <w:spacing w:after="0"/>
              <w:rPr>
                <w:sz w:val="24"/>
                <w:szCs w:val="24"/>
                <w:color w:val="auto"/>
              </w:rPr>
            </w:pPr>
          </w:p>
        </w:tc>
        <w:tc>
          <w:tcPr>
            <w:tcW w:w="5120" w:type="dxa"/>
            <w:vAlign w:val="bottom"/>
            <w:gridSpan w:val="2"/>
          </w:tcPr>
          <w:p>
            <w:pPr>
              <w:jc w:val="center"/>
              <w:ind w:right="72"/>
              <w:spacing w:after="0"/>
              <w:rPr>
                <w:sz w:val="20"/>
                <w:szCs w:val="20"/>
                <w:color w:val="auto"/>
              </w:rPr>
            </w:pPr>
            <w:r>
              <w:rPr>
                <w:rFonts w:ascii="Courier New" w:cs="Courier New" w:eastAsia="Courier New" w:hAnsi="Courier New"/>
                <w:sz w:val="18"/>
                <w:szCs w:val="18"/>
                <w:color w:val="auto"/>
                <w:w w:val="97"/>
              </w:rPr>
              <w:t>LAST OBSERVED VALUE ANALYSIS</w:t>
            </w:r>
          </w:p>
        </w:tc>
        <w:tc>
          <w:tcPr>
            <w:tcW w:w="0" w:type="dxa"/>
            <w:vAlign w:val="bottom"/>
          </w:tcPr>
          <w:p>
            <w:pPr>
              <w:spacing w:after="0"/>
              <w:rPr>
                <w:sz w:val="1"/>
                <w:szCs w:val="1"/>
                <w:color w:val="auto"/>
              </w:rPr>
            </w:pPr>
          </w:p>
        </w:tc>
      </w:tr>
      <w:tr>
        <w:trPr>
          <w:trHeight w:val="717"/>
        </w:trPr>
        <w:tc>
          <w:tcPr>
            <w:tcW w:w="1740" w:type="dxa"/>
            <w:vAlign w:val="bottom"/>
          </w:tcPr>
          <w:p>
            <w:pPr>
              <w:spacing w:after="0"/>
              <w:rPr>
                <w:sz w:val="24"/>
                <w:szCs w:val="24"/>
                <w:color w:val="auto"/>
              </w:rPr>
            </w:pPr>
          </w:p>
        </w:tc>
        <w:tc>
          <w:tcPr>
            <w:tcW w:w="27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MEAN WEIGHT CHANGE</w:t>
            </w:r>
          </w:p>
        </w:tc>
        <w:tc>
          <w:tcPr>
            <w:tcW w:w="238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7"/>
              </w:rPr>
              <w:t>p VALUE</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FROM BASELINE</w:t>
            </w: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(POUNDS)</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(RELATIVE TO PLACEBO)</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7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w:t>
            </w:r>
          </w:p>
        </w:tc>
        <w:tc>
          <w:tcPr>
            <w:tcW w:w="23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0"/>
                <w:szCs w:val="20"/>
                <w:color w:val="auto"/>
              </w:rPr>
            </w:pPr>
            <w:r>
              <w:rPr>
                <w:rFonts w:ascii="Courier New" w:cs="Courier New" w:eastAsia="Courier New" w:hAnsi="Courier New"/>
                <w:sz w:val="18"/>
                <w:szCs w:val="18"/>
                <w:color w:val="auto"/>
              </w:rPr>
              <w:t>Placebo</w:t>
            </w:r>
          </w:p>
        </w:tc>
        <w:tc>
          <w:tcPr>
            <w:tcW w:w="274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7"/>
              </w:rPr>
              <w:t>+0.6</w:t>
            </w:r>
          </w:p>
        </w:tc>
        <w:tc>
          <w:tcPr>
            <w:tcW w:w="2380" w:type="dxa"/>
            <w:vAlign w:val="bottom"/>
          </w:tcPr>
          <w:p>
            <w:pPr>
              <w:jc w:val="center"/>
              <w:ind w:right="2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(n=31)</w:t>
            </w:r>
          </w:p>
        </w:tc>
        <w:tc>
          <w:tcPr>
            <w:tcW w:w="274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-2.4</w:t>
            </w:r>
          </w:p>
        </w:tc>
        <w:tc>
          <w:tcPr>
            <w:tcW w:w="2380" w:type="dxa"/>
            <w:vAlign w:val="bottom"/>
            <w:vMerge w:val="restart"/>
          </w:tcPr>
          <w:p>
            <w:pPr>
              <w:jc w:val="center"/>
              <w:ind w:right="292"/>
              <w:spacing w:after="0"/>
              <w:rPr>
                <w:sz w:val="20"/>
                <w:szCs w:val="20"/>
                <w:color w:val="auto"/>
              </w:rPr>
            </w:pPr>
            <w:r>
              <w:rPr>
                <w:rFonts w:ascii="Courier New" w:cs="Courier New" w:eastAsia="Courier New" w:hAnsi="Courier New"/>
                <w:sz w:val="18"/>
                <w:szCs w:val="18"/>
                <w:color w:val="auto"/>
                <w:w w:val="97"/>
              </w:rPr>
              <w:t>p = 0.04</w:t>
            </w:r>
          </w:p>
        </w:tc>
        <w:tc>
          <w:tcPr>
            <w:tcW w:w="0" w:type="dxa"/>
            <w:vAlign w:val="bottom"/>
          </w:tcPr>
          <w:p>
            <w:pPr>
              <w:spacing w:after="0"/>
              <w:rPr>
                <w:sz w:val="1"/>
                <w:szCs w:val="1"/>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0.3 mcg/kg</w:t>
            </w:r>
          </w:p>
        </w:tc>
        <w:tc>
          <w:tcPr>
            <w:tcW w:w="274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(n=31)</w:t>
            </w:r>
          </w:p>
        </w:tc>
        <w:tc>
          <w:tcPr>
            <w:tcW w:w="274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-7.5</w:t>
            </w:r>
          </w:p>
        </w:tc>
        <w:tc>
          <w:tcPr>
            <w:tcW w:w="2380" w:type="dxa"/>
            <w:vAlign w:val="bottom"/>
            <w:vMerge w:val="restart"/>
          </w:tcPr>
          <w:p>
            <w:pPr>
              <w:jc w:val="center"/>
              <w:ind w:right="272"/>
              <w:spacing w:after="0"/>
              <w:rPr>
                <w:sz w:val="20"/>
                <w:szCs w:val="20"/>
                <w:color w:val="auto"/>
              </w:rPr>
            </w:pPr>
            <w:r>
              <w:rPr>
                <w:rFonts w:ascii="Courier New" w:cs="Courier New" w:eastAsia="Courier New" w:hAnsi="Courier New"/>
                <w:sz w:val="18"/>
                <w:szCs w:val="18"/>
                <w:color w:val="auto"/>
                <w:w w:val="98"/>
              </w:rPr>
              <w:t>p &lt; 0.0001</w:t>
            </w:r>
          </w:p>
        </w:tc>
        <w:tc>
          <w:tcPr>
            <w:tcW w:w="0" w:type="dxa"/>
            <w:vAlign w:val="bottom"/>
          </w:tcPr>
          <w:p>
            <w:pPr>
              <w:spacing w:after="0"/>
              <w:rPr>
                <w:sz w:val="1"/>
                <w:szCs w:val="1"/>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1.0 mcg/kg</w:t>
            </w:r>
          </w:p>
        </w:tc>
        <w:tc>
          <w:tcPr>
            <w:tcW w:w="274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(n=37)</w:t>
            </w:r>
          </w:p>
        </w:tc>
        <w:tc>
          <w:tcPr>
            <w:tcW w:w="2740" w:type="dxa"/>
            <w:vAlign w:val="bottom"/>
            <w:vMerge w:val="restart"/>
          </w:tcPr>
          <w:p>
            <w:pPr>
              <w:jc w:val="center"/>
              <w:ind w:left="432"/>
              <w:spacing w:after="0"/>
              <w:rPr>
                <w:sz w:val="20"/>
                <w:szCs w:val="20"/>
                <w:color w:val="auto"/>
              </w:rPr>
            </w:pPr>
            <w:r>
              <w:rPr>
                <w:rFonts w:ascii="Courier New" w:cs="Courier New" w:eastAsia="Courier New" w:hAnsi="Courier New"/>
                <w:sz w:val="18"/>
                <w:szCs w:val="18"/>
                <w:color w:val="auto"/>
                <w:w w:val="97"/>
              </w:rPr>
              <w:t>-5.8</w:t>
            </w:r>
          </w:p>
        </w:tc>
        <w:tc>
          <w:tcPr>
            <w:tcW w:w="2380" w:type="dxa"/>
            <w:vAlign w:val="bottom"/>
            <w:vMerge w:val="restart"/>
          </w:tcPr>
          <w:p>
            <w:pPr>
              <w:jc w:val="center"/>
              <w:ind w:right="272"/>
              <w:spacing w:after="0"/>
              <w:rPr>
                <w:sz w:val="20"/>
                <w:szCs w:val="20"/>
                <w:color w:val="auto"/>
              </w:rPr>
            </w:pPr>
            <w:r>
              <w:rPr>
                <w:rFonts w:ascii="Courier New" w:cs="Courier New" w:eastAsia="Courier New" w:hAnsi="Courier New"/>
                <w:sz w:val="18"/>
                <w:szCs w:val="18"/>
                <w:color w:val="auto"/>
                <w:w w:val="98"/>
              </w:rPr>
              <w:t>p &lt; 0.0001</w:t>
            </w:r>
          </w:p>
        </w:tc>
        <w:tc>
          <w:tcPr>
            <w:tcW w:w="0" w:type="dxa"/>
            <w:vAlign w:val="bottom"/>
          </w:tcPr>
          <w:p>
            <w:pPr>
              <w:spacing w:after="0"/>
              <w:rPr>
                <w:sz w:val="1"/>
                <w:szCs w:val="1"/>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2.0 mcg/kg</w:t>
            </w:r>
          </w:p>
        </w:tc>
        <w:tc>
          <w:tcPr>
            <w:tcW w:w="274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40" w:type="dxa"/>
            <w:vAlign w:val="bottom"/>
          </w:tcPr>
          <w:p>
            <w:pPr>
              <w:jc w:val="center"/>
              <w:ind w:right="572"/>
              <w:spacing w:after="0"/>
              <w:rPr>
                <w:sz w:val="20"/>
                <w:szCs w:val="20"/>
                <w:color w:val="auto"/>
              </w:rPr>
            </w:pPr>
            <w:r>
              <w:rPr>
                <w:rFonts w:ascii="Courier New" w:cs="Courier New" w:eastAsia="Courier New" w:hAnsi="Courier New"/>
                <w:sz w:val="18"/>
                <w:szCs w:val="18"/>
                <w:color w:val="auto"/>
                <w:w w:val="98"/>
              </w:rPr>
              <w:t>(n=33)</w:t>
            </w:r>
          </w:p>
        </w:tc>
        <w:tc>
          <w:tcPr>
            <w:tcW w:w="2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As used in the table above, "n" refers to the number of patients in each patient group. The reference to "p" value (relative to placebo) means the probability of being wrong when asserting that a true difference exists between the results for the patient group in question and the placebo group. For example, a p-value of less than 0.0001 indicates that there is a less than one in ten thousand chance that the mean weight loss observed in the group treated with drug and the mean weight loss observed in the group treated with placebo are the same.</w:t>
      </w:r>
    </w:p>
    <w:p>
      <w:pPr>
        <w:spacing w:after="0" w:line="104"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The trial established the optimal dose of AXOKINE to be 1.0 mcg/kg daily. Patients who received the optimal dose of AXOKINE over the twelve week treatment period averaged 10 pounds more weight loss than patients on placebo. Moreover, 46% of these patients in the optimal dose group lost at least 10 pounds, compared to just 5% of the patients who received placebo. Nausea was shown not to be a factor that determined average weight loss in this Phase II study.</w:t>
      </w:r>
    </w:p>
    <w:p>
      <w:pPr>
        <w:spacing w:after="0" w:line="68"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The 38 patients in the fifth group who received 1.0 mcg/kg of AXOKINE daily for eight weeks followed by a four week blinded withdrawal period lost weight during the treatment period and did not regain weight while taking placebo</w:t>
      </w:r>
    </w:p>
    <w:p>
      <w:pPr>
        <w:sectPr>
          <w:pgSz w:w="11900" w:h="16864" w:orient="portrait"/>
          <w:cols w:equalWidth="0" w:num="1">
            <w:col w:w="10219"/>
          </w:cols>
          <w:pgMar w:left="240" w:top="285"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during the withdrawal period.</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On February 28, 2001, we announced that based on a preliminary analysis of interim data, patients who received AXOKINE therapy during the Phase II study maintained their average weight loss during the three months following their last AXOKINE treatment, relative to patients who received placebo. Moreover, patients in the fifth group who were treated with AXOKINE for only eight weeks continued to maintain their average weight loss for an additional four months following their last treatment. This preliminary analysis is based on a total of 87 patients, comprised of patients from all five groups, who completed the full twelve weeks of treatment (drug or placebo) in the study and the twelve week follow-up.</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10"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No serious adverse events associated with the drug were reported during the trial and the drug was generally well tolerated, as reflected by the following ratio of patients in each treatment group completing the full twelve weeks of treatment according to the protocol: placebo, 61%; 0.3 mcg/kg, 74%; 1.0 mcg/kg, 70%, and 2.0 mcg/kg, 58%. The most common side effect was dose-dependent injection site reactions (skin redness), which occurred in all patient groups, including placebo, and were generally mild. Other side effects associated with the drug included cough and vomiting, which were notable only in the 2.0 mcg/kg dose group, and nausea, which occurred most frequently in the 2.0 mcg/kg dose group. There was no increase compared to placebo in the incidence of herpes simplex infections in patients taking AXOKINE. Neutralizing antibodies, based on a laboratory test, were not dose-related and occurred in less than 10% of all patients receiving AXOKINE.</w:t>
      </w:r>
    </w:p>
    <w:p>
      <w:pPr>
        <w:spacing w:after="0" w:line="10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Subject to discussions with the FDA, we intend to initiate Phase III testing of AXOKINE in severely obese patients in mid-2001. This Phase III program likely will involve the enrollment of several thousand severely obese patients with a primary double-blind treatment period of approximately one year and an additional one year follow-up treatment period.</w:t>
      </w:r>
    </w:p>
    <w:p>
      <w:pPr>
        <w:spacing w:after="0" w:line="90"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In March 2000, we established a research and development collaboration with Emisphere Technologies, Inc. to utilize Emisphere's oral drug delivery technology for AXOKINE. In preliminary preclinical pharmacokinetic studies, the Emisphere technology was able to achieve measurable blood levels of AXOKINE.</w:t>
      </w:r>
    </w:p>
    <w:p>
      <w:pPr>
        <w:spacing w:after="0" w:line="52"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PEGYLATED AXOKINE. We are developing a pegylated version of AXOKINE (pegAXOKINE) as a more potent, longer-acting form of the protein. PegAXOKINE may allow for less frequent and/or lower dosing in patients. PegAXOKINE currently is in late-stage preclinical development and we anticipate initiating a Phase I clinical trial in mid-2001. Shearwater Corporation has contracted with us to develop and supply the pegylated reagent for this product candidate.</w:t>
      </w:r>
    </w:p>
    <w:p>
      <w:pPr>
        <w:spacing w:after="0" w:line="68"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CYTOKINE TRAPS. Our research on the CNTF class of neurotrophic factors led to the discovery that CNTF, although it is a neurotrophic factor, belongs to the "superfamily" of signaling molecules referred to as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drugs already approved or in clinical development. The cytokine superfamily includes factors such as erythropoietin, thrombopoietin, granulocyte-colony stimulating factor and the interleukins (or ILs).</w:t>
      </w:r>
    </w:p>
    <w:p>
      <w:pPr>
        <w:spacing w:after="0" w:line="29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the early 1990's, our scientists made a breakthrough in understanding how receptors work for an entire class of interleukins in the human body. Based on this finding, we developed a family of antagonists referred to as "Cytokine Traps." This includes Cytokine Traps for IL-1, IL-4, and IL-6, and a single Trap that blocks both IL-4 and IL-13. Because these Traps mimic the body's natural receptors, they are effective at catching and holding the cytokines. With cytokines trapped, the immune system responds as if the perceived threat is under control.</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In preclinical studies, these Cytokine Traps are more potent than other antagonists, potentially allowing lower levels of the drug to be used. Moreover, because these Cytokine Traps are comprised entirely of natural human-derived protein sequences they may be less likely to induce an immune reaction in humans. Because pathological levels of IL-1, IL-4, IL-6, and IL-13 seem to contribute to a variety of disease states, these Cytokine Traps have the potential to be important therapeutic agents.</w:t>
      </w:r>
    </w:p>
    <w:p>
      <w:pPr>
        <w:spacing w:after="0" w:line="98" w:lineRule="exact"/>
        <w:rPr>
          <w:sz w:val="20"/>
          <w:szCs w:val="20"/>
          <w:color w:val="auto"/>
        </w:rPr>
      </w:pPr>
    </w:p>
    <w:p>
      <w:pPr>
        <w:ind w:right="1779" w:firstLine="843"/>
        <w:spacing w:after="0" w:line="256" w:lineRule="auto"/>
        <w:rPr>
          <w:sz w:val="20"/>
          <w:szCs w:val="20"/>
          <w:color w:val="auto"/>
        </w:rPr>
      </w:pPr>
      <w:r>
        <w:rPr>
          <w:rFonts w:ascii="Courier New" w:cs="Courier New" w:eastAsia="Courier New" w:hAnsi="Courier New"/>
          <w:sz w:val="18"/>
          <w:szCs w:val="18"/>
          <w:color w:val="auto"/>
        </w:rPr>
        <w:t>IL-1 Trap. In December 2000, we initiated a Phase I study of the IL-1 Trap to assess its safety and tolerability in patients with rheumatoid arthritis. The placebo-controlled, double-blind, dose-escalation study is being conducted at several centers in the United States and includes a single dose phase and a multiple dose phase. We expect the study to be completed in the second half of 2001. The IL-1 Trap is also being evaluated for potential uses in treating other inflammatory diseases.</w:t>
      </w:r>
    </w:p>
    <w:p>
      <w:pPr>
        <w:spacing w:after="0" w:line="98"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Rheumatoid arthritis is a chronic disease in which the immune system attacks the tissue that lines and cushions joints. Over time, the cartilage, bone, and ligaments of the joint erode, leading to progressive</w:t>
      </w:r>
    </w:p>
    <w:p>
      <w:pPr>
        <w:sectPr>
          <w:pgSz w:w="11900" w:h="16838" w:orient="portrait"/>
          <w:cols w:equalWidth="0" w:num="1">
            <w:col w:w="10219"/>
          </w:cols>
          <w:pgMar w:left="240" w:top="285" w:right="1440" w:bottom="793" w:gutter="0" w:footer="0" w:header="0"/>
        </w:sectPr>
      </w:pP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793"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joint deformity and joint destruction, generally in the hand, wrist, knee, and foot. Joints become painful and swollen and motion is limited. Over time, the cartilage erodes, resulting in structural damage to the joint. Over two million people, 1% of the U.S. population, are estimated to have rheumatoid arthritis, and 10% of those eventually become disabled. Women account for roughly two-thirds of these patients.</w:t>
      </w:r>
    </w:p>
    <w:p>
      <w:pPr>
        <w:spacing w:after="0" w:line="93"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Rheumatoid arthritis involves an excess of certain cytokines, including IL-1 and tumor necrosis factor (TNF). Drugs that block TNF have already been approved for the treatment of rheumatoid arthritis, while animal studies indicate that IL-1 is also an attractive target for drug development in this disease. In animal models, our IL-1 Trap is a potent blocker of IL-1 activity, has a long half-life in the blood, penetrates into the inflamed joint, and blocks cartilage erosion.</w:t>
      </w:r>
    </w:p>
    <w:p>
      <w:pPr>
        <w:spacing w:after="0" w:line="9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While both TNF and IL-1 can induce arthritis, IL-1 more potently induces cartilage destruction in animal models. In addition, the arthritis caused by TNF in some animals can be prevented by blocking the action of IL-1, indicating that the arthritogenic action of TNF may be mediated, in part, through IL-1. Even stronger evidence for the role of IL-1 in rheumatoid arthritis is that mice that are deficient in the interleukin-1 receptor antagonist (IL-1-ra), a naturally occurring blocker of IL-1 action, develop spontaneously occurring arthritis. The validation of IL-1 blockade as a target for drugs to treat rheumatoid arthritis also appears to have been demonstrated by the positive results reported by another company with administration of IL-1-ra in clinical trials in patients with rheumatoid arthritis.</w:t>
      </w:r>
    </w:p>
    <w:p>
      <w:pPr>
        <w:spacing w:after="0" w:line="104" w:lineRule="exact"/>
        <w:rPr>
          <w:sz w:val="20"/>
          <w:szCs w:val="20"/>
          <w:color w:val="auto"/>
        </w:rPr>
      </w:pPr>
    </w:p>
    <w:p>
      <w:pPr>
        <w:ind w:right="1779" w:firstLine="843"/>
        <w:spacing w:after="0" w:line="253" w:lineRule="auto"/>
        <w:rPr>
          <w:sz w:val="20"/>
          <w:szCs w:val="20"/>
          <w:color w:val="auto"/>
        </w:rPr>
      </w:pPr>
      <w:r>
        <w:rPr>
          <w:rFonts w:ascii="Courier New" w:cs="Courier New" w:eastAsia="Courier New" w:hAnsi="Courier New"/>
          <w:sz w:val="18"/>
          <w:szCs w:val="18"/>
          <w:color w:val="auto"/>
        </w:rPr>
        <w:t>IL-4/IL-13 Trap. Antagonists for IL-4 and IL-13 may be therapeutically useful in a number of allergy and asthma-related conditions, including as adjuncts to vaccines where blocking IL-4 and IL-13 may help to elicit more of the desired type of immune response to the vaccine. We have developed both an IL-4 Trap and an IL-4/IL-13 Trap, which is a single molecule that can block both interleukin-4 and interleukin-13. We expect to initiate a clinical trial of a dual IL-4/IL-13 Trap to assess its safety and tolerability for the treatment of asthma/allergy-related conditions late in 2001.</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One in 13 Americans suffers from allergies and one in 18 suffers from asthma. The number of people afflicted with these diseases has been growing at an alarming rate. It is believed that IL-4 and IL-13 play a role in these diseases. These two cytokines are essential to the normal functioning of the immune system, creating a vital communication link between white blood cells. In the case of asthma and allergies, however, there are too many interleukins present, causing the immune system to overact. Our IL-4/IL-13 Trap may offer unique advantages over other products and product candidates for asthma and allergy-related conditions because of its ability to block both of the cytokines thought to be at the root of these disorders.</w:t>
      </w:r>
    </w:p>
    <w:p>
      <w:pPr>
        <w:spacing w:after="0" w:line="104" w:lineRule="exact"/>
        <w:rPr>
          <w:sz w:val="20"/>
          <w:szCs w:val="20"/>
          <w:color w:val="auto"/>
        </w:rPr>
      </w:pPr>
    </w:p>
    <w:p>
      <w:pPr>
        <w:ind w:right="1779" w:firstLine="843"/>
        <w:spacing w:after="0" w:line="283" w:lineRule="auto"/>
        <w:rPr>
          <w:sz w:val="20"/>
          <w:szCs w:val="20"/>
          <w:color w:val="auto"/>
        </w:rPr>
      </w:pPr>
      <w:r>
        <w:rPr>
          <w:rFonts w:ascii="Courier New" w:cs="Courier New" w:eastAsia="Courier New" w:hAnsi="Courier New"/>
          <w:sz w:val="16"/>
          <w:szCs w:val="16"/>
          <w:color w:val="auto"/>
        </w:rPr>
        <w:t>Other Cytokine Traps. We have a late stage research program underway for an IL-6 Cytokine Trap. IL-6 has been implicated in the pathology and progression of multiple myeloma, certain solid tumors, AIDS, lymphomas (both AIDS-related and non-AIDS-related), osteoporosis, and other conditions. We also have patents covering additional Cytokine Traps for IL-2, IL-3, IL-5, IL-15, gamma-interferon, transforming growth factor beta, and others, which are being pursued at the research level. Our research regarding protein-based cytokine antagonists currently includes molecular and cellular research to improve or modify Cytokine Trap technology, process development efforts to produce experimental and clinical research supplies, and in vivo and in vitro studies to further understand and demonstrate the efficacy of the Cytokine Traps.</w:t>
      </w:r>
    </w:p>
    <w:p>
      <w:pPr>
        <w:spacing w:after="0" w:line="294"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VEGF TRAP AND ANGIOPOIETINS.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ectPr>
          <w:pgSz w:w="11900" w:h="16838" w:orient="portrait"/>
          <w:cols w:equalWidth="0" w:num="1">
            <w:col w:w="10219"/>
          </w:cols>
          <w:pgMar w:left="240" w:top="285" w:right="1440" w:bottom="793" w:gutter="0" w:footer="0" w:header="0"/>
        </w:sectPr>
      </w:pPr>
    </w:p>
    <w:p>
      <w:pPr>
        <w:spacing w:after="0" w:line="1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285" w:right="1440" w:bottom="793"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Vascular endothelial growth factor (VEGF) was the first growth factor shown to be specific for blood vessels, by virtue of having its receptor specifically expressed on blood vessel cells. Our scientists discovered a second family of angiogenic growth factors, termed the Angiopoietins, and we have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104"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Our studies have revealed that VEGF and the Angiopoietins normally function in a coordinated and collaborative manner during blood vessel growth. Thus, the growth of new blood vessels to nourish ischemic tissue appears to require use of both these agents. In addition, Angiopoietin-1 seems to play a critical role in stabilizing the vessel wall, and the use of this growth factor can prevent or repair leaky vessels in animal models. In terms of blocking vessel growth, manipulation of both VEGF and Angiopoietin seems to be of value.</w:t>
      </w:r>
    </w:p>
    <w:p>
      <w:pPr>
        <w:spacing w:after="0" w:line="72"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Currently, we have a highly potent VEGF antagonist, termed the VEGF Trap, in preclinical development as an anti-angiogenic agent for cancer. We expect to begin a clinical trial of the VEGF Trap as a potential treatment for harmful angiogenesis or vascular leak in settings of cancer and/or other conditions in mid-2001. In addition, we are evaluating Angiopoietin-1 and engineered designer versions of Angiopoietins in preclinical studies to determine their utility for repairing blood vessel leak and for growing blood vessels in ischemia.</w:t>
      </w:r>
    </w:p>
    <w:p>
      <w:pPr>
        <w:spacing w:after="0" w:line="72"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3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CARTILAGE GROWTH FACTOR SYSTEM AND OSTEOARTHRITIS. 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In addition, together with collaborators, our scientists have proven that mutations in this growth factor receptor system cause inherited defects in cartilage development in humans. Thus, this growth factor receptor system is a promising new target for cartilage diseases such as osteoarthritis.</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COLLABORATIVE PROGRAMS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Our muscle program is currently focused on conducting in vivo and in vitro experiments with the objective of demonstrating and further understanding the molecular mechanisms involved in muscle atrophy and hypertrophy. This work is being conducted in collaboration with scientists at Procter &amp; Gamble as part of our collaboration.</w:t>
      </w:r>
    </w:p>
    <w:p>
      <w:pPr>
        <w:spacing w:after="0" w:line="104"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NT-3. Amgen-Regeneron Partners' clinical development of NT-3 is currently focused on the treatment of constipating conditions. In 1998, we, on behalf of Amgen-Regeneron Partners, completed a small clinical study that included healthy volunteers and patients suffering from severe idiopathic constipation. We also conducted additional small studies in patients who suffer from constipation</w:t>
      </w:r>
    </w:p>
    <w:p>
      <w:pPr>
        <w:sectPr>
          <w:pgSz w:w="11900" w:h="16838" w:orient="portrait"/>
          <w:cols w:equalWidth="0" w:num="1">
            <w:col w:w="10219"/>
          </w:cols>
          <w:pgMar w:left="240" w:top="285" w:right="1440" w:bottom="1440" w:gutter="0" w:footer="0" w:header="0"/>
        </w:sectPr>
      </w:pPr>
    </w:p>
    <w:p>
      <w:pPr>
        <w:spacing w:after="0" w:line="6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285"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associated with conditions such as spinal cord injury and the use of narcotic analgesics. In 2000, we initiated double-blind, placebo-controlled Phase II studies of NT-3 in patients with functional constipation and in spinal cord injury patients with bowel dysfunction. These studies currently are underway and we expect them to be completed in mid-2001. Amgen-Regeneron Partners is developing NT-3 in the United States under a license from Takeda Chemical Industries, Ltd.</w:t>
      </w:r>
    </w:p>
    <w:p>
      <w:pPr>
        <w:spacing w:after="0" w:line="9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OTHER EARLY STAGE PROGRAMS: FIBROSIS AND G-PROTEIN COUPLED RECEPTORS. Fibrotic diseases, such as cirrhosis, result from the excess production of fibrous 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and are activated by the fibrous matrix they produce. Thus, these receptors are important new targets in fibrotic disease.</w:t>
      </w:r>
    </w:p>
    <w:p>
      <w:pPr>
        <w:spacing w:after="0" w:line="313"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6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also have a research program focused on the discovery and characterization of G-Protein Coupled Receptors, which have historically been among the most useful targets for pharmaceuticals. We use a genomics approach to discover new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TECHNOLOGY PLATFORMS</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w:t>
      </w:r>
    </w:p>
    <w:p>
      <w:pPr>
        <w:spacing w:after="0" w:line="104" w:lineRule="exact"/>
        <w:rPr>
          <w:sz w:val="20"/>
          <w:szCs w:val="20"/>
          <w:color w:val="auto"/>
        </w:rPr>
      </w:pPr>
    </w:p>
    <w:p>
      <w:pPr>
        <w:jc w:val="both"/>
        <w:ind w:right="2199" w:firstLine="527"/>
        <w:spacing w:after="0" w:line="282" w:lineRule="auto"/>
        <w:rPr>
          <w:sz w:val="20"/>
          <w:szCs w:val="20"/>
          <w:color w:val="auto"/>
        </w:rPr>
      </w:pPr>
      <w:r>
        <w:rPr>
          <w:rFonts w:ascii="Courier New" w:cs="Courier New" w:eastAsia="Courier New" w:hAnsi="Courier New"/>
          <w:sz w:val="16"/>
          <w:szCs w:val="16"/>
          <w:color w:val="auto"/>
        </w:rPr>
        <w:t>TARGETED GENOMICS(TM): In contrast to basic genomics approaches, which attempt to identify every gene in a cell or genome, we use Targeted Genomics approaches to identify specific genes likely to be of therapeutic interest.</w:t>
      </w:r>
    </w:p>
    <w:p>
      <w:pPr>
        <w:spacing w:after="0" w:line="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106"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HIGH THROUGHPUT FUNCTIONOMICS(TM): A major challenge facing the biopharmaceutical industry in the post-genomic era involves the efficient assignment of function to random gene sequences to enable the identification of validated drug targets. One way to help determine the function of a gene is to generate mice in which the gene is removed (referred to as "knockout mice"), or is over-produced (referred to as "transgenic mice"), or in which a color-producing gene is substituted for the gene of interest (referred to as "reporter knockin mice") to identify which cells in the body are expressing the gene. Until recently, technical hurdles involved in the generation of mouse models restricted the ability to produce multiple models quickly and efficiently. We have developed proprietary technology that we believe will allow for the rapid and efficient production of genetically modified mice on a high throughput scale enabling rapid assignment of function to gene sequences.</w:t>
      </w:r>
    </w:p>
    <w:p>
      <w:pPr>
        <w:spacing w:after="0" w:line="108"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DESIGNER PROTEIN THERAPEUTICS(TM): In cases in which the natural gene product is itself not a product candidate, we utilize our Designer Protein Therapeutics platform to genetically engineer product candidates</w:t>
      </w:r>
    </w:p>
    <w:p>
      <w:pPr>
        <w:sectPr>
          <w:pgSz w:w="11900" w:h="16838" w:orient="portrait"/>
          <w:cols w:equalWidth="0" w:num="1">
            <w:col w:w="10219"/>
          </w:cols>
          <w:pgMar w:left="240" w:top="285" w:right="1440" w:bottom="388" w:gutter="0" w:footer="0" w:header="0"/>
        </w:sectPr>
      </w:pP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285" w:right="1440" w:bottom="388"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with the desired properties. We use these technologies to develop derivatives of growth factors and their receptors, which can allow for modified agonistic or antagonistic properties that may prove to be therapeutically useful. Examples include the generation of AXOKINE and the development of Cytokine Traps and the VEGF Trap. This technology platform has already produced more than 10 patented proteins, including the IL-1 Trap currently in Phase I clinical testing, and several others in preclinical development.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COLLABORATIVE RELATIONSHIPS</w:t>
      </w:r>
    </w:p>
    <w:p>
      <w:pPr>
        <w:spacing w:after="0" w:line="20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In addition to our independent programs, we currently conduct programs in collaboration with academic and corporate partners. We have entered into research collaboration and licensing agreements with various corporate partners, including Procter &amp; Gamble, Medarex, Amgen, and Sumitomo Pharmaceuticals.</w:t>
      </w:r>
    </w:p>
    <w:p>
      <w:pPr>
        <w:spacing w:after="0" w:line="52"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PROCTER &amp; GAMBLE. In May 1997, we entered into a long-term collaboration agreement with Procter &amp; Gamble to discover, develop, and commercialize pharmaceutical products. Procter &amp; Gamble agreed over the first five years of the 1997 collaboration to purchase up to $60.0 million of our equity, of which $42.9 million was purchased in June 1997 and $17.1 million was purchased in August 2000. These equity purchases were in addition to a purchase by Procter &amp; Gamble of $10.0 million of our common stock that was completed in March 1997. Procter &amp; Gamble also agreed over the first five years of the 1997 collaboration to provide funding in support of our research efforts related to the collaboration. In September 1997, we and Procter &amp; Gamble amended the 1997 collaboration agreement to include AXOKINE and related molecules. Procter &amp; Gamble paid us research progress payments of $5.0 million in 1997 and $5.0 million in 1998 upon the achievement of defined milestones related to AXOKINE. During the third quarter of 1999, Procter &amp; Gamble returned the product rights to AXOKINE to us and ended related research support for our AXOKINE program. However, Procter &amp; Gamble will be entitled to receive a small royalty on any sales of AXOKINE.</w:t>
      </w:r>
    </w:p>
    <w:p>
      <w:pPr>
        <w:spacing w:after="0" w:line="108"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In August 2000, Procter &amp; Gamble made two non-recurring research progress payments to us totaling $3.5 million. In addition, in August 2000, we and Procter &amp; Gamble agreed through a binding memorandum of understanding to enter into a new collaboration agreement, replacing the companies' 1997 collaboration agreement. The new agreement extends Procter &amp; Gamble's obligation to fund our research under the new collaboration through December 2005, with no further research obligations by either party thereafter, and focuses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Neither party may independently perform research on targets subject to research or development activities under the collaboration. In addition, during the research term and for five years thereafter, neither party may develop or commercialize a product that competes with a product developed as part of the collaboration.</w:t>
      </w:r>
    </w:p>
    <w:p>
      <w:pPr>
        <w:spacing w:after="0" w:line="108"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Pursuant to the August 2000 binding memorandum of understanding, we and Procter &amp; Gamble have divided rights to the programs from the 1997 collaboration agreement that are no longer part of the companies' collaboration. Procter &amp; Gamble has obtained rights to certain early stage programs. We have rights to all other research programs including exclusive rights to the VEGF Trap, the Angiopoietins and Regeneron's Orphan Receptors (RORs). Any drugs that result from the new collaboration will continue to be jointly developed and marketed worldwide, with the companies equally sharing development costs and profits. Under the new agreement, beginning in the first quarter of 2001 and continuing through December 2005, research support from Procter &amp; Gamble will be $2.5 million per quarter, or $50.0 million in the aggregate (before adjustments for future inflation). From the inception of our collaboration with Procter &amp; Gamble through February 28, 2001, we have received research funding and research progress payments, including payments related to AXOKINE, totaling $81.3 million.</w:t>
      </w:r>
    </w:p>
    <w:p>
      <w:pPr>
        <w:sectPr>
          <w:pgSz w:w="11900" w:h="16838" w:orient="portrait"/>
          <w:cols w:equalWidth="0" w:num="1">
            <w:col w:w="10219"/>
          </w:cols>
          <w:pgMar w:left="240" w:top="285" w:right="1440" w:bottom="1440" w:gutter="0" w:footer="0" w:header="0"/>
        </w:sectPr>
      </w:pPr>
    </w:p>
    <w:p>
      <w:pPr>
        <w:spacing w:after="0" w:line="1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285"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new collaboration agreement will expire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w:t>
      </w:r>
    </w:p>
    <w:p>
      <w:pPr>
        <w:spacing w:after="0" w:line="99"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addition to these termination rights, the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MEDAREX. In March 2000, we entered into a collaboration under a binding memorandum of understanding with Medarex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 We and Medarex intend to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w:t>
      </w:r>
    </w:p>
    <w:p>
      <w:pPr>
        <w:spacing w:after="0" w:line="106"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Under the agreement, Medarex and we will share equally all development, manufacturing, and clinical costs of jointly developed products and all net profits and losses. Each of us has the right to opt out of the joint development of an antigen target and receive instead milestones and royalty payments on net sales as may be negotiated by the parties. The agreement terminates upon the later of three years or the date on which neither party is exploiting any jointly developed products. During the term of the agreement, neither party may independently develop any antibody-based products against any of the targets included within the collaboration. In addition, we and Medarex have agreed not to purchase more than twenty percent of each other's stock.</w:t>
      </w:r>
    </w:p>
    <w:p>
      <w:pPr>
        <w:spacing w:after="0" w:line="291"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EMISPHERE. In March 2000, we signed an agreement with Emisphere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we will support research at Emisphere and make payments, including license and milestone payments, based on the satisfaction of pre-determined criteria during the development of orally delivered AXOKINE. The parties have established a steering committee to determine these milestones, which trigger either payment obligations or termination rights for us. The first of these milestones is based on the status of the program as of March 31, 2001. The steering committee shall meet on at least a quarterly basis to review the results of the program. In addition, the agreement is also subject to termination if either party breaches its material obligations thereunder. During the term of the agreement, we will receive exclusive worldwide commercialization rights to oral products that result from the collaboration and pay Emisphere a royalty on sales of any such products.</w:t>
      </w:r>
    </w:p>
    <w:p>
      <w:pPr>
        <w:spacing w:after="0" w:line="295" w:lineRule="exact"/>
        <w:rPr>
          <w:sz w:val="20"/>
          <w:szCs w:val="20"/>
          <w:color w:val="auto"/>
        </w:rPr>
      </w:pPr>
    </w:p>
    <w:p>
      <w:pPr>
        <w:ind w:right="2099" w:firstLine="527"/>
        <w:spacing w:after="0" w:line="289" w:lineRule="auto"/>
        <w:rPr>
          <w:sz w:val="20"/>
          <w:szCs w:val="20"/>
          <w:color w:val="auto"/>
        </w:rPr>
      </w:pPr>
      <w:r>
        <w:rPr>
          <w:rFonts w:ascii="Courier New" w:cs="Courier New" w:eastAsia="Courier New" w:hAnsi="Courier New"/>
          <w:sz w:val="16"/>
          <w:szCs w:val="16"/>
          <w:color w:val="auto"/>
        </w:rPr>
        <w:t>SHEARWATER. In December 2000, we entered into a license and supply agreement with Shearwater Corporation under which Shearwater will develop and supply a pegylated reagent that could be used to formulate a modified form of AXOKINE. In preclinical studies, a pegylated AXOKINE was substantially longer lasting than unmodified AXOKINE. This may allow less frequent and/or lower dosing in patients. Under the terms of the agreement, Shearwater will develop and supply the reagent and we will manufacture and have exclusive rights to pegylated AXOKINE. Shearwater is entitled to receive</w:t>
      </w:r>
    </w:p>
    <w:p>
      <w:pPr>
        <w:sectPr>
          <w:pgSz w:w="11900" w:h="16838" w:orient="portrait"/>
          <w:cols w:equalWidth="0" w:num="1">
            <w:col w:w="10219"/>
          </w:cols>
          <w:pgMar w:left="240" w:top="285" w:right="1440" w:bottom="793" w:gutter="0" w:footer="0" w:header="0"/>
        </w:sectPr>
      </w:pPr>
    </w:p>
    <w:p>
      <w:pPr>
        <w:spacing w:after="0" w:line="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285" w:right="1440" w:bottom="793"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milestone payments based on the development of the modified AXOKINE and will be the exclusive supplier of the reagent. We will pay Shearwater a royalty not to exceed 2.5% on sales of any pegylated AXOKINE. The agreement remains in force until the later of ten years from the grant of the first marketing approval for a pegylated AXOKINE or the last-to-expire patent covering Shearwater's pegylated reagent. In addition, each party has the right to terminate the agreement upon bankruptcy of the other party or the other party's breach of a material obligation under the agreement. We have additional termination rights if market or other conditions, including regulatory restrictions, seriously inhibit the ability to develop or market pegylated AXOKINE.</w:t>
      </w:r>
    </w:p>
    <w:p>
      <w:pPr>
        <w:spacing w:after="0" w:line="29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AMGEN. In August 1990, we entered into a collaboration agreement with Amgen to develop and attempt to commercialize two proprietary product candidates, BDNF and NT-3, in the United States. Pursuant to the agreement with Amgen, we formed a partnership with Amgen (Amgen-Regeneron Partners) to complete the development and commercialization of these product candidates. We are required to fund 50% of the development costs of Amgen-Regeneron Partners in order to maintain 50% of the commercialization rights. Assuming equal capital contributions to Amgen-Regeneron Partners, we and Amgen share any profits or losses of Amgen-Regeneron Partners equally. Amgen-Regeneron Partners has been conducting clinical trials of BDNF for the treatment of amyotrophic lateral sclerosis (or ALS). Following notification that BDNF did not provide any therapeutic advantage to ALS patients in the clinical trials, we and Amgen discontinued the development of BDNF for ALS in January 2001. We conduct clinical trials of NT-3 on behalf of Amgen-Regeneron Partners. Under our agreement with Amgen, we are attempting to develop NT-3 with Amgen and, if such effort is successful, commercialize, market and distribute NT-3 in the United States through Amgen-Regeneron Partners.</w:t>
      </w:r>
    </w:p>
    <w:p>
      <w:pPr>
        <w:spacing w:after="0" w:line="108" w:lineRule="exact"/>
        <w:rPr>
          <w:sz w:val="20"/>
          <w:szCs w:val="20"/>
          <w:color w:val="auto"/>
        </w:rPr>
      </w:pPr>
    </w:p>
    <w:p>
      <w:pPr>
        <w:ind w:right="1879" w:firstLine="527"/>
        <w:spacing w:after="0" w:line="243" w:lineRule="auto"/>
        <w:rPr>
          <w:sz w:val="20"/>
          <w:szCs w:val="20"/>
          <w:color w:val="auto"/>
        </w:rPr>
      </w:pPr>
      <w:r>
        <w:rPr>
          <w:rFonts w:ascii="Courier New" w:cs="Courier New" w:eastAsia="Courier New" w:hAnsi="Courier New"/>
          <w:sz w:val="18"/>
          <w:szCs w:val="18"/>
          <w:color w:val="auto"/>
        </w:rPr>
        <w:t>Our agreement with Amgen will continue for the longer of the life of the patents covering NT-3 or BDNF or fifteen years from the date on which either product candidate is approved for commercial marketing in any country. The agreement is also subject to termination if either party enters into bankruptcy or breaches its material obligations thereunder. During the term of the agreement, there are restrictions on the ability of either party to independently conduct research or development of NT-3 or BDNF without the other party.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 NT-3 studies that Amgen-Regeneron Partners may conduct, the outcomes of those studies, and costs associated with the discontinuation of the BDNF studies. From the inception of our collaboration agreement with Amgen through February 28, 2001, we have received payments from Amgen or Amgen-Regeneron Partners for product development funding, research progress payments, and services rendered totaling $55.1 million. We do not expect to receive any further payments for BDNF under this agreement. Future payments that we receive related to NT-3 will depend on the success of this product candidate's development, which we cannot predict at this time.</w:t>
      </w:r>
    </w:p>
    <w:p>
      <w:pPr>
        <w:spacing w:after="0" w:line="12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development and commercialization of NT-3 outside of the United States, Japan, China, and certain other Pacific Rim countries, if any, will be conducted solely by Amgen through a license from us and from Takeda Chemical Industries, Ltd.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has sole discretion with respect to all such development, manufacturing, and marketing of the products and sole responsibility for filing applications for regulatory approvals.</w:t>
      </w:r>
    </w:p>
    <w:p>
      <w:pPr>
        <w:spacing w:after="0" w:line="104"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During October 2000, we and Amgen entered into an agreement whereby we acquired Amgen's patents and patent applications relating to CNTF and related molecules for $1.0 million. As part of this agreement, we granted back to Amgen exclusive, royalty free rights under these patents and patent applications solely for human ophthalmic uses. In addition, we agreed not to sue Amgen under our patents and patent applications relating to CNTF and related molecules solely for human ophthalmic uses.</w:t>
      </w:r>
    </w:p>
    <w:p>
      <w:pPr>
        <w:sectPr>
          <w:pgSz w:w="11900" w:h="16838" w:orient="portrait"/>
          <w:cols w:equalWidth="0" w:num="1">
            <w:col w:w="10219"/>
          </w:cols>
          <w:pgMar w:left="240" w:top="285" w:right="1440" w:bottom="1440" w:gutter="0" w:footer="0" w:header="0"/>
        </w:sectPr>
      </w:pP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285"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SUMITOMO. In March 1989, Sumitomo Chemical Company, Ltd. entered into a Technology Development Agreement with us and paid us $5.6 million. In addition, Sumitomo Chemical purchased $4.4 million of our equity. In connection with this agreement, we granted Sumitomo Chemical a limited right of first negotiation, over a fifteen year period, to license up to three of our product candidates to commercialize in Japan on financial and commercial terms as we may offer. If Sumitomo Chemical decides it does not wish to enter into a license agreement with us on the terms we propose, we are free to license the product candidate to any other third party for Japan on terms and conditions no more favorable than those offered to Sumitomo Chemical. We are obligated periodically to inform and, if requested, to meet with Sumitomo Chemical management about our progress in research and development. This agreement shall expire on the earlier of March 20, 2004 or the date that Sumitomo Chemical licenses three product candidates from us, provided that the parties may extend the agreement for an additional five-year term.</w:t>
      </w:r>
    </w:p>
    <w:p>
      <w:pPr>
        <w:spacing w:after="0" w:line="106"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BDNF is licensed to Sumitomo Pharmaceuticals (a subsidiary of Sumitomo Chemical) for development in Japan. Under our agreement, we supply Sumitomo Pharmaceuticals with BDNF for clinical and preclinical testing and receive payments for manufacturing costs and research progress payments based on the development of BDNF. From the inception of our agreement through February 28, 2001, Sumitomo Pharmaceuticals has paid us $60.9 million in connection with supplying BDNF for preclinical and clinical use, research funding, and research progress payments. In addition, we will receive a royalty based on any potential BDNF sales in Japan. The agreement expires at the later of fifteen years from the date of the first commercial sale of BDNF in Japan and the last-to-expire patent covering BDNF in Japan. In addition, Sumitomo Pharmaceuticals has the unilateral right to terminate the agreement at any time. In light of the recent Amgen-Regeneron Partners' unfavorable clinical trial results for BDNF, it is likely that Sumitomo Pharmaceuticals will exercise its discretionary right to terminate the license with us for BDNF. Other than amounts currently outstanding and any wind-down costs, we do not expect to receive further payments from Sumitomo Pharmaceuticals for research progress payments, contract research and development, or contract manufacturing. We recognized revenue from Sumitomo Pharmaceuticals of $7.6 million in 2000, $0.1 million in 1999, and $8.8 million in 1998.</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maintain an 8,000 square foot manufacturing facility in Tarrytown, New York. This facility, which was designed to comply with FDA current good manufacturing practices (called GMP), produces preclinical and clinical supplies of our product candidates.</w:t>
      </w:r>
    </w:p>
    <w:p>
      <w:pPr>
        <w:spacing w:after="0" w:line="82"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In 1993, we purchased our 100,000 square foot Rensselaer, New York manufacturing facility, which is being used to manufacture drugs for our own preclinical and clinical studies. We also use the facility to manufacture a product for Merck under a long-term contract.</w:t>
      </w:r>
    </w:p>
    <w:p>
      <w:pPr>
        <w:spacing w:after="0" w:line="82"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Currently we dedicate approximately 200 people to our manufacturing operations at these facilities.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TRADEMARKS AND TRADE SECRETS</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55 U.S. patents and we have more than 100 pending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neurotrophic factors and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ectPr>
          <w:pgSz w:w="11900" w:h="16838" w:orient="portrait"/>
          <w:cols w:equalWidth="0" w:num="1">
            <w:col w:w="10219"/>
          </w:cols>
          <w:pgMar w:left="240" w:top="285" w:right="1440" w:bottom="1440" w:gutter="0" w:footer="0" w:header="0"/>
        </w:sectPr>
      </w:pP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285" w:right="1440" w:bottom="144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In September 2000, Immunex filed a request with the European Patent Office seeking the declaration of an Opposition regarding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are ultimately successful in our efforts to commercialize our product candidates,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the approval processes, and supply commercial quantities of the product to the market. Competition among product candidates approved for sale will also be based on efficacy, safety, reliability, availability, price, patent position, and other factors.</w:t>
      </w:r>
    </w:p>
    <w:p>
      <w:pPr>
        <w:spacing w:after="0" w:line="113"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AXOKINE: There is substantial competition in the discovery and development of treatments for obesity. In addition, there are well-established and cost-effective prescription and over-the-counter treatments for this condition. For example, Hoffmann-La Roche and Knoll Pharmaceuticals already market well-established drugs for the treatment of obesity and Amgen and a number of other pharmaceutical companies are developing leptin and related molecules. Clinical trials of leptin are under way. Some of these drugs may offer competitive advantages over AXOKINE. For example, AXOKINE currently is available only in injectable form, while the currently available marketed drugs for the treatment of obesity are delivered in oral dosage forms, which generally are favored by patients over injectable drugs. Therefore, even if AXOKINE is approved for sale, the fact that it must be delivered by injection may severely limit its market acceptance among patients and physicians.</w:t>
      </w:r>
    </w:p>
    <w:p>
      <w:pPr>
        <w:spacing w:after="0" w:line="108"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CYTOKINE TRAPS: Similarly, marketed products for the treatment of rheumatoid arthritis and asthma are available as either oral or inhaled drugs, whereas our Cytokine Traps currently are only planned for clinical trials as injectables. The markets for both rheumatoid arthritis and asthma are very competitive. Several new, highly successful drugs recently became available for these disease states. Examples include the TNF-antagonists Enbrel(R) (a registered trademark of Immunex Corporation) and Remicade(R) (a registered trademark of Centocor, Inc.) for rheumatoid arthritis and the leukotriene-modifier Singulair(R) (a registered trademark of Merck &amp; Co., Inc.) as well as various inexpensive corticosteroid drugs for asthma.</w:t>
      </w:r>
    </w:p>
    <w:p>
      <w:pPr>
        <w:spacing w:after="0" w:line="104"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VEGF TRAP: Many companies are developing drugs designed to block the actions of VEGF specifically and angiogenesis in general. A variety of approaches 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cost, or form of delivery. Additionally, many of these developmental drugs may be at a more advanced stage of development than our product candidate.</w:t>
      </w:r>
    </w:p>
    <w:p>
      <w:pPr>
        <w:spacing w:after="0" w:line="99"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NT-3: The treatment of constipating conditions is highly competitive, with a number of companies providing over-the-counter remedies and other competitors attempting to discover and develop improved over-the-counter or prescription treatments. These products may offer competitive advantages over our NT-3 product candidate in efficacy, side-effect profile, cost, or form of delivery.</w:t>
      </w:r>
    </w:p>
    <w:p>
      <w:pPr>
        <w:spacing w:after="0" w:line="6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OTHER AREAS: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w:t>
      </w:r>
    </w:p>
    <w:p>
      <w:pPr>
        <w:sectPr>
          <w:pgSz w:w="11900" w:h="16838" w:orient="portrait"/>
          <w:cols w:equalWidth="0" w:num="1">
            <w:col w:w="10219"/>
          </w:cols>
          <w:pgMar w:left="240" w:top="285" w:right="1440" w:bottom="591" w:gutter="0" w:footer="0" w:header="0"/>
        </w:sectPr>
      </w:pP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285" w:right="1440" w:bottom="591"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Inc.,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80"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90"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Producing and marketing our product candidates and our research and development activities are subject to regulations relating to product safety and efficacy by numerous governmental authorities in the United States and other countries. In the United States, drugs are subject to rigorous FDA regulation. The Federal Food, Drug and Cosmetic Act and other federal and state statutes and regulations govern, among other things, the testing, manufacture, safety, effectiveness, labeling, storage, record keeping, approval, advertising, and promotion of our products.</w:t>
      </w:r>
    </w:p>
    <w:p>
      <w:pPr>
        <w:spacing w:after="0" w:line="104"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Before we may market a pharmaceutical product in the United States, the FDA requires us to complete the following steps:</w:t>
      </w:r>
    </w:p>
    <w:p>
      <w:pPr>
        <w:spacing w:after="0" w:line="18"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preclinical laboratory and animal tests;</w:t>
      </w:r>
    </w:p>
    <w:p>
      <w:pPr>
        <w:spacing w:after="0" w:line="201" w:lineRule="exact"/>
        <w:rPr>
          <w:rFonts w:ascii="Courier New" w:cs="Courier New" w:eastAsia="Courier New" w:hAnsi="Courier New"/>
          <w:sz w:val="18"/>
          <w:szCs w:val="18"/>
          <w:color w:val="auto"/>
        </w:rPr>
      </w:pPr>
    </w:p>
    <w:p>
      <w:pPr>
        <w:ind w:left="740" w:right="1779" w:hanging="205"/>
        <w:spacing w:after="0" w:line="402"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to the FDA of an investigational new drug application, or IND, which must become effective before human clinical trials may commence;</w:t>
      </w:r>
    </w:p>
    <w:p>
      <w:pPr>
        <w:ind w:left="740" w:right="1779" w:hanging="205"/>
        <w:spacing w:after="0" w:line="292"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adequate and well controlled human clinical trials conforming with good laboratory and clinical practices to establish the safety and efficacy of the product;</w:t>
      </w:r>
    </w:p>
    <w:p>
      <w:pPr>
        <w:spacing w:after="0" w:line="66"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submission to the FDA of a New Drug Application, or NDA, with respect to drugs, and a Biological License Application, or BLA, with respect to biological products; and</w:t>
      </w:r>
    </w:p>
    <w:p>
      <w:pPr>
        <w:spacing w:after="0" w:line="66"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FDA approval of the NDA or BLA before any commercial sale or shipment of the product.</w:t>
      </w:r>
    </w:p>
    <w:p>
      <w:pPr>
        <w:spacing w:after="0" w:line="1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addition, the FDA requires the registration of each drug and approval of each manufacturing establishment. Domestic manufacturing establishments are subject to FDA inspection and must comply with current good manufacturing practices, or cGMP, for pharmaceutical products.</w:t>
      </w:r>
    </w:p>
    <w:p>
      <w:pPr>
        <w:spacing w:after="0" w:line="82"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Preclinical tests include laboratory evaluation and animal studies to assess the potential safety and efficacy of the product and its formulation. To comply with FDA regulations, laboratories must conduct these preclinical safety tests according to Good Laboratory Practices. The results of the preclinical tests are submitted to the FDA as part of an IND, and the FDA reviews the results before the commencement of human clinical trials. Unless the FDA objects, the IND will become effective 30 days following its receipt. There is no certainty that submission of an IND will result in FDA authorization to commence</w:t>
      </w:r>
    </w:p>
    <w:p>
      <w:pPr>
        <w:sectPr>
          <w:pgSz w:w="11900" w:h="16838" w:orient="portrait"/>
          <w:cols w:equalWidth="0" w:num="1">
            <w:col w:w="10219"/>
          </w:cols>
          <w:pgMar w:left="240" w:top="285" w:right="1440" w:bottom="591" w:gutter="0" w:footer="0" w:header="0"/>
        </w:sectPr>
      </w:pPr>
    </w:p>
    <w:p>
      <w:pPr>
        <w:spacing w:after="0" w:line="9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285" w:right="1440" w:bottom="591"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clinical trials. Similarly, once we have completed early stage clinical testing of product candidates, there is no assurance that we will be able to commence large scale clinical trials.</w:t>
      </w:r>
    </w:p>
    <w:p>
      <w:pPr>
        <w:spacing w:after="0" w:line="66"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Human clinical trials involve the administration of the investigational compound to patients or other volunteers under the supervision of a qualified principal investigator. Clinical trials are conducted in accordance with protocols that detail the objectives of the study, the parameters to be used to monitor safety and the efficacy criteria to be evaluated. Each protocol must be submitted to the FDA as part of the IND. Further, each clinical study must be conducted under the auspices of an independent institutional review board, or IRB, at the institution where the study will be conducted. The IRB will consider, among other things, ethical factors, the safety of human subjects and the possible liability of the institution.</w:t>
      </w:r>
    </w:p>
    <w:p>
      <w:pPr>
        <w:spacing w:after="0" w:line="104"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Clinical trials are typically conducted in four sequential phases, which may overlap. In Phase I, the initial introduction of the product into human subjects, the product is tested for safety (adverse effects), dosage tolerance, metabolism, distribution, excretion and clinical pharmacology. Phase II involves studies in a limited patient population:</w:t>
      </w:r>
    </w:p>
    <w:p>
      <w:pPr>
        <w:spacing w:after="0" w:line="90" w:lineRule="exact"/>
        <w:rPr>
          <w:sz w:val="20"/>
          <w:szCs w:val="20"/>
          <w:color w:val="auto"/>
        </w:rPr>
      </w:pPr>
    </w:p>
    <w:p>
      <w:pPr>
        <w:ind w:left="740" w:right="2839" w:hanging="205"/>
        <w:spacing w:after="0" w:line="34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efficacy of the product for specific, targeted indications;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dosage tolerance and optimal dosage;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identify possible adverse effects and safety risks.</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When a product is found to be effective and to have an acceptable safety profile in Phase II evaluations, Phase III trials are undertaken:</w:t>
      </w:r>
    </w:p>
    <w:p>
      <w:pPr>
        <w:spacing w:after="0" w:line="18"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continue to evaluate clinical efficacy; and</w:t>
      </w:r>
    </w:p>
    <w:p>
      <w:pPr>
        <w:spacing w:after="0" w:line="201"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test further for safety within an expanded patient population at geographically dispersed clinical study sites.</w:t>
      </w:r>
    </w:p>
    <w:p>
      <w:pPr>
        <w:spacing w:after="0" w:line="1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We may not successfully complete clinical testing of our products candidates within any specified time period, if at all. Furthermore, we or the FDA may suspend clinical trials at any time if it is felt that the subjects or patients are being exposed to an unacceptable health risk. Phase IV studies may be performed after FDA approval to address safety issues that were not examined in earlier trials.</w:t>
      </w:r>
    </w:p>
    <w:p>
      <w:pPr>
        <w:spacing w:after="0" w:line="93"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results of the pharmaceutical development, preclinical studies and clinical studies are submitted to the FDA in the form of an NDA or BLA to approve marketing and commercial shipment of the product. The testing and approval process frequently requires substantial time and effort and approval may not be granted on a timely basis, if at all. The FDA may deny an NDA or BLA if applicable regulatory criteria are not satisfied, require additional testing or information or require postmarketing testing and surveillance to monitor the safety and efficacy of the product. Notwithstanding the submission of this data, the FDA may ultimately decide that the application does not satisfy its regulatory criteria for approval. Finally, product approvals may be withdrawn if compliance with regulatory standards is not maintained or if problems including adverse side effects occur following initial marketing.</w:t>
      </w:r>
    </w:p>
    <w:p>
      <w:pPr>
        <w:spacing w:after="0" w:line="105"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Among the conditions for NDA or BLA approval is that the prospective manufacturer's quality control and manufacturing procedures conform to current Good Manufacturing Practices. In complying with standards set forth in these regulations, manufacturers must continue to expend time, monies and effort in the area of production and quality control to ensure full compliance.</w:t>
      </w:r>
    </w:p>
    <w:p>
      <w:pPr>
        <w:spacing w:after="0" w:line="60" w:lineRule="exact"/>
        <w:rPr>
          <w:sz w:val="20"/>
          <w:szCs w:val="20"/>
          <w:color w:val="auto"/>
        </w:rPr>
      </w:pPr>
    </w:p>
    <w:p>
      <w:pPr>
        <w:ind w:right="2199" w:firstLine="527"/>
        <w:spacing w:after="0" w:line="260" w:lineRule="auto"/>
        <w:rPr>
          <w:sz w:val="20"/>
          <w:szCs w:val="20"/>
          <w:color w:val="auto"/>
        </w:rPr>
      </w:pPr>
      <w:r>
        <w:rPr>
          <w:rFonts w:ascii="Courier New" w:cs="Courier New" w:eastAsia="Courier New" w:hAnsi="Courier New"/>
          <w:sz w:val="18"/>
          <w:szCs w:val="18"/>
          <w:color w:val="auto"/>
        </w:rPr>
        <w:t>In addition to FDA regulations, we are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and other federal, state or local regulations.</w:t>
      </w:r>
    </w:p>
    <w:p>
      <w:pPr>
        <w:spacing w:after="0" w:line="93"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For marketing outside the United States, we also are subject to foreign regulatory requirements governing human clinical trials and marketing approval for pharmaceutical products. The requirements governing the conduct of clinical trials, product licensing, pricing and reimbursement vary widely from</w:t>
      </w:r>
    </w:p>
    <w:p>
      <w:pPr>
        <w:sectPr>
          <w:pgSz w:w="11900" w:h="16838" w:orient="portrait"/>
          <w:cols w:equalWidth="0" w:num="1">
            <w:col w:w="10219"/>
          </w:cols>
          <w:pgMar w:left="240" w:top="285" w:right="1440" w:bottom="388" w:gutter="0" w:footer="0" w:header="0"/>
        </w:sectPr>
      </w:pP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285" w:right="1440" w:bottom="388"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country to country. Whether or not we obtain FDA approval, we must obtain approval of a product by the comparable regulatory authorities of foreign countries before manufacturing or marketing the product in those countries. The approval process varies from country to country and the time required for these approvals may differ substantially from that required for FDA approval. The clinical trials conducted in one country may not be accepted by other countries and approval in one country may not result in approval in any other country.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As of February 28, 2001, we had 494 full-time employees, 96 of whom hold a Ph.D. or M.D. degree or both. We believe that we have been successful in attracting skilled and experienced personnel in a highly competitive environment.</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285"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1" w:lineRule="exact"/>
        <w:rPr>
          <w:sz w:val="20"/>
          <w:szCs w:val="20"/>
          <w:color w:val="auto"/>
        </w:rPr>
      </w:pPr>
    </w:p>
    <w:p>
      <w:pPr>
        <w:ind w:right="2200" w:firstLine="527"/>
        <w:spacing w:after="0" w:line="347" w:lineRule="auto"/>
        <w:rPr>
          <w:sz w:val="20"/>
          <w:szCs w:val="20"/>
          <w:color w:val="auto"/>
        </w:rPr>
      </w:pPr>
      <w:r>
        <w:rPr>
          <w:rFonts w:ascii="Courier New" w:cs="Courier New" w:eastAsia="Courier New" w:hAnsi="Courier New"/>
          <w:sz w:val="18"/>
          <w:szCs w:val="18"/>
          <w:color w:val="auto"/>
        </w:rPr>
        <w:t>The following table provides information with respect to our directors and executive officers as of February 28, 2001:</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AGE</w:t>
            </w:r>
          </w:p>
        </w:tc>
        <w:tc>
          <w:tcPr>
            <w:tcW w:w="1740" w:type="dxa"/>
            <w:vAlign w:val="bottom"/>
          </w:tcPr>
          <w:p>
            <w:pPr>
              <w:spacing w:after="0"/>
              <w:rPr>
                <w:sz w:val="17"/>
                <w:szCs w:val="17"/>
                <w:color w:val="auto"/>
              </w:rPr>
            </w:pPr>
          </w:p>
        </w:tc>
        <w:tc>
          <w:tcPr>
            <w:tcW w:w="3580" w:type="dxa"/>
            <w:vAlign w:val="bottom"/>
          </w:tcPr>
          <w:p>
            <w:pPr>
              <w:ind w:left="520"/>
              <w:spacing w:after="0"/>
              <w:rPr>
                <w:sz w:val="20"/>
                <w:szCs w:val="20"/>
                <w:color w:val="auto"/>
              </w:rPr>
            </w:pPr>
            <w:r>
              <w:rPr>
                <w:rFonts w:ascii="Courier New" w:cs="Courier New" w:eastAsia="Courier New" w:hAnsi="Courier New"/>
                <w:sz w:val="18"/>
                <w:szCs w:val="18"/>
                <w:color w:val="auto"/>
              </w:rPr>
              <w:t>POSITION</w:t>
            </w:r>
          </w:p>
        </w:tc>
        <w:tc>
          <w:tcPr>
            <w:tcW w:w="0" w:type="dxa"/>
            <w:vAlign w:val="bottom"/>
          </w:tcPr>
          <w:p>
            <w:pPr>
              <w:spacing w:after="0"/>
              <w:rPr>
                <w:sz w:val="1"/>
                <w:szCs w:val="1"/>
                <w:color w:val="auto"/>
              </w:rPr>
            </w:pPr>
          </w:p>
        </w:tc>
      </w:tr>
      <w:tr>
        <w:trPr>
          <w:trHeight w:val="296"/>
        </w:trPr>
        <w:tc>
          <w:tcPr>
            <w:tcW w:w="45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24"/>
                <w:szCs w:val="24"/>
                <w:color w:val="auto"/>
              </w:rPr>
            </w:pPr>
          </w:p>
        </w:tc>
        <w:tc>
          <w:tcPr>
            <w:tcW w:w="358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P. Roy Vagelos, M.D.......................</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71</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Chairman of the</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Board of Directors (Class II)</w:t>
            </w: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Leonard S. Schleifer, M.D.,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48</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 President, Chief Executive</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George D. Yancopoulos, M.D., Ph.D. .......</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41</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Officer and Founder</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Executive Vice President and Chief Scientific</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Officer and President, Regeneron Research</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Murray A. Goldberg........................</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56</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Laboratories</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Finance &amp; Administration,</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Chief Financial Officer, Treasurer, and</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Randall G. Rupp, Ph.D. ...................</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53</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Manufacturing and Process</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Neil Stahl, Ph.D. ........................</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44</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Sciences</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Senior Vice President, Preclinical Development and</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Charles A. Baker..........................</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68</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Biomolecular Science</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Michael S. Brown, M.D.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III) and Member of Scientific</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Alfred G. Gilman, M.D., Ph.D. ............</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59</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Advisory Board</w:t>
            </w:r>
          </w:p>
        </w:tc>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II), Member of Scientific Advisory</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Joseph L. Goldstein, M.D. ................</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60</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Board and Co-Founder</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 and Member of Scientific</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Fred A. Middleton.........................</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51</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Advisory Board</w:t>
            </w:r>
          </w:p>
        </w:tc>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I)</w:t>
            </w: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Eric M. Shooter,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76</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Member of Scientific Advisory</w:t>
            </w: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George L. Sing............................</w:t>
            </w:r>
          </w:p>
        </w:tc>
        <w:tc>
          <w:tcPr>
            <w:tcW w:w="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51</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Board and Co-Founder</w:t>
            </w:r>
          </w:p>
        </w:tc>
        <w:tc>
          <w:tcPr>
            <w:tcW w:w="0" w:type="dxa"/>
            <w:vAlign w:val="bottom"/>
          </w:tcPr>
          <w:p>
            <w:pPr>
              <w:spacing w:after="0"/>
              <w:rPr>
                <w:sz w:val="1"/>
                <w:szCs w:val="1"/>
                <w:color w:val="auto"/>
              </w:rPr>
            </w:pPr>
          </w:p>
        </w:tc>
      </w:tr>
      <w:tr>
        <w:trPr>
          <w:trHeight w:val="296"/>
        </w:trPr>
        <w:tc>
          <w:tcPr>
            <w:tcW w:w="454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100" w:firstLine="527"/>
        <w:spacing w:after="0" w:line="250" w:lineRule="auto"/>
        <w:rPr>
          <w:sz w:val="20"/>
          <w:szCs w:val="20"/>
          <w:color w:val="auto"/>
        </w:rPr>
      </w:pPr>
      <w:r>
        <w:rPr>
          <w:rFonts w:ascii="Courier New" w:cs="Courier New" w:eastAsia="Courier New" w:hAnsi="Courier New"/>
          <w:sz w:val="18"/>
          <w:szCs w:val="18"/>
          <w:color w:val="auto"/>
        </w:rPr>
        <w:t>Each member of our senior management team has significant experience in the biopharmaceutical industry. In addition, our Board of Directors consists of noted business and scientific leaders, including three Nobel Laureates. Our Scientific Advisory Board consists of individuals with recognized expertise in neurobiology, clinical neurology, molecular biology and related fields who advise us about present and long-term scientific planning, research and development. The Board of Directors is divided into three classes, denominated Class I, Class II and Class III, with members of each class holding office for staggered three-year terms. Our Class I Directors will stand for election in 2001.</w:t>
      </w:r>
    </w:p>
    <w:p>
      <w:pPr>
        <w:spacing w:after="0" w:line="104" w:lineRule="exact"/>
        <w:rPr>
          <w:sz w:val="20"/>
          <w:szCs w:val="20"/>
          <w:color w:val="auto"/>
        </w:rPr>
      </w:pPr>
    </w:p>
    <w:p>
      <w:pPr>
        <w:ind w:right="2100" w:firstLine="527"/>
        <w:spacing w:after="0" w:line="250" w:lineRule="auto"/>
        <w:rPr>
          <w:sz w:val="20"/>
          <w:szCs w:val="20"/>
          <w:color w:val="auto"/>
        </w:rPr>
      </w:pPr>
      <w:r>
        <w:rPr>
          <w:rFonts w:ascii="Courier New" w:cs="Courier New" w:eastAsia="Courier New" w:hAnsi="Courier New"/>
          <w:sz w:val="18"/>
          <w:szCs w:val="18"/>
          <w:color w:val="auto"/>
        </w:rPr>
        <w:t>P. ROY VAGELOS, M.D., 71, has been chairman of the board of our company and a member of the Scientific Advisory Board since January 1995. He became a part-time employee of Regeneron in January 1999.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the President and Chief Executive Officer and a Trustee of the American School of Classical Studies at Athens. He is also currently a member of the Board of Directors of The Prudential Insurance Company.</w:t>
      </w:r>
    </w:p>
    <w:p>
      <w:pPr>
        <w:spacing w:after="0" w:line="104" w:lineRule="exact"/>
        <w:rPr>
          <w:sz w:val="20"/>
          <w:szCs w:val="20"/>
          <w:color w:val="auto"/>
        </w:rPr>
      </w:pPr>
    </w:p>
    <w:p>
      <w:pPr>
        <w:ind w:right="2100" w:firstLine="527"/>
        <w:spacing w:after="0" w:line="256" w:lineRule="auto"/>
        <w:rPr>
          <w:sz w:val="20"/>
          <w:szCs w:val="20"/>
          <w:color w:val="auto"/>
        </w:rPr>
      </w:pPr>
      <w:r>
        <w:rPr>
          <w:rFonts w:ascii="Courier New" w:cs="Courier New" w:eastAsia="Courier New" w:hAnsi="Courier New"/>
          <w:sz w:val="18"/>
          <w:szCs w:val="18"/>
          <w:color w:val="auto"/>
        </w:rPr>
        <w:t>LEONARD S. SCHLEIFER, M.D., Ph.D., 48, founded our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w:t>
      </w:r>
    </w:p>
    <w:p>
      <w:pPr>
        <w:sectPr>
          <w:pgSz w:w="11900" w:h="16838" w:orient="portrait"/>
          <w:cols w:equalWidth="0" w:num="1">
            <w:col w:w="10540"/>
          </w:cols>
          <w:pgMar w:left="240" w:top="285" w:right="1119" w:bottom="1440" w:gutter="0" w:footer="0" w:header="0"/>
        </w:sectPr>
      </w:pP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540"/>
          </w:cols>
          <w:pgMar w:left="240" w:top="285" w:right="1119" w:bottom="144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right="2099"/>
        <w:spacing w:after="0" w:line="402" w:lineRule="auto"/>
        <w:rPr>
          <w:sz w:val="20"/>
          <w:szCs w:val="20"/>
          <w:color w:val="auto"/>
        </w:rPr>
      </w:pPr>
      <w:r>
        <w:rPr>
          <w:rFonts w:ascii="Courier New" w:cs="Courier New" w:eastAsia="Courier New" w:hAnsi="Courier New"/>
          <w:sz w:val="16"/>
          <w:szCs w:val="16"/>
          <w:color w:val="auto"/>
        </w:rPr>
        <w:t>from the University of Virginia. Dr. Schleifer is a licensed physician and is certified in Neurology by the American Board of Psychiatry and Neurology.</w:t>
      </w:r>
    </w:p>
    <w:p>
      <w:pPr>
        <w:spacing w:after="0" w:line="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GEORGE D. YANCOPOULOS, M.D., PH.D., 41, Executive Vice President and Chief Scientific Officer and President, Regeneron Research Laboratories, was until December 2000 our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76"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MURRAY A. GOLDBERG, 56, Senior Vice President, Finance and Administration, Chief Financial Officer, Treasurer, and Assistant Secretary, was until December 2000 our Vice President, Finance and Administration, Chief Financial Officer and Treasurer, a position he held since March 1995, and Assistant Secretary, a position he held since January 2000. Prior to joining us,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76"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RANDALL G. RUPP, PH.D., 53, Senior Vice President, Manufacturing and Process Sciences, was until December 2000 our Vice President, Manufacturing and Process Science, a position he held since January 1992. Dr. Rupp was our director of manufacturing from July 1991 until December 1992. He received his Ph.D. in Biomedical Sciences from the University of Texas, M.D. Anderson Hospital and Tumor Institution, Houston.</w:t>
      </w:r>
    </w:p>
    <w:p>
      <w:pPr>
        <w:spacing w:after="0" w:line="9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NEIL STAHL, PH.D., 44, Senior Vice President, Preclinical Development and Biomolecular Science, was until December 2000 our Vice President, Preclinical Development and Biomolecular Sciences, a position he held since January 2000. He joined us in 1991. Before becoming Vice President, Biomolecular Sciences in July 1997, Dr. Stahl was Director, Cytokines and Signal Transduction. Dr. Stahl received his Ph.D. in Biochemistry from Brandeis University.</w:t>
      </w:r>
    </w:p>
    <w:p>
      <w:pPr>
        <w:spacing w:after="0" w:line="93"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CHARLES A. BAKER, 68, has been a director of our company since February of 1989. In September of 2000, Mr. Baker retired as Chairman, President, and Chief Executive Officer of The Liposome Company, Inc., a position he had held since December of 1989. During his career, Mr. Baker served in a senior management capacity in various pharmaceutical companies, including his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 member of the Council of Visitors of the Marine Biological Laboratories at Woods Hole, Massachusetts (a not-for-profit organization). He is also a special limited partner in Sanderling Ventures, which is a shareholder of Regeneron.</w:t>
      </w:r>
    </w:p>
    <w:p>
      <w:pPr>
        <w:spacing w:after="0" w:line="2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MICHAEL S. BROWN, M.D., 59, has been a director of our company since June</w:t>
      </w:r>
    </w:p>
    <w:p>
      <w:pPr>
        <w:spacing w:after="0" w:line="31"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1991 and a member of our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w:t>
      </w:r>
    </w:p>
    <w:p>
      <w:pPr>
        <w:spacing w:after="0" w:line="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His scientific contributions in cholesterol and lipid metabolism were made in collaboration with Dr. Joseph L. Goldstein. Dr. Brown and Dr. Goldstein jointly received the Nobel Prize for Physiology or Medicine in 1985.</w:t>
      </w:r>
    </w:p>
    <w:p>
      <w:pPr>
        <w:spacing w:after="0" w:line="8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ALFRED G. GILMAN, M.D., PH.D., 59, a co-founder of our company, has been a director of our company since July 1990 and a member of our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w:t>
      </w:r>
    </w:p>
    <w:p>
      <w:pPr>
        <w:sectPr>
          <w:pgSz w:w="11900" w:h="16838" w:orient="portrait"/>
          <w:cols w:equalWidth="0" w:num="1">
            <w:col w:w="10219"/>
          </w:cols>
          <w:pgMar w:left="240" w:top="285" w:right="1440" w:bottom="1440" w:gutter="0" w:footer="0" w:header="0"/>
        </w:sectPr>
      </w:pP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285" w:right="1440" w:bottom="1440"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ind w:right="1999"/>
        <w:spacing w:after="0" w:line="318" w:lineRule="auto"/>
        <w:rPr>
          <w:sz w:val="20"/>
          <w:szCs w:val="20"/>
          <w:color w:val="auto"/>
        </w:rPr>
      </w:pPr>
      <w:r>
        <w:rPr>
          <w:rFonts w:ascii="Courier New" w:cs="Courier New" w:eastAsia="Courier New" w:hAnsi="Courier New"/>
          <w:sz w:val="16"/>
          <w:szCs w:val="16"/>
          <w:color w:val="auto"/>
        </w:rPr>
        <w:t>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5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JOSEPH L. GOLDSTEIN, M.D., 60, has been a director of our company since June 1991 and a member of our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 Goldstein and Dr. Brown jointly received the Nobel Prize for Physiology or Medicine in 1985.</w:t>
      </w:r>
    </w:p>
    <w:p>
      <w:pPr>
        <w:spacing w:after="0" w:line="9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FRED A. MIDDLETON, 51, has been a director of our company since July 1990. Mr. Middleton is a General Partner of Sanderling Ventures, a venture capital firm he co-founded with Dr. Robert McNeil in December 1987 specializing in early stage biomedical companies. Sanderling Ventures is a shareholder of the Company. Between 1984 and 1987, he was Managing General Partner of Morgan Stanley Ventures and, from 1978 through 1984, was Vice President and Chief Financial Officer of Genentech, Inc. and President, Genentech Development Corporation.</w:t>
      </w:r>
    </w:p>
    <w:p>
      <w:pPr>
        <w:spacing w:after="0" w:line="7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ERIC M. SHOOTER, PH.D., 76, a co-founder of our company, has been a director of our company and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and a member of the National Academy of Sciences.</w:t>
      </w:r>
    </w:p>
    <w:p>
      <w:pPr>
        <w:spacing w:after="0" w:line="9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GEORGE L. SING, 51, has been a director of our company since January 1988. Since 1998, he has been a Managing Director of Caduceus Capital Partners, a venture capital investment firm in the health care field. From 1993 to 1998 Mr. Sing was a general partner of Zitan Capital Partners, an investment and advisory firm. From February 1990 until February 14, 1991, Mr. Sing served as a consultant to Merrill Lynch Venture Capital Inc. From 1982 to February 1990, Mr. Sing was a Vice President and member of the Board of Directors of Merrill Lynch Venture Capital Inc., a venture capital firm.</w:t>
      </w:r>
    </w:p>
    <w:p>
      <w:pPr>
        <w:spacing w:after="0" w:line="1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INVESTMENT COMPANY ACT CONSIDERATIONS</w:t>
      </w:r>
    </w:p>
    <w:p>
      <w:pPr>
        <w:spacing w:after="0" w:line="201"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The Investment Company Act of 1940, as amended,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will seek temporarily to invest the proceeds of this offering, pending their use as described under the caption "Use of Proceeds."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this Act would have a material adverse effect on our business.</w:t>
      </w:r>
    </w:p>
    <w:p>
      <w:pPr>
        <w:spacing w:after="0" w:line="2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285"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Our authorized capital stock consists of 60,000,000 shares of common stock, par value $.001 per share, 40,000,000 shares of Class A stock, par value $.001 per share, and 30,000,000 shares of preferred stock, par value $.01 per share. As of March 16, 2001, 34,287,624 shares of our common stock were outstanding and held by 608 shareholders of record and 2,575,165 shares of our Class A stock were outstanding and held by 65 shareholders of record. The following is a summary description of our capital stock. For more information, see our Restated Certificate of Incorporation, a copy of which is incorporated by reference as an exhibit to the registration statement of which this prospectus forms a part.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CLASS A STOCK</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General. The rights of holders of common stock and holders of Class A stock are identical except for voting and conversion rights and restrictions on transferability.</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104"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Transfer Restrictions. Class A stock is subject to certain limitations on transfer that do not apply to the common stock.</w:t>
      </w:r>
    </w:p>
    <w:p>
      <w:pPr>
        <w:spacing w:after="0" w:line="1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0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93"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The shares of common stock are not convertible into or exchangeable for shares of Class A stock or any other of our shares or securities.</w:t>
      </w:r>
    </w:p>
    <w:p>
      <w:pPr>
        <w:spacing w:after="0" w:line="1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9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w:t>
      </w:r>
    </w:p>
    <w:p>
      <w:pPr>
        <w:sectPr>
          <w:pgSz w:w="11900" w:h="16838" w:orient="portrait"/>
          <w:cols w:equalWidth="0" w:num="1">
            <w:col w:w="10219"/>
          </w:cols>
          <w:pgMar w:left="240" w:top="285" w:right="1440" w:bottom="996" w:gutter="0" w:footer="0" w:header="0"/>
        </w:sectPr>
      </w:pP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285" w:right="1440" w:bottom="996"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93"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Transfer Agent and Registrar. The Transfer Agent and Registrar for the common stock is American Stock Transfer &amp; Trust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OF CERTAIN HOLDERS</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7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offering, we have notified each of the holders who have registration rights and each holder, other than the selling shareholder, has waived its rights to exercise its respective registration rights.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93"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After the rights separate from our common shares, certificates representing the rights will be mailed to record holders of our common stock. Once distributed, the rights certificates alone will represent the rights.</w:t>
      </w:r>
    </w:p>
    <w:p>
      <w:pPr>
        <w:spacing w:after="0" w:line="66"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w:t>
      </w:r>
    </w:p>
    <w:p>
      <w:pPr>
        <w:sectPr>
          <w:pgSz w:w="11900" w:h="16838" w:orient="portrait"/>
          <w:cols w:equalWidth="0" w:num="1">
            <w:col w:w="10219"/>
          </w:cols>
          <w:pgMar w:left="240" w:top="285" w:right="1440" w:bottom="793" w:gutter="0" w:footer="0" w:header="0"/>
        </w:sectPr>
      </w:pP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285" w:right="1440" w:bottom="793"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will terminate and the holder of the rights will have only the right to receive $0.01 per right. The rights will expire automatically on October 18, 2006 unless earlier redeemed or exchanged by us.</w:t>
      </w:r>
    </w:p>
    <w:p>
      <w:pPr>
        <w:spacing w:after="0" w:line="6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98"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In certain circumstances, a right will entitle the holder to purchase a number of shares of common stock of the acquiror having a then current market value of twice the right's purchase price.</w:t>
      </w:r>
    </w:p>
    <w:p>
      <w:pPr>
        <w:spacing w:after="0" w:line="66" w:lineRule="exact"/>
        <w:rPr>
          <w:sz w:val="20"/>
          <w:szCs w:val="20"/>
          <w:color w:val="auto"/>
        </w:rPr>
      </w:pPr>
    </w:p>
    <w:p>
      <w:pPr>
        <w:jc w:val="both"/>
        <w:ind w:right="2099" w:firstLine="527"/>
        <w:spacing w:after="0" w:line="402" w:lineRule="auto"/>
        <w:rPr>
          <w:sz w:val="20"/>
          <w:szCs w:val="20"/>
          <w:color w:val="auto"/>
        </w:rPr>
      </w:pPr>
      <w:r>
        <w:rPr>
          <w:rFonts w:ascii="Courier New" w:cs="Courier New" w:eastAsia="Courier New" w:hAnsi="Courier New"/>
          <w:sz w:val="16"/>
          <w:szCs w:val="16"/>
          <w:color w:val="auto"/>
        </w:rPr>
        <w:t>Holders of rights will have no rights as our shareholders, including the right to vote or receive dividends, simply by virtue of holding the rights.</w:t>
      </w:r>
    </w:p>
    <w:p>
      <w:pPr>
        <w:spacing w:after="0" w:line="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285"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SHAREHOLDER</w:t>
      </w:r>
    </w:p>
    <w:p>
      <w:pPr>
        <w:spacing w:after="0" w:line="201" w:lineRule="exact"/>
        <w:rPr>
          <w:sz w:val="20"/>
          <w:szCs w:val="20"/>
          <w:color w:val="auto"/>
        </w:rPr>
      </w:pPr>
    </w:p>
    <w:p>
      <w:pPr>
        <w:ind w:right="3160" w:firstLine="527"/>
        <w:spacing w:after="0" w:line="318" w:lineRule="auto"/>
        <w:rPr>
          <w:sz w:val="20"/>
          <w:szCs w:val="20"/>
          <w:color w:val="auto"/>
        </w:rPr>
      </w:pPr>
      <w:r>
        <w:rPr>
          <w:rFonts w:ascii="Courier New" w:cs="Courier New" w:eastAsia="Courier New" w:hAnsi="Courier New"/>
          <w:sz w:val="16"/>
          <w:szCs w:val="16"/>
          <w:color w:val="auto"/>
        </w:rPr>
        <w:t>Amgen is an equal partner with us in Amgen-Regeneron Partners. The following table sets forth certain information with respect to the beneficial ownership of our common stock by Amgen as of March 16, 2001 (before and after giving effect to the issuance and sale of shares pursuant to this prospectus).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25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SHARES BENEFICIALLY</w:t>
            </w:r>
          </w:p>
        </w:tc>
        <w:tc>
          <w:tcPr>
            <w:tcW w:w="1580" w:type="dxa"/>
            <w:vAlign w:val="bottom"/>
          </w:tcPr>
          <w:p>
            <w:pPr>
              <w:spacing w:after="0"/>
              <w:rPr>
                <w:sz w:val="17"/>
                <w:szCs w:val="17"/>
                <w:color w:val="auto"/>
              </w:rPr>
            </w:pP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SHARES BENEFICIALLY</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4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6"/>
              </w:rPr>
              <w:t>OWNED</w:t>
            </w: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2"/>
              </w:rPr>
              <w:t>OWNED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PRIOR TO THE OFFERING</w:t>
            </w:r>
          </w:p>
        </w:tc>
        <w:tc>
          <w:tcPr>
            <w:tcW w:w="1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SHARES BEING</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AFTER THE OFFERING</w:t>
            </w:r>
          </w:p>
        </w:tc>
        <w:tc>
          <w:tcPr>
            <w:tcW w:w="0" w:type="dxa"/>
            <w:vAlign w:val="bottom"/>
          </w:tcPr>
          <w:p>
            <w:pPr>
              <w:spacing w:after="0"/>
              <w:rPr>
                <w:sz w:val="1"/>
                <w:szCs w:val="1"/>
                <w:color w:val="auto"/>
              </w:rPr>
            </w:pPr>
          </w:p>
        </w:tc>
      </w:tr>
      <w:tr>
        <w:trPr>
          <w:trHeight w:val="203"/>
        </w:trPr>
        <w:tc>
          <w:tcPr>
            <w:tcW w:w="496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ADDRESS</w:t>
            </w:r>
          </w:p>
        </w:tc>
        <w:tc>
          <w:tcPr>
            <w:tcW w:w="1480" w:type="dxa"/>
            <w:vAlign w:val="bottom"/>
            <w:vMerge w:val="restart"/>
          </w:tcPr>
          <w:p>
            <w:pPr>
              <w:ind w:left="100"/>
              <w:spacing w:after="0"/>
              <w:rPr>
                <w:sz w:val="20"/>
                <w:szCs w:val="20"/>
                <w:color w:val="auto"/>
              </w:rPr>
            </w:pPr>
            <w:r>
              <w:rPr>
                <w:rFonts w:ascii="Courier New" w:cs="Courier New" w:eastAsia="Courier New" w:hAnsi="Courier New"/>
                <w:sz w:val="11"/>
                <w:szCs w:val="11"/>
                <w:color w:val="auto"/>
                <w:w w:val="75"/>
              </w:rPr>
              <w:t>---------------------</w:t>
            </w:r>
            <w:r>
              <w:rPr>
                <w:rFonts w:ascii="Courier New" w:cs="Courier New" w:eastAsia="Courier New" w:hAnsi="Courier New"/>
                <w:sz w:val="17"/>
                <w:szCs w:val="17"/>
                <w:color w:val="auto"/>
                <w:w w:val="75"/>
                <w:vertAlign w:val="subscript"/>
              </w:rPr>
              <w:t>NUMBER</w:t>
            </w:r>
          </w:p>
        </w:tc>
        <w:tc>
          <w:tcPr>
            <w:tcW w:w="1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5"/>
              </w:rPr>
              <w:t>PERCENT</w:t>
            </w:r>
          </w:p>
        </w:tc>
        <w:tc>
          <w:tcPr>
            <w:tcW w:w="1580" w:type="dxa"/>
            <w:vAlign w:val="bottom"/>
            <w:vMerge w:val="continue"/>
          </w:tcPr>
          <w:p>
            <w:pPr>
              <w:spacing w:after="0"/>
              <w:rPr>
                <w:sz w:val="17"/>
                <w:szCs w:val="17"/>
                <w:color w:val="auto"/>
              </w:rPr>
            </w:pPr>
          </w:p>
        </w:tc>
        <w:tc>
          <w:tcPr>
            <w:tcW w:w="1320" w:type="dxa"/>
            <w:vAlign w:val="bottom"/>
            <w:vMerge w:val="restart"/>
          </w:tcPr>
          <w:p>
            <w:pPr>
              <w:ind w:left="6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7"/>
                <w:szCs w:val="17"/>
                <w:color w:val="auto"/>
                <w:w w:val="74"/>
                <w:vertAlign w:val="subscript"/>
              </w:rPr>
              <w:t>NUMBER</w:t>
            </w:r>
          </w:p>
        </w:tc>
        <w:tc>
          <w:tcPr>
            <w:tcW w:w="940" w:type="dxa"/>
            <w:vAlign w:val="bottom"/>
            <w:vMerge w:val="restart"/>
          </w:tcPr>
          <w:p>
            <w:pPr>
              <w:jc w:val="center"/>
              <w:ind w:right="112"/>
              <w:spacing w:after="0"/>
              <w:rPr>
                <w:sz w:val="20"/>
                <w:szCs w:val="20"/>
                <w:color w:val="auto"/>
              </w:rPr>
            </w:pPr>
            <w:r>
              <w:rPr>
                <w:rFonts w:ascii="Courier New" w:cs="Courier New" w:eastAsia="Courier New" w:hAnsi="Courier New"/>
                <w:sz w:val="18"/>
                <w:szCs w:val="18"/>
                <w:color w:val="auto"/>
                <w:w w:val="97"/>
              </w:rPr>
              <w:t>PERCENT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OFFERED</w:t>
            </w: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Amgen Inc. ...................................</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4,916,808</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14.3%</w:t>
            </w: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500,000</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4,416,808</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10.8%</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One Amgen Center Drive</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0"/>
                <w:szCs w:val="20"/>
                <w:color w:val="auto"/>
              </w:rPr>
            </w:pPr>
            <w:r>
              <w:rPr>
                <w:rFonts w:ascii="Courier New" w:cs="Courier New" w:eastAsia="Courier New" w:hAnsi="Courier New"/>
                <w:sz w:val="18"/>
                <w:szCs w:val="18"/>
                <w:color w:val="auto"/>
              </w:rPr>
              <w:t>Thousand Oaks, CA 91320</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4960" w:type="dxa"/>
            <w:vAlign w:val="bottom"/>
          </w:tcPr>
          <w:p>
            <w:pPr>
              <w:ind w:left="4220"/>
              <w:spacing w:after="0"/>
              <w:rPr>
                <w:sz w:val="20"/>
                <w:szCs w:val="20"/>
                <w:color w:val="auto"/>
              </w:rPr>
            </w:pPr>
            <w:r>
              <w:rPr>
                <w:rFonts w:ascii="Courier New" w:cs="Courier New" w:eastAsia="Courier New" w:hAnsi="Courier New"/>
                <w:sz w:val="18"/>
                <w:szCs w:val="18"/>
                <w:color w:val="auto"/>
              </w:rPr>
              <w:t>38</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5" w:right="279"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Merrill Lynch, Pierce, Fenner &amp; Smith Incorporated, J.P. Morgan Securities Inc. and Robertson Stephens, Inc. are acting as representatives of each of the underwriters named below. Subject to the terms and conditions described in a purchase agreement among us, the selling shareholder and the underwriters, we and the selling shareholder have agreed to sell to the underwriters and the underwriters severally have agreed to purchase from us and the selling shareholder the number of shares of common stock listed opposite their names below.</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vMerge w:val="restart"/>
          </w:tcPr>
          <w:p>
            <w:pPr>
              <w:jc w:val="right"/>
              <w:ind w:right="2752"/>
              <w:spacing w:after="0"/>
              <w:rPr>
                <w:sz w:val="20"/>
                <w:szCs w:val="20"/>
                <w:color w:val="auto"/>
              </w:rPr>
            </w:pPr>
            <w:r>
              <w:rPr>
                <w:rFonts w:ascii="Courier New" w:cs="Courier New" w:eastAsia="Courier New" w:hAnsi="Courier New"/>
                <w:sz w:val="18"/>
                <w:szCs w:val="18"/>
                <w:color w:val="auto"/>
              </w:rPr>
              <w:t>UNDERWRITER</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NUMBER</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OF SHARES</w:t>
            </w:r>
          </w:p>
        </w:tc>
        <w:tc>
          <w:tcPr>
            <w:tcW w:w="0" w:type="dxa"/>
            <w:vAlign w:val="bottom"/>
          </w:tcPr>
          <w:p>
            <w:pPr>
              <w:spacing w:after="0"/>
              <w:rPr>
                <w:sz w:val="1"/>
                <w:szCs w:val="1"/>
                <w:color w:val="auto"/>
              </w:rPr>
            </w:pPr>
          </w:p>
        </w:tc>
      </w:tr>
      <w:tr>
        <w:trPr>
          <w:trHeight w:val="296"/>
        </w:trPr>
        <w:tc>
          <w:tcPr>
            <w:tcW w:w="65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ind w:left="20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6540" w:type="dxa"/>
            <w:vAlign w:val="bottom"/>
          </w:tcPr>
          <w:p>
            <w:pPr>
              <w:jc w:val="right"/>
              <w:ind w:right="2552"/>
              <w:spacing w:after="0"/>
              <w:rPr>
                <w:sz w:val="20"/>
                <w:szCs w:val="20"/>
                <w:color w:val="auto"/>
              </w:rPr>
            </w:pPr>
            <w:r>
              <w:rPr>
                <w:rFonts w:ascii="Courier New" w:cs="Courier New" w:eastAsia="Courier New" w:hAnsi="Courier New"/>
                <w:sz w:val="18"/>
                <w:szCs w:val="18"/>
                <w:color w:val="auto"/>
                <w:w w:val="97"/>
              </w:rPr>
              <w:t>Merrill Lynch, Pierce, Fenner &amp; Smith</w:t>
            </w:r>
          </w:p>
        </w:tc>
        <w:tc>
          <w:tcPr>
            <w:tcW w:w="11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96"/>
              </w:rPr>
              <w:t>4,200,000</w:t>
            </w:r>
          </w:p>
        </w:tc>
        <w:tc>
          <w:tcPr>
            <w:tcW w:w="0" w:type="dxa"/>
            <w:vAlign w:val="bottom"/>
          </w:tcPr>
          <w:p>
            <w:pPr>
              <w:spacing w:after="0"/>
              <w:rPr>
                <w:sz w:val="1"/>
                <w:szCs w:val="1"/>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Incorporated...................................</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J.P. Morgan Securities Inc..................................</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1,400,000</w:t>
            </w:r>
          </w:p>
        </w:tc>
        <w:tc>
          <w:tcPr>
            <w:tcW w:w="0" w:type="dxa"/>
            <w:vAlign w:val="bottom"/>
          </w:tcPr>
          <w:p>
            <w:pPr>
              <w:spacing w:after="0"/>
              <w:rPr>
                <w:sz w:val="1"/>
                <w:szCs w:val="1"/>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Robertson Stephens, Inc.....................................</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1,400,000</w:t>
            </w:r>
          </w:p>
        </w:tc>
        <w:tc>
          <w:tcPr>
            <w:tcW w:w="0" w:type="dxa"/>
            <w:vAlign w:val="bottom"/>
          </w:tcPr>
          <w:p>
            <w:pPr>
              <w:spacing w:after="0"/>
              <w:rPr>
                <w:sz w:val="1"/>
                <w:szCs w:val="1"/>
                <w:color w:val="auto"/>
              </w:rPr>
            </w:pPr>
          </w:p>
        </w:tc>
      </w:tr>
      <w:tr>
        <w:trPr>
          <w:trHeight w:val="203"/>
        </w:trPr>
        <w:tc>
          <w:tcPr>
            <w:tcW w:w="65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Total..........................................</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7,000,000</w:t>
            </w:r>
          </w:p>
        </w:tc>
        <w:tc>
          <w:tcPr>
            <w:tcW w:w="0" w:type="dxa"/>
            <w:vAlign w:val="bottom"/>
          </w:tcPr>
          <w:p>
            <w:pPr>
              <w:spacing w:after="0"/>
              <w:rPr>
                <w:sz w:val="1"/>
                <w:szCs w:val="1"/>
                <w:color w:val="auto"/>
              </w:rPr>
            </w:pPr>
          </w:p>
        </w:tc>
      </w:tr>
      <w:tr>
        <w:trPr>
          <w:trHeight w:val="296"/>
        </w:trPr>
        <w:tc>
          <w:tcPr>
            <w:tcW w:w="654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The underwriters have agreed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9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and the selling shareholder have agreed to indemnify the underwriters against certain liabilities, including liabilities under the Securities Act, or to contribute to payments the underwriters may be required to make in respect of those liabilities.</w:t>
      </w:r>
    </w:p>
    <w:p>
      <w:pPr>
        <w:spacing w:after="0" w:line="8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 Out of the 7,000,000 shares offered for sale by this prospectus, 4,000,000 shares will be acquired by a single investor.</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COMMISSIONS AND DISCOUNTS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underwriters have advised us and the selling shareholder that they propose initially to offer the shares to the public at the public offering price on the cover page of this prospectus and to dealers at that price less a concession not in excess of $.75 per share. The underwriters may allow, and the dealers may reallow, a discount not in excess of $.10 per share to other dealers. After the initial public offering, the public offering price, concession and discount may be changed.</w:t>
      </w:r>
    </w:p>
    <w:p>
      <w:pPr>
        <w:spacing w:after="0" w:line="9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following table shows the public offering price, underwriting discount, and proceeds before expenses to us and the selling shareholder. The information assumes either no exercise or full exercise by the underwriters of their over-allotment options.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PER SHARE</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WITHOUT OPTION</w:t>
            </w:r>
          </w:p>
        </w:tc>
        <w:tc>
          <w:tcPr>
            <w:tcW w:w="14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WITH OPTION</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w w:val="99"/>
              </w:rPr>
              <w:t>Public offering price........................</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175,000,000</w:t>
            </w:r>
          </w:p>
        </w:tc>
        <w:tc>
          <w:tcPr>
            <w:tcW w:w="300" w:type="dxa"/>
            <w:vAlign w:val="bottom"/>
          </w:tcPr>
          <w:p>
            <w:pPr>
              <w:ind w:left="20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201,250,000</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Underwriting discount........................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$ 1.25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8,750,000</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10,062,500</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Proceeds, before expenses, to Regeneron......</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154,375,000</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179,312,500</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before expenses, to the selling</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$23.75</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11,875,000</w:t>
            </w:r>
          </w:p>
        </w:tc>
        <w:tc>
          <w:tcPr>
            <w:tcW w:w="30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11,875,000</w:t>
            </w:r>
          </w:p>
        </w:tc>
        <w:tc>
          <w:tcPr>
            <w:tcW w:w="0" w:type="dxa"/>
            <w:vAlign w:val="bottom"/>
          </w:tcPr>
          <w:p>
            <w:pPr>
              <w:spacing w:after="0"/>
              <w:rPr>
                <w:sz w:val="1"/>
                <w:szCs w:val="1"/>
                <w:color w:val="auto"/>
              </w:rPr>
            </w:pPr>
          </w:p>
        </w:tc>
      </w:tr>
      <w:tr>
        <w:trPr>
          <w:trHeight w:val="296"/>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w w:val="99"/>
              </w:rPr>
              <w:t>shareholder................................</w:t>
            </w:r>
          </w:p>
        </w:tc>
        <w:tc>
          <w:tcPr>
            <w:tcW w:w="126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The expenses of the offering, including those of the selling shareholder, but not including the underwriting discount, are estimated at $750,000 and are payable by us.</w:t>
      </w:r>
    </w:p>
    <w:p>
      <w:pPr>
        <w:sectPr>
          <w:pgSz w:w="11900" w:h="16838" w:orient="portrait"/>
          <w:cols w:equalWidth="0" w:num="1">
            <w:col w:w="10219"/>
          </w:cols>
          <w:pgMar w:left="240" w:top="285" w:right="1440" w:bottom="0" w:gutter="0" w:footer="0" w:header="0"/>
        </w:sectPr>
      </w:pP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285" w:right="1440" w:bottom="0"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OVER-ALLOTMENT OPTION</w:t>
      </w:r>
    </w:p>
    <w:p>
      <w:pPr>
        <w:spacing w:after="0" w:line="201"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We have granted an option to the underwriters to purchase up to 1,050,000 additional shares at the public offering price less the underwriting discount. The underwriters may exercise this option for 30 days from the date of this prospectus solely to cover any over-allotments. 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SALES OF SIMILAR SECURITIES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and our executive officers and directors and certain existing shareholders, including Amgen and Procter &amp; Gamble, have agreed, with exceptions (including an exception for the shares offered by the selling shareholder), not to sell or transfer any common stock for 90 days after the date of this prospectus without first obtaining the written consent of Merrill Lynch. Specifically, we and these other individuals or entities have agreed not to directly or indirectly:</w:t>
      </w:r>
    </w:p>
    <w:p>
      <w:pPr>
        <w:spacing w:after="0" w:line="98"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pledge, sell or contract to sell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any option or contract to purchase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any option or contract to sell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any option, right or warrant for the sale of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lend or otherwise dispose of or transfer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 registration statement related to the common stock; or</w:t>
      </w:r>
    </w:p>
    <w:p>
      <w:pPr>
        <w:spacing w:after="0" w:line="201" w:lineRule="exact"/>
        <w:rPr>
          <w:rFonts w:ascii="Courier New" w:cs="Courier New" w:eastAsia="Courier New" w:hAnsi="Courier New"/>
          <w:sz w:val="18"/>
          <w:szCs w:val="18"/>
          <w:color w:val="auto"/>
        </w:rPr>
      </w:pPr>
    </w:p>
    <w:p>
      <w:pPr>
        <w:ind w:left="740" w:right="1999" w:hanging="205"/>
        <w:spacing w:after="0" w:line="274"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8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however, may issue (1) shares upon the exercise of an option or warrant or the conversion of a security outstanding on the date of this prospectus, (2) shares or options to purchase shares granted pursuant to our existing and future employee benefit plans and (3) shares pursuant to any non-employee director stock plan or dividend reinvestment plan.</w:t>
      </w:r>
    </w:p>
    <w:p>
      <w:pPr>
        <w:spacing w:after="0" w:line="90"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 addition to the lock-up described above, both Procter &amp; Gamble and Amgen have agreed to separate lock-up arrangements with us. Procter &amp; Gamble has agreed not to sell or transfer any of our common stock from March 12, 2001 until March 31, 2002. Amgen has agreed with us not to sell or transfer more than an additional 500,000 shares of our common stock from March 12, 2001 until March 31, 2002. If, for any reason, Amgen does not sell its full allotment of shares in this offering, the amount available for sale during this lock-up period would be increased by the number of shares not sold in this offering.</w:t>
      </w:r>
    </w:p>
    <w:p>
      <w:pPr>
        <w:spacing w:after="0" w:line="77"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The shares are quoted on the Nasdaq National Market under the symbol "REGN."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UK SELLING RESTRICTIONS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underwriter has agreed that</w:t>
      </w:r>
    </w:p>
    <w:p>
      <w:pPr>
        <w:spacing w:after="0" w:line="201" w:lineRule="exact"/>
        <w:rPr>
          <w:sz w:val="20"/>
          <w:szCs w:val="20"/>
          <w:color w:val="auto"/>
        </w:rPr>
      </w:pPr>
    </w:p>
    <w:p>
      <w:pPr>
        <w:ind w:left="740" w:right="1779" w:hanging="205"/>
        <w:spacing w:after="0" w:line="256"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not offered or sold and will not offer or sell any shares of common stock to persons in the United Kingdom, except to persons whose ordinary activities involve them in acquiring, holding, managing or disposing of investments (as principal or agent) for the purposes of their businesses or otherwise in circumstances which do not constitute an offer to the public in the United Kingdom within the meaning of the Public Offers of Securities Regulations 1995;</w:t>
      </w:r>
    </w:p>
    <w:p>
      <w:pPr>
        <w:spacing w:after="0" w:line="98" w:lineRule="exact"/>
        <w:rPr>
          <w:rFonts w:ascii="Courier New" w:cs="Courier New" w:eastAsia="Courier New" w:hAnsi="Courier New"/>
          <w:sz w:val="18"/>
          <w:szCs w:val="18"/>
          <w:color w:val="auto"/>
        </w:rPr>
      </w:pPr>
    </w:p>
    <w:p>
      <w:pPr>
        <w:ind w:left="740" w:right="1999" w:hanging="205"/>
        <w:spacing w:after="0" w:line="274"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complied and will comply with all applicable provisions of the Financial Services Act 1986 with respect to anything done by it in relation to the common stock in, from or otherwise involving the United Kingdom; and</w:t>
      </w:r>
    </w:p>
    <w:p>
      <w:pPr>
        <w:sectPr>
          <w:pgSz w:w="11900" w:h="16838" w:orient="portrait"/>
          <w:cols w:equalWidth="0" w:num="1">
            <w:col w:w="10219"/>
          </w:cols>
          <w:pgMar w:left="240" w:top="285" w:right="1440" w:bottom="0" w:gutter="0" w:footer="0" w:header="0"/>
        </w:sectPr>
      </w:pPr>
    </w:p>
    <w:bookmarkStart w:id="44" w:name="page45"/>
    <w:bookmarkEnd w:id="44"/>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ind w:left="740" w:right="1879" w:hanging="205"/>
        <w:spacing w:after="0" w:line="253"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only issued or passed on and will only issue or pass on in the United Kingdom any document received by it in connection with the issuance of common stock to a person who is of a kind described in Article 11(3) of the Financial Services Act 1986 (Investment Advertisements) (Exemptions) Order 1996 as amended by the Financial Services Act 1986 (Investment Advertisements) (Exemptions) Order 1997 or is a person to whom such document may otherwise lawfully be issued or passed on.</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PUBLIC OFFERING OUTSIDE THE UNITED STATES</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No action has been or will be taken in any jurisdiction (except in the United States) that would permit a public offering of the shares of common stock, or the possession, circulation or distribution of this prospectus or any other material relating to our company, the selling shareholder or shares of our common stock in any jurisdiction where action for that purpose is required. Accordingly, the shares of our common stock may not be offered or sold, directly or indirectly, and neither this prospectus nor any other offering material or advertisements in connection with the shares of common stock may be distributed or published, in or from any country or jurisdiction except in compliance with any applicable rules and regulations of any such country or jurisdiction.</w:t>
      </w:r>
    </w:p>
    <w:p>
      <w:pPr>
        <w:spacing w:after="0" w:line="76"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Purchasers of the shares offered by this prospectus may be required to pay stamp taxes and other charges in accordance with the laws and practices of the country of purchase in addition to the offering price on the cover page of this prospectus.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STABILIZATION, SHORT POSITIONS AND PENALTY BIDS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Until the distribution of the shares of common stock is completed, the SEC rules may limit the underwriters from bidding for or purchasing our common stock. However, the representatives may engage in transactions that stabilize the price of the common stock, such as bids or purchases that peg, fix or maintain that price.</w:t>
      </w:r>
    </w:p>
    <w:p>
      <w:pPr>
        <w:spacing w:after="0" w:line="90"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The underwriters may purchase and sell the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issuer in the offering. The underwriters may close out any covered short position by either exercising their option to purchase additional shares or purchasing shares in the open market. In determining the source of share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200" w:lineRule="exact"/>
        <w:rPr>
          <w:sz w:val="20"/>
          <w:szCs w:val="20"/>
          <w:color w:val="auto"/>
        </w:rPr>
      </w:pPr>
    </w:p>
    <w:p>
      <w:pPr>
        <w:spacing w:after="0" w:line="30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9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Similar to other purchase transactions, the underwriters' purchases to cover the syndicate short sales may have the effect of raising or maintaining the market price of the common stock or preventing or retarding a decline in the market price of the shares of common stock. As a result, the price of the shares of common stock may be higher than the price that might otherwise exist in the open market.</w:t>
      </w:r>
    </w:p>
    <w:p>
      <w:pPr>
        <w:spacing w:after="0" w:line="93"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Neither we nor any of the underwriters make any representation or prediction as to the direction or magnitude of any effect that the transactions described above may have on the price of the common stock.</w:t>
      </w:r>
    </w:p>
    <w:p>
      <w:pPr>
        <w:sectPr>
          <w:pgSz w:w="11900" w:h="16838" w:orient="portrait"/>
          <w:cols w:equalWidth="0" w:num="1">
            <w:col w:w="10219"/>
          </w:cols>
          <w:pgMar w:left="240" w:top="285" w:right="1440" w:bottom="591" w:gutter="0" w:footer="0" w:header="0"/>
        </w:sectPr>
      </w:pP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285" w:right="1440" w:bottom="591"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In addition, neither we nor any of the representatives make any representation that the representatives will engage in these transactions or that these transactions, once commenced, will not be discontinued without notice.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ELECTRONIC PROSPECTUS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Merrill Lynch, Pierce, Fenner &amp; Smith Incorporated will be facilitating Internet distribution for this offering to certain of its Internet subscription customers. Merrill Lynch intends to allocate a limited number of shares for sale to its online brokerage customers. An electronic prospectus is available on the Internet website maintained by Merrill Lynch. Other than the prospectus in electronic format, the information on the Merrill Lynch website is not part of this prospectus.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PASSIVE MARKET MAKING</w:t>
      </w:r>
    </w:p>
    <w:p>
      <w:pPr>
        <w:spacing w:after="0" w:line="201"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RELATIONSHIPS</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Skadden, Arps, Slate, Meagher &amp; Flom LLP, New York, New York will pass upon the validity of our common stock offered by this prospectus. Shearman &amp; Sterling, New York, New York will pass upon certain legal matters in connection with this offering for the underwriters.</w:t>
      </w:r>
    </w:p>
    <w:p>
      <w:pPr>
        <w:spacing w:after="0" w:line="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this prospectus by reference in reliance on the report of such independent accountants given on the authority of such firm as experts in auditing and accounting.</w:t>
      </w:r>
    </w:p>
    <w:p>
      <w:pPr>
        <w:spacing w:after="0" w:line="104"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Ernst &amp; Young LLP, independent auditors, have audited the financial statements of Amgen-Regeneron Partners included in our Annual Report on Form 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9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WHERE YOU CAN FIND ADDITIONAL INFORMATION</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SEC. You may read and copy any documents we file at the SEC's Public Reference Room at 450 Fifth Street,</w:t>
      </w:r>
    </w:p>
    <w:p>
      <w:pPr>
        <w:sectPr>
          <w:pgSz w:w="11900" w:h="16838" w:orient="portrait"/>
          <w:cols w:equalWidth="0" w:num="1">
            <w:col w:w="10219"/>
          </w:cols>
          <w:pgMar w:left="240" w:top="285" w:right="1440" w:bottom="1440" w:gutter="0" w:footer="0" w:header="0"/>
        </w:sectPr>
      </w:pP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285" w:right="1440" w:bottom="1440"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N.W., Washington, D.C. 20549 and at the Regional Offices of the SEC at 7 World Trade Center, 13th Floor, New York, New York 10048 and Citicorp Center, 500 West Madison Street, Suite 1400, Chicago, Illinois 60601. Please call the SEC at</w:t>
      </w:r>
    </w:p>
    <w:p>
      <w:pPr>
        <w:spacing w:after="0" w:line="1"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1-800-SEC-0330 for further information on the public reference rooms. The SEC maintains a site on the World Wide Web at http://www.sec.gov that contains our SEC filings and reports, proxy and information statements and other information regarding registrants.</w:t>
      </w:r>
    </w:p>
    <w:p>
      <w:pPr>
        <w:spacing w:after="0" w:line="9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1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our Annual Report on Form 10-K for the year ended December 31,</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2000;</w:t>
      </w:r>
    </w:p>
    <w:p>
      <w:pPr>
        <w:spacing w:after="0" w:line="169" w:lineRule="exact"/>
        <w:rPr>
          <w:sz w:val="20"/>
          <w:szCs w:val="20"/>
          <w:color w:val="auto"/>
        </w:rPr>
      </w:pPr>
    </w:p>
    <w:p>
      <w:pPr>
        <w:ind w:left="1480" w:hanging="419"/>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 filed on May 5, 2000; and</w:t>
      </w:r>
    </w:p>
    <w:p>
      <w:pPr>
        <w:spacing w:after="0" w:line="201" w:lineRule="exact"/>
        <w:rPr>
          <w:rFonts w:ascii="Courier New" w:cs="Courier New" w:eastAsia="Courier New" w:hAnsi="Courier New"/>
          <w:sz w:val="18"/>
          <w:szCs w:val="18"/>
          <w:color w:val="auto"/>
        </w:rPr>
      </w:pPr>
    </w:p>
    <w:p>
      <w:pPr>
        <w:ind w:left="540" w:right="1999" w:firstLine="521"/>
        <w:spacing w:after="0" w:line="292"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Item 1 of our Registration Statement on Form 8-A filed on February 20, 1991, as amended by a Form 8 filed on March 27, 1991.</w:t>
      </w:r>
    </w:p>
    <w:p>
      <w:pPr>
        <w:spacing w:after="0" w:line="66"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777 Old Saw Mill River Road</w:t>
      </w:r>
    </w:p>
    <w:p>
      <w:pPr>
        <w:ind w:left="540"/>
        <w:spacing w:after="0" w:line="238" w:lineRule="auto"/>
        <w:rPr>
          <w:sz w:val="20"/>
          <w:szCs w:val="20"/>
          <w:color w:val="auto"/>
        </w:rPr>
      </w:pPr>
      <w:r>
        <w:rPr>
          <w:rFonts w:ascii="Courier New" w:cs="Courier New" w:eastAsia="Courier New" w:hAnsi="Courier New"/>
          <w:sz w:val="18"/>
          <w:szCs w:val="18"/>
          <w:color w:val="auto"/>
        </w:rPr>
        <w:t>Tarrytown, New York 10591-6707</w:t>
      </w:r>
    </w:p>
    <w:p>
      <w:pPr>
        <w:ind w:left="540"/>
        <w:spacing w:after="0"/>
        <w:rPr>
          <w:sz w:val="20"/>
          <w:szCs w:val="20"/>
          <w:color w:val="auto"/>
        </w:rPr>
      </w:pPr>
      <w:r>
        <w:rPr>
          <w:rFonts w:ascii="Courier New" w:cs="Courier New" w:eastAsia="Courier New" w:hAnsi="Courier New"/>
          <w:sz w:val="18"/>
          <w:szCs w:val="18"/>
          <w:color w:val="auto"/>
        </w:rPr>
        <w:t>(914) 347-7000</w:t>
      </w:r>
    </w:p>
    <w:p>
      <w:pPr>
        <w:ind w:left="540"/>
        <w:spacing w:after="0" w:line="238" w:lineRule="auto"/>
        <w:rPr>
          <w:sz w:val="20"/>
          <w:szCs w:val="20"/>
          <w:color w:val="auto"/>
        </w:rPr>
      </w:pPr>
      <w:r>
        <w:rPr>
          <w:rFonts w:ascii="Courier New" w:cs="Courier New" w:eastAsia="Courier New" w:hAnsi="Courier New"/>
          <w:sz w:val="18"/>
          <w:szCs w:val="18"/>
          <w:color w:val="auto"/>
        </w:rPr>
        <w:t>Attention: Murray A. Goldberg</w:t>
      </w:r>
    </w:p>
    <w:p>
      <w:pPr>
        <w:ind w:left="1700"/>
        <w:spacing w:after="0"/>
        <w:rPr>
          <w:sz w:val="20"/>
          <w:szCs w:val="20"/>
          <w:color w:val="auto"/>
        </w:rPr>
      </w:pPr>
      <w:r>
        <w:rPr>
          <w:rFonts w:ascii="Courier New" w:cs="Courier New" w:eastAsia="Courier New" w:hAnsi="Courier New"/>
          <w:sz w:val="18"/>
          <w:szCs w:val="18"/>
          <w:color w:val="auto"/>
        </w:rPr>
        <w:t>Chief Financial Officer</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285"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7,000,000 SHARES</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PROSPECTUS</w:t>
      </w:r>
    </w:p>
    <w:p>
      <w:pPr>
        <w:ind w:left="3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MERRILL LYNCH &amp; CO.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JPMORGAN</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ROBERTSON STEPHENS</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19, 2001</w:t>
      </w:r>
    </w:p>
    <w:p>
      <w:pPr>
        <w:spacing w:after="0" w:line="20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2"/>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2019-12-20T02:00:01Z</dcterms:created>
  <dcterms:modified xsi:type="dcterms:W3CDTF">2019-12-20T02:00:01Z</dcterms:modified>
</cp:coreProperties>
</file>