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339090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165735</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66"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Pursuant to Section 13 or 15(d)</w:t>
      </w:r>
    </w:p>
    <w:p>
      <w:pPr>
        <w:jc w:val="center"/>
        <w:ind w:right="-11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Date of Report (Date of earliest event reported): August 6, 2013 (August 6,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451485</wp:posOffset>
            </wp:positionV>
            <wp:extent cx="3224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REGENERON PHARMACEUTICALS, INC.</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229235</wp:posOffset>
            </wp:positionV>
            <wp:extent cx="3224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2"/>
              </w:rPr>
              <w:t>New York</w:t>
            </w:r>
          </w:p>
        </w:tc>
        <w:tc>
          <w:tcPr>
            <w:tcW w:w="5080" w:type="dxa"/>
            <w:vAlign w:val="bottom"/>
          </w:tcPr>
          <w:p>
            <w:pPr>
              <w:jc w:val="right"/>
              <w:ind w:right="2080"/>
              <w:spacing w:after="0"/>
              <w:rPr>
                <w:sz w:val="20"/>
                <w:szCs w:val="20"/>
                <w:color w:val="auto"/>
              </w:rPr>
            </w:pPr>
            <w:r>
              <w:rPr>
                <w:rFonts w:ascii="Arial" w:cs="Arial" w:eastAsia="Arial" w:hAnsi="Arial"/>
                <w:sz w:val="18"/>
                <w:szCs w:val="18"/>
                <w:b w:val="1"/>
                <w:bCs w:val="1"/>
                <w:color w:val="auto"/>
              </w:rPr>
              <w:t>000-19034</w:t>
            </w:r>
          </w:p>
        </w:tc>
        <w:tc>
          <w:tcPr>
            <w:tcW w:w="1580" w:type="dxa"/>
            <w:vAlign w:val="bottom"/>
          </w:tcPr>
          <w:p>
            <w:pPr>
              <w:jc w:val="center"/>
              <w:ind w:left="402"/>
              <w:spacing w:after="0"/>
              <w:rPr>
                <w:sz w:val="20"/>
                <w:szCs w:val="20"/>
                <w:color w:val="auto"/>
              </w:rPr>
            </w:pPr>
            <w:r>
              <w:rPr>
                <w:rFonts w:ascii="Arial" w:cs="Arial" w:eastAsia="Arial" w:hAnsi="Arial"/>
                <w:sz w:val="18"/>
                <w:szCs w:val="18"/>
                <w:b w:val="1"/>
                <w:bCs w:val="1"/>
                <w:color w:val="auto"/>
                <w:w w:val="89"/>
              </w:rPr>
              <w:t>13-3444607</w:t>
            </w:r>
          </w:p>
        </w:tc>
      </w:tr>
      <w:tr>
        <w:trPr>
          <w:trHeight w:val="218"/>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0"/>
              </w:rPr>
              <w:t>(Commission</w:t>
            </w:r>
          </w:p>
        </w:tc>
        <w:tc>
          <w:tcPr>
            <w:tcW w:w="1580" w:type="dxa"/>
            <w:vAlign w:val="bottom"/>
          </w:tcPr>
          <w:p>
            <w:pPr>
              <w:jc w:val="center"/>
              <w:ind w:left="402"/>
              <w:spacing w:after="0"/>
              <w:rPr>
                <w:sz w:val="20"/>
                <w:szCs w:val="20"/>
                <w:color w:val="auto"/>
              </w:rPr>
            </w:pPr>
            <w:r>
              <w:rPr>
                <w:rFonts w:ascii="Arial" w:cs="Arial" w:eastAsia="Arial" w:hAnsi="Arial"/>
                <w:sz w:val="14"/>
                <w:szCs w:val="14"/>
                <w:b w:val="1"/>
                <w:bCs w:val="1"/>
                <w:color w:val="auto"/>
                <w:w w:val="98"/>
              </w:rPr>
              <w:t>(IRS Employer</w:t>
            </w:r>
          </w:p>
        </w:tc>
      </w:tr>
      <w:tr>
        <w:trPr>
          <w:trHeight w:val="203"/>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6"/>
              </w:rPr>
              <w:t>of Incorporation)</w:t>
            </w: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580" w:type="dxa"/>
            <w:vAlign w:val="bottom"/>
          </w:tcPr>
          <w:p>
            <w:pPr>
              <w:jc w:val="center"/>
              <w:ind w:left="382"/>
              <w:spacing w:after="0"/>
              <w:rPr>
                <w:sz w:val="20"/>
                <w:szCs w:val="20"/>
                <w:color w:val="auto"/>
              </w:rPr>
            </w:pPr>
            <w:r>
              <w:rPr>
                <w:rFonts w:ascii="Arial" w:cs="Arial" w:eastAsia="Arial" w:hAnsi="Arial"/>
                <w:sz w:val="14"/>
                <w:szCs w:val="14"/>
                <w:b w:val="1"/>
                <w:bCs w:val="1"/>
                <w:color w:val="auto"/>
                <w:w w:val="94"/>
              </w:rPr>
              <w:t>Identification No.)</w:t>
            </w:r>
          </w:p>
        </w:tc>
      </w:tr>
      <w:tr>
        <w:trPr>
          <w:trHeight w:val="579"/>
        </w:trPr>
        <w:tc>
          <w:tcPr>
            <w:tcW w:w="1860" w:type="dxa"/>
            <w:vAlign w:val="bottom"/>
          </w:tcPr>
          <w:p>
            <w:pPr>
              <w:spacing w:after="0"/>
              <w:rPr>
                <w:sz w:val="24"/>
                <w:szCs w:val="24"/>
                <w:color w:val="auto"/>
              </w:rPr>
            </w:pPr>
          </w:p>
        </w:tc>
        <w:tc>
          <w:tcPr>
            <w:tcW w:w="5080" w:type="dxa"/>
            <w:vAlign w:val="bottom"/>
          </w:tcPr>
          <w:p>
            <w:pPr>
              <w:jc w:val="center"/>
              <w:spacing w:after="0"/>
              <w:rPr>
                <w:sz w:val="20"/>
                <w:szCs w:val="20"/>
                <w:color w:val="auto"/>
              </w:rPr>
            </w:pPr>
            <w:r>
              <w:rPr>
                <w:rFonts w:ascii="Arial" w:cs="Arial" w:eastAsia="Arial" w:hAnsi="Arial"/>
                <w:sz w:val="18"/>
                <w:szCs w:val="18"/>
                <w:b w:val="1"/>
                <w:bCs w:val="1"/>
                <w:color w:val="auto"/>
                <w:w w:val="92"/>
              </w:rPr>
              <w:t>777 Old Saw Mill River Road, Tarrytown, New York 10591-6707</w:t>
            </w:r>
          </w:p>
        </w:tc>
        <w:tc>
          <w:tcPr>
            <w:tcW w:w="1580" w:type="dxa"/>
            <w:vAlign w:val="bottom"/>
          </w:tcPr>
          <w:p>
            <w:pPr>
              <w:spacing w:after="0"/>
              <w:rPr>
                <w:sz w:val="24"/>
                <w:szCs w:val="24"/>
                <w:color w:val="auto"/>
              </w:rPr>
            </w:pPr>
          </w:p>
        </w:tc>
      </w:tr>
      <w:tr>
        <w:trPr>
          <w:trHeight w:val="218"/>
        </w:trPr>
        <w:tc>
          <w:tcPr>
            <w:tcW w:w="18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580" w:type="dxa"/>
            <w:vAlign w:val="bottom"/>
          </w:tcPr>
          <w:p>
            <w:pPr>
              <w:spacing w:after="0"/>
              <w:rPr>
                <w:sz w:val="18"/>
                <w:szCs w:val="18"/>
                <w:color w:val="auto"/>
              </w:rPr>
            </w:pPr>
          </w:p>
        </w:tc>
      </w:tr>
      <w:tr>
        <w:trPr>
          <w:trHeight w:val="255"/>
        </w:trPr>
        <w:tc>
          <w:tcPr>
            <w:tcW w:w="1860" w:type="dxa"/>
            <w:vAlign w:val="bottom"/>
          </w:tcPr>
          <w:p>
            <w:pPr>
              <w:spacing w:after="0"/>
              <w:rPr>
                <w:sz w:val="22"/>
                <w:szCs w:val="22"/>
                <w:color w:val="auto"/>
              </w:rPr>
            </w:pPr>
          </w:p>
        </w:tc>
        <w:tc>
          <w:tcPr>
            <w:tcW w:w="5080" w:type="dxa"/>
            <w:vAlign w:val="bottom"/>
          </w:tcPr>
          <w:p>
            <w:pPr>
              <w:jc w:val="right"/>
              <w:ind w:right="1900"/>
              <w:spacing w:after="0"/>
              <w:rPr>
                <w:sz w:val="20"/>
                <w:szCs w:val="20"/>
                <w:color w:val="auto"/>
              </w:rPr>
            </w:pPr>
            <w:r>
              <w:rPr>
                <w:rFonts w:ascii="Arial" w:cs="Arial" w:eastAsia="Arial" w:hAnsi="Arial"/>
                <w:sz w:val="18"/>
                <w:szCs w:val="18"/>
                <w:b w:val="1"/>
                <w:bCs w:val="1"/>
                <w:color w:val="auto"/>
              </w:rPr>
              <w:t>(914) 847-7000</w:t>
            </w:r>
          </w:p>
        </w:tc>
        <w:tc>
          <w:tcPr>
            <w:tcW w:w="1580" w:type="dxa"/>
            <w:vAlign w:val="bottom"/>
          </w:tcPr>
          <w:p>
            <w:pPr>
              <w:spacing w:after="0"/>
              <w:rPr>
                <w:sz w:val="22"/>
                <w:szCs w:val="22"/>
                <w:color w:val="auto"/>
              </w:rPr>
            </w:pPr>
          </w:p>
        </w:tc>
      </w:tr>
      <w:tr>
        <w:trPr>
          <w:trHeight w:val="218"/>
        </w:trPr>
        <w:tc>
          <w:tcPr>
            <w:tcW w:w="18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80" w:type="dxa"/>
            <w:vAlign w:val="bottom"/>
          </w:tcPr>
          <w:p>
            <w:pPr>
              <w:spacing w:after="0"/>
              <w:rPr>
                <w:sz w:val="18"/>
                <w:szCs w:val="18"/>
                <w:color w:val="auto"/>
              </w:rPr>
            </w:pPr>
          </w:p>
        </w:tc>
      </w:tr>
      <w:tr>
        <w:trPr>
          <w:trHeight w:val="336"/>
        </w:trPr>
        <w:tc>
          <w:tcPr>
            <w:tcW w:w="18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1580" w:type="dxa"/>
            <w:vAlign w:val="bottom"/>
          </w:tcPr>
          <w:p>
            <w:pPr>
              <w:spacing w:after="0"/>
              <w:rPr>
                <w:sz w:val="24"/>
                <w:szCs w:val="24"/>
                <w:color w:val="auto"/>
              </w:rPr>
            </w:pPr>
          </w:p>
        </w:tc>
      </w:tr>
    </w:tbl>
    <w:p>
      <w:pPr>
        <w:spacing w:after="0" w:line="200" w:lineRule="exact"/>
        <w:rPr>
          <w:sz w:val="24"/>
          <w:szCs w:val="24"/>
          <w:color w:val="auto"/>
        </w:rPr>
      </w:pPr>
    </w:p>
    <w:p>
      <w:pPr>
        <w:spacing w:after="0" w:line="23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693" w:right="35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ind w:right="220" w:firstLine="243"/>
        <w:spacing w:after="0" w:line="264" w:lineRule="auto"/>
        <w:rPr>
          <w:sz w:val="20"/>
          <w:szCs w:val="20"/>
          <w:color w:val="auto"/>
        </w:rPr>
      </w:pPr>
      <w:r>
        <w:rPr>
          <w:rFonts w:ascii="Arial" w:cs="Arial" w:eastAsia="Arial" w:hAnsi="Arial"/>
          <w:sz w:val="18"/>
          <w:szCs w:val="18"/>
          <w:color w:val="auto"/>
        </w:rPr>
        <w:t>On August 6, 2013, Regeneron Pharmaceuticals, Inc. issued a press release announcing its financial and operating results for the quarter ended June 30, 2013. A copy of the press release is being furnished to the Securities and Exchange Commission as Exhibit 99.1 to this Current Report on Form 8-K and is incorporated by reference herein to this Item 2.02.</w:t>
      </w:r>
    </w:p>
    <w:p>
      <w:pPr>
        <w:spacing w:after="0" w:line="181" w:lineRule="exact"/>
        <w:rPr>
          <w:sz w:val="20"/>
          <w:szCs w:val="20"/>
          <w:color w:val="auto"/>
        </w:rPr>
      </w:pPr>
    </w:p>
    <w:p>
      <w:pPr>
        <w:ind w:right="20" w:firstLine="243"/>
        <w:spacing w:after="0" w:line="264" w:lineRule="auto"/>
        <w:rPr>
          <w:sz w:val="20"/>
          <w:szCs w:val="20"/>
          <w:color w:val="auto"/>
        </w:rPr>
      </w:pPr>
      <w:r>
        <w:rPr>
          <w:rFonts w:ascii="Arial" w:cs="Arial" w:eastAsia="Arial" w:hAnsi="Arial"/>
          <w:sz w:val="18"/>
          <w:szCs w:val="18"/>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1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firstLine="243"/>
        <w:spacing w:after="0" w:line="232" w:lineRule="auto"/>
        <w:rPr>
          <w:sz w:val="20"/>
          <w:szCs w:val="20"/>
          <w:color w:val="auto"/>
        </w:rPr>
      </w:pPr>
      <w:r>
        <w:rPr>
          <w:rFonts w:ascii="Arial" w:cs="Arial" w:eastAsia="Arial" w:hAnsi="Arial"/>
          <w:sz w:val="18"/>
          <w:szCs w:val="18"/>
          <w:color w:val="auto"/>
        </w:rPr>
        <w:t>On August 6, 2013, Regeneron Pharmaceuticals, Inc. and Bayer HealthCare issued a press release announcing positive, top-line, one-year results from two Phase 3 trials of EYLEA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(aflibercept) Injection for the treatment of Diabetic Macular Edema. Applications for regulatory approvals in the United States and Europe are expected to be submitted for this indication in 2013. A copy of the press release is filed as Exhibit 99.2 to this Current Report on Form 8-K and incorporated by reference herein to this Item 8.01.</w:t>
      </w:r>
    </w:p>
    <w:p>
      <w:pPr>
        <w:spacing w:after="0" w:line="19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August 6, 2013, Reporting Second Quarter 2013 Financial and Operating Results.</w:t>
      </w:r>
    </w:p>
    <w:p>
      <w:pPr>
        <w:spacing w:after="0" w:line="19" w:lineRule="exact"/>
        <w:rPr>
          <w:sz w:val="20"/>
          <w:szCs w:val="20"/>
          <w:color w:val="auto"/>
        </w:rPr>
      </w:pPr>
    </w:p>
    <w:p>
      <w:pPr>
        <w:ind w:right="20"/>
        <w:spacing w:after="0" w:line="211" w:lineRule="auto"/>
        <w:rPr>
          <w:sz w:val="20"/>
          <w:szCs w:val="20"/>
          <w:color w:val="auto"/>
        </w:rPr>
      </w:pPr>
      <w:r>
        <w:rPr>
          <w:rFonts w:ascii="Arial" w:cs="Arial" w:eastAsia="Arial" w:hAnsi="Arial"/>
          <w:sz w:val="18"/>
          <w:szCs w:val="18"/>
          <w:color w:val="auto"/>
        </w:rPr>
        <w:t>99.2 Press Release, dated August 6, 2013, Reporting Positive One-Year Results from Two Phase 3 Trials of EYLEA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(aflibercept) Injection for the Treatment of Diabetic Macular Edema.</w:t>
      </w:r>
    </w:p>
    <w:p>
      <w:pPr>
        <w:sectPr>
          <w:pgSz w:w="11900" w:h="16838" w:orient="portrait"/>
          <w:cols w:equalWidth="0" w:num="1">
            <w:col w:w="11400"/>
          </w:cols>
          <w:pgMar w:left="240" w:top="796" w:right="259" w:bottom="1440" w:gutter="0" w:footer="0" w:header="0"/>
        </w:sectPr>
      </w:pPr>
    </w:p>
    <w:bookmarkStart w:id="2" w:name="page3"/>
    <w:bookmarkEnd w:id="2"/>
    <w:p>
      <w:pPr>
        <w:ind w:left="516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tbl>
      <w:tblPr>
        <w:tblLayout w:type="fixed"/>
        <w:tblInd w:w="118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Date: August 6, 2013</w:t>
            </w:r>
          </w:p>
        </w:tc>
        <w:tc>
          <w:tcPr>
            <w:tcW w:w="6660" w:type="dxa"/>
            <w:vAlign w:val="bottom"/>
            <w:gridSpan w:val="2"/>
          </w:tcPr>
          <w:p>
            <w:pPr>
              <w:ind w:left="880"/>
              <w:spacing w:after="0"/>
              <w:rPr>
                <w:sz w:val="20"/>
                <w:szCs w:val="20"/>
                <w:color w:val="auto"/>
              </w:rPr>
            </w:pPr>
            <w:r>
              <w:rPr>
                <w:rFonts w:ascii="Arial" w:cs="Arial" w:eastAsia="Arial" w:hAnsi="Arial"/>
                <w:sz w:val="18"/>
                <w:szCs w:val="18"/>
                <w:color w:val="auto"/>
              </w:rPr>
              <w:t>REGENERON PHARMACEUTICALS, INC.</w:t>
            </w:r>
          </w:p>
        </w:tc>
      </w:tr>
      <w:tr>
        <w:trPr>
          <w:trHeight w:val="594"/>
        </w:trPr>
        <w:tc>
          <w:tcPr>
            <w:tcW w:w="2440" w:type="dxa"/>
            <w:vAlign w:val="bottom"/>
          </w:tcPr>
          <w:p>
            <w:pPr>
              <w:spacing w:after="0"/>
              <w:rPr>
                <w:sz w:val="24"/>
                <w:szCs w:val="24"/>
                <w:color w:val="auto"/>
              </w:rPr>
            </w:pPr>
          </w:p>
        </w:tc>
        <w:tc>
          <w:tcPr>
            <w:tcW w:w="2660" w:type="dxa"/>
            <w:vAlign w:val="bottom"/>
          </w:tcPr>
          <w:p>
            <w:pPr>
              <w:ind w:left="880"/>
              <w:spacing w:after="0"/>
              <w:rPr>
                <w:sz w:val="20"/>
                <w:szCs w:val="20"/>
                <w:color w:val="auto"/>
              </w:rPr>
            </w:pPr>
            <w:r>
              <w:rPr>
                <w:rFonts w:ascii="Arial" w:cs="Arial" w:eastAsia="Arial" w:hAnsi="Arial"/>
                <w:sz w:val="18"/>
                <w:szCs w:val="18"/>
                <w:color w:val="auto"/>
              </w:rPr>
              <w:t>By:</w:t>
            </w:r>
          </w:p>
        </w:tc>
        <w:tc>
          <w:tcPr>
            <w:tcW w:w="4000" w:type="dxa"/>
            <w:vAlign w:val="bottom"/>
          </w:tcPr>
          <w:p>
            <w:pPr>
              <w:ind w:left="20"/>
              <w:spacing w:after="0"/>
              <w:rPr>
                <w:sz w:val="20"/>
                <w:szCs w:val="20"/>
                <w:color w:val="auto"/>
              </w:rPr>
            </w:pPr>
            <w:r>
              <w:rPr>
                <w:rFonts w:ascii="Arial" w:cs="Arial" w:eastAsia="Arial" w:hAnsi="Arial"/>
                <w:sz w:val="18"/>
                <w:szCs w:val="18"/>
                <w:color w:val="auto"/>
              </w:rPr>
              <w:t>/s/ Joseph J. LaRosa</w:t>
            </w:r>
          </w:p>
        </w:tc>
      </w:tr>
      <w:tr>
        <w:trPr>
          <w:trHeight w:val="27"/>
        </w:trPr>
        <w:tc>
          <w:tcPr>
            <w:tcW w:w="24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2440" w:type="dxa"/>
            <w:vAlign w:val="bottom"/>
          </w:tcPr>
          <w:p>
            <w:pPr>
              <w:spacing w:after="0"/>
              <w:rPr>
                <w:sz w:val="20"/>
                <w:szCs w:val="20"/>
                <w:color w:val="auto"/>
              </w:rPr>
            </w:pPr>
          </w:p>
        </w:tc>
        <w:tc>
          <w:tcPr>
            <w:tcW w:w="2660" w:type="dxa"/>
            <w:vAlign w:val="bottom"/>
          </w:tcPr>
          <w:p>
            <w:pPr>
              <w:ind w:left="880"/>
              <w:spacing w:after="0"/>
              <w:rPr>
                <w:sz w:val="20"/>
                <w:szCs w:val="20"/>
                <w:color w:val="auto"/>
              </w:rPr>
            </w:pPr>
            <w:r>
              <w:rPr>
                <w:rFonts w:ascii="Arial" w:cs="Arial" w:eastAsia="Arial" w:hAnsi="Arial"/>
                <w:sz w:val="18"/>
                <w:szCs w:val="18"/>
                <w:color w:val="auto"/>
              </w:rPr>
              <w:t>Name:</w:t>
            </w:r>
          </w:p>
        </w:tc>
        <w:tc>
          <w:tcPr>
            <w:tcW w:w="4000" w:type="dxa"/>
            <w:vAlign w:val="bottom"/>
          </w:tcPr>
          <w:p>
            <w:pPr>
              <w:ind w:left="20"/>
              <w:spacing w:after="0"/>
              <w:rPr>
                <w:sz w:val="20"/>
                <w:szCs w:val="20"/>
                <w:color w:val="auto"/>
              </w:rPr>
            </w:pPr>
            <w:r>
              <w:rPr>
                <w:rFonts w:ascii="Arial" w:cs="Arial" w:eastAsia="Arial" w:hAnsi="Arial"/>
                <w:sz w:val="18"/>
                <w:szCs w:val="18"/>
                <w:color w:val="auto"/>
              </w:rPr>
              <w:t>Joseph J. LaRosa</w:t>
            </w:r>
          </w:p>
        </w:tc>
      </w:tr>
      <w:tr>
        <w:trPr>
          <w:trHeight w:val="270"/>
        </w:trPr>
        <w:tc>
          <w:tcPr>
            <w:tcW w:w="2440" w:type="dxa"/>
            <w:vAlign w:val="bottom"/>
          </w:tcPr>
          <w:p>
            <w:pPr>
              <w:spacing w:after="0"/>
              <w:rPr>
                <w:sz w:val="23"/>
                <w:szCs w:val="23"/>
                <w:color w:val="auto"/>
              </w:rPr>
            </w:pPr>
          </w:p>
        </w:tc>
        <w:tc>
          <w:tcPr>
            <w:tcW w:w="2660" w:type="dxa"/>
            <w:vAlign w:val="bottom"/>
          </w:tcPr>
          <w:p>
            <w:pPr>
              <w:ind w:left="880"/>
              <w:spacing w:after="0"/>
              <w:rPr>
                <w:sz w:val="20"/>
                <w:szCs w:val="20"/>
                <w:color w:val="auto"/>
              </w:rPr>
            </w:pPr>
            <w:r>
              <w:rPr>
                <w:rFonts w:ascii="Arial" w:cs="Arial" w:eastAsia="Arial" w:hAnsi="Arial"/>
                <w:sz w:val="18"/>
                <w:szCs w:val="18"/>
                <w:color w:val="auto"/>
              </w:rPr>
              <w:t>Title:</w:t>
            </w:r>
          </w:p>
        </w:tc>
        <w:tc>
          <w:tcPr>
            <w:tcW w:w="4000" w:type="dxa"/>
            <w:vAlign w:val="bottom"/>
          </w:tcPr>
          <w:p>
            <w:pPr>
              <w:ind w:left="20"/>
              <w:spacing w:after="0"/>
              <w:rPr>
                <w:sz w:val="20"/>
                <w:szCs w:val="20"/>
                <w:color w:val="auto"/>
              </w:rPr>
            </w:pPr>
            <w:r>
              <w:rPr>
                <w:rFonts w:ascii="Arial" w:cs="Arial" w:eastAsia="Arial" w:hAnsi="Arial"/>
                <w:sz w:val="18"/>
                <w:szCs w:val="18"/>
                <w:color w:val="auto"/>
                <w:w w:val="90"/>
              </w:rPr>
              <w:t>Senior Vice President, General Counsel and Secretary</w:t>
            </w:r>
          </w:p>
        </w:tc>
      </w:tr>
    </w:tbl>
    <w:p>
      <w:pPr>
        <w:sectPr>
          <w:pgSz w:w="11900" w:h="16838" w:orient="portrait"/>
          <w:cols w:equalWidth="0" w:num="1">
            <w:col w:w="10520"/>
          </w:cols>
          <w:pgMar w:left="240" w:top="584" w:right="11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560" w:type="dxa"/>
            <w:vAlign w:val="bottom"/>
          </w:tcPr>
          <w:p>
            <w:pPr>
              <w:ind w:left="3140"/>
              <w:spacing w:after="0"/>
              <w:rPr>
                <w:sz w:val="20"/>
                <w:szCs w:val="20"/>
                <w:color w:val="auto"/>
              </w:rPr>
            </w:pPr>
            <w:r>
              <w:rPr>
                <w:rFonts w:ascii="Arial" w:cs="Arial" w:eastAsia="Arial" w:hAnsi="Arial"/>
                <w:sz w:val="18"/>
                <w:szCs w:val="18"/>
                <w:color w:val="auto"/>
              </w:rPr>
              <w:t>Exhibit Index</w:t>
            </w:r>
          </w:p>
        </w:tc>
      </w:tr>
      <w:tr>
        <w:trPr>
          <w:trHeight w:val="554"/>
        </w:trPr>
        <w:tc>
          <w:tcPr>
            <w:tcW w:w="580" w:type="dxa"/>
            <w:vAlign w:val="bottom"/>
          </w:tcPr>
          <w:p>
            <w:pPr>
              <w:spacing w:after="0"/>
              <w:rPr>
                <w:sz w:val="20"/>
                <w:szCs w:val="20"/>
                <w:color w:val="auto"/>
              </w:rPr>
            </w:pPr>
            <w:r>
              <w:rPr>
                <w:rFonts w:ascii="Arial" w:cs="Arial" w:eastAsia="Arial" w:hAnsi="Arial"/>
                <w:sz w:val="18"/>
                <w:szCs w:val="18"/>
                <w:color w:val="auto"/>
                <w:w w:val="87"/>
              </w:rPr>
              <w:t>Number</w:t>
            </w:r>
          </w:p>
        </w:tc>
        <w:tc>
          <w:tcPr>
            <w:tcW w:w="8020" w:type="dxa"/>
            <w:vAlign w:val="bottom"/>
            <w:gridSpan w:val="3"/>
          </w:tcPr>
          <w:p>
            <w:pPr>
              <w:ind w:left="620"/>
              <w:spacing w:after="0"/>
              <w:rPr>
                <w:sz w:val="20"/>
                <w:szCs w:val="20"/>
                <w:color w:val="auto"/>
              </w:rPr>
            </w:pPr>
            <w:r>
              <w:rPr>
                <w:rFonts w:ascii="Arial" w:cs="Arial" w:eastAsia="Arial" w:hAnsi="Arial"/>
                <w:sz w:val="18"/>
                <w:szCs w:val="18"/>
                <w:color w:val="auto"/>
              </w:rPr>
              <w:t>Description</w:t>
            </w:r>
          </w:p>
        </w:tc>
      </w:tr>
      <w:tr>
        <w:trPr>
          <w:trHeight w:val="20"/>
        </w:trPr>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291"/>
        </w:trPr>
        <w:tc>
          <w:tcPr>
            <w:tcW w:w="580" w:type="dxa"/>
            <w:vAlign w:val="bottom"/>
          </w:tcPr>
          <w:p>
            <w:pPr>
              <w:spacing w:after="0"/>
              <w:rPr>
                <w:sz w:val="20"/>
                <w:szCs w:val="20"/>
                <w:color w:val="auto"/>
              </w:rPr>
            </w:pPr>
            <w:r>
              <w:rPr>
                <w:rFonts w:ascii="Arial" w:cs="Arial" w:eastAsia="Arial" w:hAnsi="Arial"/>
                <w:sz w:val="18"/>
                <w:szCs w:val="18"/>
                <w:color w:val="auto"/>
              </w:rPr>
              <w:t>99.1</w:t>
            </w:r>
          </w:p>
        </w:tc>
        <w:tc>
          <w:tcPr>
            <w:tcW w:w="8020" w:type="dxa"/>
            <w:vAlign w:val="bottom"/>
            <w:gridSpan w:val="3"/>
          </w:tcPr>
          <w:p>
            <w:pPr>
              <w:ind w:left="620"/>
              <w:spacing w:after="0"/>
              <w:rPr>
                <w:sz w:val="20"/>
                <w:szCs w:val="20"/>
                <w:color w:val="auto"/>
              </w:rPr>
            </w:pPr>
            <w:r>
              <w:rPr>
                <w:rFonts w:ascii="Arial" w:cs="Arial" w:eastAsia="Arial" w:hAnsi="Arial"/>
                <w:sz w:val="18"/>
                <w:szCs w:val="18"/>
                <w:color w:val="auto"/>
                <w:w w:val="88"/>
              </w:rPr>
              <w:t>Press Release, dated August 6, 2013, Reporting Second Quarter 2013 Financial and Operating Results.</w:t>
            </w:r>
          </w:p>
        </w:tc>
      </w:tr>
      <w:tr>
        <w:trPr>
          <w:trHeight w:val="256"/>
        </w:trPr>
        <w:tc>
          <w:tcPr>
            <w:tcW w:w="580" w:type="dxa"/>
            <w:vAlign w:val="bottom"/>
          </w:tcPr>
          <w:p>
            <w:pPr>
              <w:spacing w:after="0"/>
              <w:rPr>
                <w:sz w:val="20"/>
                <w:szCs w:val="20"/>
                <w:color w:val="auto"/>
              </w:rPr>
            </w:pPr>
            <w:r>
              <w:rPr>
                <w:rFonts w:ascii="Arial" w:cs="Arial" w:eastAsia="Arial" w:hAnsi="Arial"/>
                <w:sz w:val="18"/>
                <w:szCs w:val="18"/>
                <w:color w:val="auto"/>
              </w:rPr>
              <w:t>99.2</w:t>
            </w:r>
          </w:p>
        </w:tc>
        <w:tc>
          <w:tcPr>
            <w:tcW w:w="8020" w:type="dxa"/>
            <w:vAlign w:val="bottom"/>
            <w:gridSpan w:val="3"/>
          </w:tcPr>
          <w:p>
            <w:pPr>
              <w:ind w:left="620"/>
              <w:spacing w:after="0"/>
              <w:rPr>
                <w:sz w:val="20"/>
                <w:szCs w:val="20"/>
                <w:color w:val="auto"/>
              </w:rPr>
            </w:pPr>
            <w:r>
              <w:rPr>
                <w:rFonts w:ascii="Arial" w:cs="Arial" w:eastAsia="Arial" w:hAnsi="Arial"/>
                <w:sz w:val="18"/>
                <w:szCs w:val="18"/>
                <w:color w:val="auto"/>
                <w:w w:val="89"/>
              </w:rPr>
              <w:t>Press Release, dated August 6, 2013, Reporting Positive One-Year Results from Two Phase 3 Trials of</w:t>
            </w:r>
          </w:p>
        </w:tc>
      </w:tr>
      <w:tr>
        <w:trPr>
          <w:trHeight w:val="329"/>
        </w:trPr>
        <w:tc>
          <w:tcPr>
            <w:tcW w:w="580" w:type="dxa"/>
            <w:vAlign w:val="bottom"/>
          </w:tcPr>
          <w:p>
            <w:pPr>
              <w:spacing w:after="0"/>
              <w:rPr>
                <w:sz w:val="24"/>
                <w:szCs w:val="24"/>
                <w:color w:val="auto"/>
              </w:rPr>
            </w:pPr>
          </w:p>
        </w:tc>
        <w:tc>
          <w:tcPr>
            <w:tcW w:w="8020" w:type="dxa"/>
            <w:vAlign w:val="bottom"/>
            <w:gridSpan w:val="3"/>
          </w:tcPr>
          <w:p>
            <w:pPr>
              <w:ind w:left="620"/>
              <w:spacing w:after="0"/>
              <w:rPr>
                <w:sz w:val="20"/>
                <w:szCs w:val="20"/>
                <w:color w:val="auto"/>
              </w:rPr>
            </w:pPr>
            <w:r>
              <w:rPr>
                <w:rFonts w:ascii="Arial" w:cs="Arial" w:eastAsia="Arial" w:hAnsi="Arial"/>
                <w:sz w:val="18"/>
                <w:szCs w:val="18"/>
                <w:color w:val="auto"/>
              </w:rPr>
              <w:t>EYLEA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(aflibercept) Injection for the Treatment of Diabetic Macular Edema.</w:t>
            </w:r>
          </w:p>
        </w:tc>
      </w:tr>
    </w:tbl>
    <w:p>
      <w:pPr>
        <w:sectPr>
          <w:pgSz w:w="11900" w:h="16838" w:orient="portrait"/>
          <w:cols w:equalWidth="0" w:num="1">
            <w:col w:w="10179"/>
          </w:cols>
          <w:pgMar w:left="280" w:top="80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303655"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20574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9"/>
          <w:szCs w:val="29"/>
          <w:b w:val="1"/>
          <w:bCs w:val="1"/>
          <w:color w:val="0F4DBC"/>
        </w:rPr>
        <w:t>Regeneron Reports Second Quarter 2013 Financial and Operating Results</w:t>
      </w:r>
    </w:p>
    <w:p>
      <w:pPr>
        <w:spacing w:after="0" w:line="247" w:lineRule="exact"/>
        <w:rPr>
          <w:sz w:val="20"/>
          <w:szCs w:val="20"/>
          <w:color w:val="auto"/>
        </w:rPr>
      </w:pPr>
    </w:p>
    <w:p>
      <w:pPr>
        <w:ind w:left="340" w:right="420" w:hanging="332"/>
        <w:spacing w:after="0" w:line="246" w:lineRule="auto"/>
        <w:tabs>
          <w:tab w:leader="none" w:pos="340" w:val="left"/>
        </w:tabs>
        <w:numPr>
          <w:ilvl w:val="0"/>
          <w:numId w:val="2"/>
        </w:numPr>
        <w:rPr>
          <w:rFonts w:ascii="Arial" w:cs="Arial" w:eastAsia="Arial" w:hAnsi="Arial"/>
          <w:sz w:val="25"/>
          <w:szCs w:val="25"/>
          <w:color w:val="auto"/>
        </w:rPr>
      </w:pPr>
      <w:r>
        <w:rPr>
          <w:rFonts w:ascii="Arial" w:cs="Arial" w:eastAsia="Arial" w:hAnsi="Arial"/>
          <w:sz w:val="22"/>
          <w:szCs w:val="22"/>
          <w:i w:val="1"/>
          <w:iCs w:val="1"/>
          <w:color w:val="auto"/>
        </w:rPr>
        <w:t>Second quarter EYLEA</w:t>
      </w:r>
      <w:r>
        <w:rPr>
          <w:rFonts w:ascii="Arial" w:cs="Arial" w:eastAsia="Arial" w:hAnsi="Arial"/>
          <w:sz w:val="28"/>
          <w:szCs w:val="28"/>
          <w:b w:val="1"/>
          <w:bCs w:val="1"/>
          <w:color w:val="auto"/>
          <w:vertAlign w:val="superscript"/>
        </w:rPr>
        <w:t>®</w:t>
      </w:r>
      <w:r>
        <w:rPr>
          <w:rFonts w:ascii="Arial" w:cs="Arial" w:eastAsia="Arial" w:hAnsi="Arial"/>
          <w:sz w:val="22"/>
          <w:szCs w:val="22"/>
          <w:i w:val="1"/>
          <w:iCs w:val="1"/>
          <w:color w:val="auto"/>
        </w:rPr>
        <w:t xml:space="preserve"> (aflibercept) Injection global net sales of $426 million, including $330 million in the U.S. and $96 million in rest of world</w:t>
      </w:r>
    </w:p>
    <w:p>
      <w:pPr>
        <w:spacing w:after="0" w:line="10" w:lineRule="exact"/>
        <w:rPr>
          <w:rFonts w:ascii="Arial" w:cs="Arial" w:eastAsia="Arial" w:hAnsi="Arial"/>
          <w:sz w:val="25"/>
          <w:szCs w:val="25"/>
          <w:color w:val="auto"/>
        </w:rPr>
      </w:pPr>
    </w:p>
    <w:p>
      <w:pPr>
        <w:ind w:left="340" w:hanging="332"/>
        <w:spacing w:after="0"/>
        <w:tabs>
          <w:tab w:leader="none" w:pos="340" w:val="left"/>
        </w:tabs>
        <w:numPr>
          <w:ilvl w:val="0"/>
          <w:numId w:val="2"/>
        </w:numPr>
        <w:rPr>
          <w:rFonts w:ascii="Arial" w:cs="Arial" w:eastAsia="Arial" w:hAnsi="Arial"/>
          <w:sz w:val="25"/>
          <w:szCs w:val="25"/>
          <w:color w:val="auto"/>
        </w:rPr>
      </w:pPr>
      <w:r>
        <w:rPr>
          <w:rFonts w:ascii="Arial" w:cs="Arial" w:eastAsia="Arial" w:hAnsi="Arial"/>
          <w:sz w:val="22"/>
          <w:szCs w:val="22"/>
          <w:i w:val="1"/>
          <w:iCs w:val="1"/>
          <w:color w:val="auto"/>
        </w:rPr>
        <w:t>Estimated full year 2013 EYLEA U.S. net sales forecast raised to $1.3 billion - $1.35 billion</w:t>
      </w:r>
    </w:p>
    <w:p>
      <w:pPr>
        <w:spacing w:after="0" w:line="25" w:lineRule="exact"/>
        <w:rPr>
          <w:rFonts w:ascii="Arial" w:cs="Arial" w:eastAsia="Arial" w:hAnsi="Arial"/>
          <w:sz w:val="25"/>
          <w:szCs w:val="25"/>
          <w:color w:val="auto"/>
        </w:rPr>
      </w:pPr>
    </w:p>
    <w:p>
      <w:pPr>
        <w:ind w:left="340" w:hanging="332"/>
        <w:spacing w:after="0" w:line="226" w:lineRule="auto"/>
        <w:tabs>
          <w:tab w:leader="none" w:pos="340" w:val="left"/>
        </w:tabs>
        <w:numPr>
          <w:ilvl w:val="0"/>
          <w:numId w:val="2"/>
        </w:numPr>
        <w:rPr>
          <w:rFonts w:ascii="Arial" w:cs="Arial" w:eastAsia="Arial" w:hAnsi="Arial"/>
          <w:sz w:val="25"/>
          <w:szCs w:val="25"/>
          <w:color w:val="auto"/>
        </w:rPr>
      </w:pPr>
      <w:r>
        <w:rPr>
          <w:rFonts w:ascii="Arial" w:cs="Arial" w:eastAsia="Arial" w:hAnsi="Arial"/>
          <w:sz w:val="22"/>
          <w:szCs w:val="22"/>
          <w:i w:val="1"/>
          <w:iCs w:val="1"/>
          <w:color w:val="auto"/>
        </w:rPr>
        <w:t>Second quarter non-GAAP net income of $198 million or $1.73 per diluted share</w:t>
      </w:r>
    </w:p>
    <w:p>
      <w:pPr>
        <w:spacing w:after="0" w:line="215" w:lineRule="exact"/>
        <w:rPr>
          <w:sz w:val="20"/>
          <w:szCs w:val="20"/>
          <w:color w:val="auto"/>
        </w:rPr>
      </w:pPr>
    </w:p>
    <w:p>
      <w:pPr>
        <w:ind w:right="520"/>
        <w:spacing w:after="0" w:line="298" w:lineRule="auto"/>
        <w:rPr>
          <w:sz w:val="20"/>
          <w:szCs w:val="20"/>
          <w:color w:val="auto"/>
        </w:rPr>
      </w:pPr>
      <w:r>
        <w:rPr>
          <w:rFonts w:ascii="Arial" w:cs="Arial" w:eastAsia="Arial" w:hAnsi="Arial"/>
          <w:sz w:val="21"/>
          <w:szCs w:val="21"/>
          <w:b w:val="1"/>
          <w:bCs w:val="1"/>
          <w:color w:val="auto"/>
        </w:rPr>
        <w:t xml:space="preserve">Tarrytown, New York (August 6, 2013) </w:t>
      </w:r>
      <w:r>
        <w:rPr>
          <w:rFonts w:ascii="Arial" w:cs="Arial" w:eastAsia="Arial" w:hAnsi="Arial"/>
          <w:sz w:val="21"/>
          <w:szCs w:val="21"/>
          <w:color w:val="auto"/>
        </w:rPr>
        <w:t>-- Regeneron Pharmaceuticals, Inc. (NASDAQ:</w:t>
      </w:r>
      <w:r>
        <w:rPr>
          <w:rFonts w:ascii="Arial" w:cs="Arial" w:eastAsia="Arial" w:hAnsi="Arial"/>
          <w:sz w:val="21"/>
          <w:szCs w:val="21"/>
          <w:b w:val="1"/>
          <w:bCs w:val="1"/>
          <w:color w:val="auto"/>
        </w:rPr>
        <w:t xml:space="preserve"> REGN</w:t>
      </w:r>
      <w:r>
        <w:rPr>
          <w:rFonts w:ascii="Arial" w:cs="Arial" w:eastAsia="Arial" w:hAnsi="Arial"/>
          <w:sz w:val="21"/>
          <w:szCs w:val="21"/>
          <w:color w:val="auto"/>
        </w:rPr>
        <w:t>) today announced</w:t>
      </w:r>
      <w:r>
        <w:rPr>
          <w:rFonts w:ascii="Arial" w:cs="Arial" w:eastAsia="Arial" w:hAnsi="Arial"/>
          <w:sz w:val="21"/>
          <w:szCs w:val="21"/>
          <w:b w:val="1"/>
          <w:bCs w:val="1"/>
          <w:color w:val="auto"/>
        </w:rPr>
        <w:t xml:space="preserve"> </w:t>
      </w:r>
      <w:r>
        <w:rPr>
          <w:rFonts w:ascii="Arial" w:cs="Arial" w:eastAsia="Arial" w:hAnsi="Arial"/>
          <w:sz w:val="21"/>
          <w:szCs w:val="21"/>
          <w:color w:val="auto"/>
        </w:rPr>
        <w:t>financial and operating results for the second quarter of 2013 and provided an update on development programs.</w:t>
      </w:r>
    </w:p>
    <w:p>
      <w:pPr>
        <w:spacing w:after="0" w:line="156" w:lineRule="exact"/>
        <w:rPr>
          <w:sz w:val="20"/>
          <w:szCs w:val="20"/>
          <w:color w:val="auto"/>
        </w:rPr>
      </w:pPr>
    </w:p>
    <w:p>
      <w:pPr>
        <w:ind w:right="100"/>
        <w:spacing w:after="0" w:line="245" w:lineRule="auto"/>
        <w:rPr>
          <w:sz w:val="20"/>
          <w:szCs w:val="20"/>
          <w:color w:val="auto"/>
        </w:rPr>
      </w:pPr>
      <w:r>
        <w:rPr>
          <w:rFonts w:ascii="Arial" w:cs="Arial" w:eastAsia="Arial" w:hAnsi="Arial"/>
          <w:sz w:val="22"/>
          <w:szCs w:val="22"/>
          <w:color w:val="auto"/>
        </w:rPr>
        <w:t>The Company reported total revenues of $458 million in the second quarter and $897 million in the first half of 2013, compared to $304 million in the second quarter and $536 million in the first half of 2012. EYLEA U.S. net product sales grew 70% to $330 million in the second quarter of 2013 from $194 million in the second quarter of 2012. First half of 2013 EYLEA U.S. net product sales grew 103% to $644 million from $318 million in the first half of 2012.</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The Company reported non-GAAP net income of $198 million, or $1.73 per diluted share, in the second quarter and</w:t>
      </w:r>
    </w:p>
    <w:p>
      <w:pPr>
        <w:spacing w:after="0" w:line="4" w:lineRule="exact"/>
        <w:rPr>
          <w:sz w:val="20"/>
          <w:szCs w:val="20"/>
          <w:color w:val="auto"/>
        </w:rPr>
      </w:pPr>
    </w:p>
    <w:p>
      <w:pPr>
        <w:spacing w:after="0" w:line="244" w:lineRule="auto"/>
        <w:rPr>
          <w:sz w:val="20"/>
          <w:szCs w:val="20"/>
          <w:color w:val="auto"/>
        </w:rPr>
      </w:pPr>
      <w:r>
        <w:rPr>
          <w:rFonts w:ascii="Arial" w:cs="Arial" w:eastAsia="Arial" w:hAnsi="Arial"/>
          <w:sz w:val="22"/>
          <w:szCs w:val="22"/>
          <w:color w:val="auto"/>
        </w:rPr>
        <w:t>$398 million, or $3.50 per diluted share, in the first half of 2013, compared to $102 million, or $0.90 per diluted share, in the second quarter and $142 million, or $1.28 per diluted share, in the first half of 2012. Non-GAAP net income excludes non-cash share-based compensation expense, non-cash interest expense related to the Company's convertible senior notes, and non-cash income taxes. The Company reported GAAP net income of $87 million, or $0.79 per diluted share, in the second quarter and $186 million, or $1.69 per diluted share, in the first half of 2013, compared to $77 million, or $0.70 per diluted share, in the second quarter and $88 million, or $0.81 per diluted share, in the first half of 2012. The Company's revenues and net income in both the second quarter and first half of 2013 were reduced by two $10 million up-front payments made to Sanofi to acquire full rights to antibodies to PDGF and antibodies to Ang2 in ophthalmology, as described below.</w:t>
      </w:r>
    </w:p>
    <w:p>
      <w:pPr>
        <w:spacing w:after="0" w:line="211" w:lineRule="exact"/>
        <w:rPr>
          <w:sz w:val="20"/>
          <w:szCs w:val="20"/>
          <w:color w:val="auto"/>
        </w:rPr>
      </w:pPr>
    </w:p>
    <w:p>
      <w:pPr>
        <w:ind w:right="20"/>
        <w:spacing w:after="0" w:line="244" w:lineRule="auto"/>
        <w:rPr>
          <w:sz w:val="20"/>
          <w:szCs w:val="20"/>
          <w:color w:val="auto"/>
        </w:rPr>
      </w:pPr>
      <w:r>
        <w:rPr>
          <w:rFonts w:ascii="Arial" w:cs="Arial" w:eastAsia="Arial" w:hAnsi="Arial"/>
          <w:sz w:val="22"/>
          <w:szCs w:val="22"/>
          <w:color w:val="auto"/>
        </w:rPr>
        <w:t>"We are pleased with the continued progress of EYLEA both in terms of commercialization and development in additional indications," said Leonard S. Schleifer, M.D., Ph.D., President and Chief Executive Officer of Regeneron. "Today, we reported positive Phase 3 data for EYLEA from the VIVID-DME and VISTA-DME trials in diabetic macular edema (DME). Based upon discussions with the U.S. Food &amp; Drug Administration, we now plan to submit a regulatory application for approval for EYLEA in the DME indication in the U.S. later this year, approximately one year ahead of our previous plan. Additional Phase 3 trials for EYLEA, alirocumab and sarilumab continue to advance and we expect to report data from the VIBRANT study with EYLEA in macular edema following branch retinal vein occlusion and the ODYSSEY MONO study with alirocumab for hypercholesterolemia later this year; the ODYSSEY MONO trial will be the first Phase 3 data from this class. We also moved two new antibodies into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clinical development in this quarter.”</w:t>
      </w:r>
    </w:p>
    <w:p>
      <w:pPr>
        <w:spacing w:after="0" w:line="200" w:lineRule="exact"/>
        <w:rPr>
          <w:sz w:val="20"/>
          <w:szCs w:val="20"/>
          <w:color w:val="auto"/>
        </w:rPr>
      </w:pPr>
    </w:p>
    <w:p>
      <w:pPr>
        <w:spacing w:after="0" w:line="265" w:lineRule="exact"/>
        <w:rPr>
          <w:sz w:val="20"/>
          <w:szCs w:val="20"/>
          <w:color w:val="auto"/>
        </w:rPr>
      </w:pPr>
    </w:p>
    <w:p>
      <w:pPr>
        <w:ind w:right="4220"/>
        <w:spacing w:after="0" w:line="314" w:lineRule="auto"/>
        <w:rPr>
          <w:sz w:val="20"/>
          <w:szCs w:val="20"/>
          <w:color w:val="auto"/>
        </w:rPr>
      </w:pPr>
      <w:r>
        <w:rPr>
          <w:rFonts w:ascii="Arial" w:cs="Arial" w:eastAsia="Arial" w:hAnsi="Arial"/>
          <w:sz w:val="22"/>
          <w:szCs w:val="22"/>
          <w:b w:val="1"/>
          <w:bCs w:val="1"/>
          <w:i w:val="1"/>
          <w:iCs w:val="1"/>
          <w:color w:val="auto"/>
        </w:rPr>
        <w:t xml:space="preserve">Second Quarter (and Third Quarter To-Date) 2013 Business Highlights </w:t>
      </w:r>
      <w:r>
        <w:rPr>
          <w:rFonts w:ascii="Arial" w:cs="Arial" w:eastAsia="Arial" w:hAnsi="Arial"/>
          <w:sz w:val="22"/>
          <w:szCs w:val="22"/>
          <w:b w:val="1"/>
          <w:bCs w:val="1"/>
          <w:u w:val="single" w:color="auto"/>
          <w:color w:val="auto"/>
        </w:rPr>
        <w:t>EYLEA</w:t>
      </w:r>
      <w:r>
        <w:rPr>
          <w:rFonts w:ascii="Arial" w:cs="Arial" w:eastAsia="Arial" w:hAnsi="Arial"/>
          <w:sz w:val="28"/>
          <w:szCs w:val="28"/>
          <w:b w:val="1"/>
          <w:bCs w:val="1"/>
          <w:u w:val="single" w:color="auto"/>
          <w:color w:val="auto"/>
          <w:vertAlign w:val="superscript"/>
        </w:rPr>
        <w:t>®</w:t>
      </w:r>
      <w:r>
        <w:rPr>
          <w:rFonts w:ascii="Arial" w:cs="Arial" w:eastAsia="Arial" w:hAnsi="Arial"/>
          <w:sz w:val="22"/>
          <w:szCs w:val="22"/>
          <w:b w:val="1"/>
          <w:bCs w:val="1"/>
          <w:u w:val="single" w:color="auto"/>
          <w:color w:val="auto"/>
        </w:rPr>
        <w:t xml:space="preserve"> (aflibercept) Injection for Intravitreal Injection</w:t>
      </w:r>
    </w:p>
    <w:p>
      <w:pPr>
        <w:spacing w:after="0" w:line="17" w:lineRule="exact"/>
        <w:rPr>
          <w:sz w:val="20"/>
          <w:szCs w:val="20"/>
          <w:color w:val="auto"/>
        </w:rPr>
      </w:pPr>
    </w:p>
    <w:p>
      <w:pPr>
        <w:ind w:left="660" w:right="540" w:hanging="328"/>
        <w:spacing w:after="0" w:line="270" w:lineRule="auto"/>
        <w:tabs>
          <w:tab w:leader="none" w:pos="660" w:val="left"/>
        </w:tabs>
        <w:numPr>
          <w:ilvl w:val="0"/>
          <w:numId w:val="3"/>
        </w:numPr>
        <w:rPr>
          <w:rFonts w:ascii="Arial" w:cs="Arial" w:eastAsia="Arial" w:hAnsi="Arial"/>
          <w:sz w:val="24"/>
          <w:szCs w:val="24"/>
          <w:color w:val="auto"/>
        </w:rPr>
      </w:pPr>
      <w:r>
        <w:rPr>
          <w:rFonts w:ascii="Arial" w:cs="Arial" w:eastAsia="Arial" w:hAnsi="Arial"/>
          <w:sz w:val="21"/>
          <w:szCs w:val="21"/>
          <w:color w:val="auto"/>
        </w:rPr>
        <w:t>EYLEA is currently approved in the United States for the treatment of neovascular age-related macular degeneration (wet AMD) and macular edema following central retinal vein occlusion (CRVO). In the second quarter of 2013, net sales were $330 million, compared to $194 million in the second quarter of 2012.</w:t>
      </w:r>
    </w:p>
    <w:p>
      <w:pPr>
        <w:spacing w:after="0" w:line="37" w:lineRule="exact"/>
        <w:rPr>
          <w:rFonts w:ascii="Arial" w:cs="Arial" w:eastAsia="Arial" w:hAnsi="Arial"/>
          <w:sz w:val="24"/>
          <w:szCs w:val="24"/>
          <w:color w:val="auto"/>
        </w:rPr>
      </w:pPr>
    </w:p>
    <w:p>
      <w:pPr>
        <w:ind w:left="660" w:right="120" w:hanging="328"/>
        <w:spacing w:after="0" w:line="263" w:lineRule="auto"/>
        <w:tabs>
          <w:tab w:leader="none" w:pos="660" w:val="left"/>
        </w:tabs>
        <w:numPr>
          <w:ilvl w:val="0"/>
          <w:numId w:val="3"/>
        </w:numPr>
        <w:rPr>
          <w:rFonts w:ascii="Arial" w:cs="Arial" w:eastAsia="Arial" w:hAnsi="Arial"/>
          <w:sz w:val="25"/>
          <w:szCs w:val="25"/>
          <w:color w:val="auto"/>
        </w:rPr>
      </w:pPr>
      <w:r>
        <w:rPr>
          <w:rFonts w:ascii="Arial" w:cs="Arial" w:eastAsia="Arial" w:hAnsi="Arial"/>
          <w:sz w:val="22"/>
          <w:szCs w:val="22"/>
          <w:color w:val="auto"/>
        </w:rPr>
        <w:t>The Company and Bayer HealthCare collaborate on the global development and commercialization of EYLEA outside the United States, and share profits and losses from commercialization of EYLEA outside the United States except for Japan, where the Company receives a royalty on sales. Regeneron maintains exclusive rights to EYLEA in the United States and is entitled to all profits from any such sales.</w:t>
      </w:r>
    </w:p>
    <w:p>
      <w:pPr>
        <w:spacing w:after="0" w:line="41" w:lineRule="exact"/>
        <w:rPr>
          <w:rFonts w:ascii="Arial" w:cs="Arial" w:eastAsia="Arial" w:hAnsi="Arial"/>
          <w:sz w:val="25"/>
          <w:szCs w:val="25"/>
          <w:color w:val="auto"/>
        </w:rPr>
      </w:pPr>
    </w:p>
    <w:p>
      <w:pPr>
        <w:ind w:left="660" w:right="180" w:hanging="328"/>
        <w:spacing w:after="0" w:line="271" w:lineRule="auto"/>
        <w:tabs>
          <w:tab w:leader="none" w:pos="660" w:val="left"/>
        </w:tabs>
        <w:numPr>
          <w:ilvl w:val="0"/>
          <w:numId w:val="3"/>
        </w:numPr>
        <w:rPr>
          <w:rFonts w:ascii="Arial" w:cs="Arial" w:eastAsia="Arial" w:hAnsi="Arial"/>
          <w:sz w:val="25"/>
          <w:szCs w:val="25"/>
          <w:color w:val="auto"/>
        </w:rPr>
      </w:pPr>
      <w:r>
        <w:rPr>
          <w:rFonts w:ascii="Arial" w:cs="Arial" w:eastAsia="Arial" w:hAnsi="Arial"/>
          <w:sz w:val="22"/>
          <w:szCs w:val="22"/>
          <w:color w:val="auto"/>
        </w:rPr>
        <w:t>Bayer HealthCare commenced sales of EYLEA for the treatment of wet AMD in the fourth quarter of 2012 following receipt of regulatory approvals in the European Union, Japan, Australia, and other countries. In the second quarter of 2013, Bayer HealthCare recorded net sales of EYLEA outside of the United States of $96 million, compared to $65 million in the first quarter of 2013. Regeneron's share of profits (including royalties on sales in Japan) for EYLEA was $34 million in the second quarter of 2013, and after repaying $15 million in development expenses, the Company recognized $19 million in net profit from EYLEA sales outside the United States in the quarter.</w:t>
      </w:r>
    </w:p>
    <w:p>
      <w:pPr>
        <w:spacing w:after="0" w:line="41" w:lineRule="exact"/>
        <w:rPr>
          <w:rFonts w:ascii="Arial" w:cs="Arial" w:eastAsia="Arial" w:hAnsi="Arial"/>
          <w:sz w:val="25"/>
          <w:szCs w:val="25"/>
          <w:color w:val="auto"/>
        </w:rPr>
      </w:pPr>
    </w:p>
    <w:p>
      <w:pPr>
        <w:ind w:left="660" w:right="20" w:hanging="328"/>
        <w:spacing w:after="0" w:line="270" w:lineRule="auto"/>
        <w:tabs>
          <w:tab w:leader="none" w:pos="660" w:val="left"/>
        </w:tabs>
        <w:numPr>
          <w:ilvl w:val="0"/>
          <w:numId w:val="3"/>
        </w:numPr>
        <w:rPr>
          <w:rFonts w:ascii="Arial" w:cs="Arial" w:eastAsia="Arial" w:hAnsi="Arial"/>
          <w:sz w:val="24"/>
          <w:szCs w:val="24"/>
          <w:color w:val="auto"/>
        </w:rPr>
      </w:pPr>
      <w:r>
        <w:rPr>
          <w:rFonts w:ascii="Arial" w:cs="Arial" w:eastAsia="Arial" w:hAnsi="Arial"/>
          <w:sz w:val="21"/>
          <w:szCs w:val="21"/>
          <w:color w:val="auto"/>
        </w:rPr>
        <w:t>Launches in additional countries are anticipated to continue throughout 2013 as regulatory and pricing approvals for EYLEA for the treatment of wet AMD are achieved. In May 2013, the United Kingdom's National Institute for Health and Care Excellence (NICE) issued a positive recommendation for EYLEA for the treatment of wet AMD.</w:t>
      </w:r>
    </w:p>
    <w:p>
      <w:pPr>
        <w:spacing w:after="0" w:line="37" w:lineRule="exact"/>
        <w:rPr>
          <w:rFonts w:ascii="Arial" w:cs="Arial" w:eastAsia="Arial" w:hAnsi="Arial"/>
          <w:sz w:val="24"/>
          <w:szCs w:val="24"/>
          <w:color w:val="auto"/>
        </w:rPr>
      </w:pPr>
    </w:p>
    <w:p>
      <w:pPr>
        <w:jc w:val="both"/>
        <w:ind w:left="660" w:right="20" w:hanging="328"/>
        <w:spacing w:after="0" w:line="275" w:lineRule="auto"/>
        <w:tabs>
          <w:tab w:leader="none" w:pos="660" w:val="left"/>
        </w:tabs>
        <w:numPr>
          <w:ilvl w:val="0"/>
          <w:numId w:val="3"/>
        </w:numPr>
        <w:rPr>
          <w:rFonts w:ascii="Arial" w:cs="Arial" w:eastAsia="Arial" w:hAnsi="Arial"/>
          <w:sz w:val="24"/>
          <w:szCs w:val="24"/>
          <w:color w:val="auto"/>
        </w:rPr>
      </w:pPr>
      <w:r>
        <w:rPr>
          <w:rFonts w:ascii="Arial" w:cs="Arial" w:eastAsia="Arial" w:hAnsi="Arial"/>
          <w:sz w:val="21"/>
          <w:szCs w:val="21"/>
          <w:color w:val="auto"/>
        </w:rPr>
        <w:t>Applications for marketing authorization for EYLEA for the treatment of macular edema following CRVO are also pending in Europe, Japan, and other countries. In July 2013, the European Committee for Medicinal Products for</w:t>
      </w:r>
    </w:p>
    <w:p>
      <w:pPr>
        <w:spacing w:after="0" w:line="1" w:lineRule="exact"/>
        <w:rPr>
          <w:rFonts w:ascii="Arial" w:cs="Arial" w:eastAsia="Arial" w:hAnsi="Arial"/>
          <w:sz w:val="24"/>
          <w:szCs w:val="24"/>
          <w:color w:val="auto"/>
        </w:rPr>
      </w:pPr>
    </w:p>
    <w:p>
      <w:pPr>
        <w:ind w:left="660" w:right="700"/>
        <w:spacing w:after="0" w:line="288" w:lineRule="auto"/>
        <w:rPr>
          <w:rFonts w:ascii="Arial" w:cs="Arial" w:eastAsia="Arial" w:hAnsi="Arial"/>
          <w:sz w:val="24"/>
          <w:szCs w:val="24"/>
          <w:color w:val="auto"/>
        </w:rPr>
      </w:pPr>
      <w:r>
        <w:rPr>
          <w:rFonts w:ascii="Arial" w:cs="Arial" w:eastAsia="Arial" w:hAnsi="Arial"/>
          <w:sz w:val="21"/>
          <w:szCs w:val="21"/>
          <w:color w:val="auto"/>
        </w:rPr>
        <w:t>Human Use (CHMP) recommended approval of EYLEA to the European Medicines Agency (EMA) for the treatment of macular edema secondary to CRVO and final approval is anticipated by the end of the year.</w:t>
      </w:r>
    </w:p>
    <w:p>
      <w:pPr>
        <w:spacing w:after="0" w:line="1" w:lineRule="exact"/>
        <w:rPr>
          <w:rFonts w:ascii="Arial" w:cs="Arial" w:eastAsia="Arial" w:hAnsi="Arial"/>
          <w:sz w:val="24"/>
          <w:szCs w:val="24"/>
          <w:color w:val="auto"/>
        </w:rPr>
      </w:pPr>
    </w:p>
    <w:p>
      <w:pPr>
        <w:ind w:left="660" w:right="60" w:hanging="328"/>
        <w:spacing w:after="0" w:line="24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June 2013, the Company and Bayer HealthCare announced positive top-line results for EYLEA from the Phase 3 MYRROR study in myopic choroidal neovascularization (mCNV). Data from this study will be presented at an upcoming medical conference. The first application for regulatory approval is expected to be submitted for this indication in Asia by the end of 2013.</w:t>
      </w:r>
    </w:p>
    <w:p>
      <w:pPr>
        <w:spacing w:after="0" w:line="1" w:lineRule="exact"/>
        <w:rPr>
          <w:rFonts w:ascii="Arial" w:cs="Arial" w:eastAsia="Arial" w:hAnsi="Arial"/>
          <w:sz w:val="22"/>
          <w:szCs w:val="22"/>
          <w:color w:val="auto"/>
        </w:rPr>
      </w:pPr>
    </w:p>
    <w:p>
      <w:pPr>
        <w:ind w:left="660" w:hanging="328"/>
        <w:spacing w:after="0" w:line="245"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Earlier today, the Company and Bayer HealthCare reported positive, top line, one-year results from the Phase 3 VIVID-DME and VISTA-DME trials in DME. Data from these studies will be presented at upcoming medical conferences. Applications for regulatory approvals in the United States and Europe are expected to be submitted for this indication by the end of 2013; the U.S. regulatory submission is approximately one year earlier than previously planned.</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1"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u w:val="single" w:color="auto"/>
          <w:color w:val="auto"/>
        </w:rPr>
        <w:t>ZALTRAP</w:t>
      </w:r>
      <w:r>
        <w:rPr>
          <w:rFonts w:ascii="Arial" w:cs="Arial" w:eastAsia="Arial" w:hAnsi="Arial"/>
          <w:sz w:val="28"/>
          <w:szCs w:val="28"/>
          <w:b w:val="1"/>
          <w:bCs w:val="1"/>
          <w:u w:val="single" w:color="auto"/>
          <w:color w:val="auto"/>
          <w:vertAlign w:val="superscript"/>
        </w:rPr>
        <w:t>®</w:t>
      </w:r>
      <w:r>
        <w:rPr>
          <w:rFonts w:ascii="Arial" w:cs="Arial" w:eastAsia="Arial" w:hAnsi="Arial"/>
          <w:sz w:val="22"/>
          <w:szCs w:val="22"/>
          <w:b w:val="1"/>
          <w:bCs w:val="1"/>
          <w:color w:val="auto"/>
        </w:rPr>
        <w:t xml:space="preserve"> (ziv-aflibercept) Injection for Intravenous Infusion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702310</wp:posOffset>
            </wp:positionH>
            <wp:positionV relativeFrom="paragraph">
              <wp:posOffset>-28575</wp:posOffset>
            </wp:positionV>
            <wp:extent cx="32626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62630" cy="8890"/>
                    </a:xfrm>
                    <a:prstGeom prst="rect">
                      <a:avLst/>
                    </a:prstGeom>
                    <a:noFill/>
                  </pic:spPr>
                </pic:pic>
              </a:graphicData>
            </a:graphic>
          </wp:anchor>
        </w:drawing>
      </w:r>
    </w:p>
    <w:p>
      <w:pPr>
        <w:ind w:left="660" w:right="60" w:hanging="328"/>
        <w:spacing w:after="0" w:line="263" w:lineRule="auto"/>
        <w:tabs>
          <w:tab w:leader="none" w:pos="660" w:val="left"/>
        </w:tabs>
        <w:numPr>
          <w:ilvl w:val="0"/>
          <w:numId w:val="4"/>
        </w:numPr>
        <w:rPr>
          <w:rFonts w:ascii="Arial" w:cs="Arial" w:eastAsia="Arial" w:hAnsi="Arial"/>
          <w:sz w:val="25"/>
          <w:szCs w:val="25"/>
          <w:color w:val="auto"/>
        </w:rPr>
      </w:pPr>
      <w:r>
        <w:rPr>
          <w:rFonts w:ascii="Arial" w:cs="Arial" w:eastAsia="Arial" w:hAnsi="Arial"/>
          <w:sz w:val="22"/>
          <w:szCs w:val="22"/>
          <w:color w:val="auto"/>
        </w:rPr>
        <w:t>The Company and Sanofi collaborate on the global development and commercialization of ZALTRAP, and share profits and losses from commercialization of ZALTRAP except for Japan, where the Company will receive a royalty on sales.</w:t>
      </w:r>
    </w:p>
    <w:p>
      <w:pPr>
        <w:spacing w:after="0" w:line="21" w:lineRule="exact"/>
        <w:rPr>
          <w:rFonts w:ascii="Arial" w:cs="Arial" w:eastAsia="Arial" w:hAnsi="Arial"/>
          <w:sz w:val="25"/>
          <w:szCs w:val="25"/>
          <w:color w:val="auto"/>
        </w:rPr>
      </w:pPr>
    </w:p>
    <w:p>
      <w:pPr>
        <w:ind w:left="660" w:right="200" w:hanging="328"/>
        <w:spacing w:after="0" w:line="265" w:lineRule="auto"/>
        <w:tabs>
          <w:tab w:leader="none" w:pos="660" w:val="left"/>
        </w:tabs>
        <w:numPr>
          <w:ilvl w:val="0"/>
          <w:numId w:val="4"/>
        </w:numPr>
        <w:rPr>
          <w:rFonts w:ascii="Arial" w:cs="Arial" w:eastAsia="Arial" w:hAnsi="Arial"/>
          <w:sz w:val="25"/>
          <w:szCs w:val="25"/>
          <w:color w:val="auto"/>
        </w:rPr>
      </w:pPr>
      <w:r>
        <w:rPr>
          <w:rFonts w:ascii="Arial" w:cs="Arial" w:eastAsia="Arial" w:hAnsi="Arial"/>
          <w:sz w:val="22"/>
          <w:szCs w:val="22"/>
          <w:color w:val="auto"/>
        </w:rPr>
        <w:t>ZALTRAP is currently approved in over 30 countries, including the United States and European Union. Marketing authorization applications for ZALTRAP are currently under review by additional regulatory agencies worldwide.</w:t>
      </w:r>
    </w:p>
    <w:p>
      <w:pPr>
        <w:spacing w:after="0" w:line="1" w:lineRule="exact"/>
        <w:rPr>
          <w:rFonts w:ascii="Arial" w:cs="Arial" w:eastAsia="Arial" w:hAnsi="Arial"/>
          <w:sz w:val="25"/>
          <w:szCs w:val="25"/>
          <w:color w:val="auto"/>
        </w:rPr>
      </w:pPr>
    </w:p>
    <w:p>
      <w:pPr>
        <w:ind w:left="660" w:hanging="328"/>
        <w:spacing w:after="0" w:line="249"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the second quarter of 2013, Sanofi recorded worldwide net sales of ZALTRAP of $19 million, compared to $14 million in the first quarter of 2013.</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Monoclonal Antibodies</w:t>
      </w:r>
    </w:p>
    <w:p>
      <w:pPr>
        <w:spacing w:after="0" w:line="16" w:lineRule="exact"/>
        <w:rPr>
          <w:sz w:val="20"/>
          <w:szCs w:val="20"/>
          <w:color w:val="auto"/>
        </w:rPr>
      </w:pPr>
    </w:p>
    <w:p>
      <w:pPr>
        <w:ind w:left="660" w:right="120" w:hanging="328"/>
        <w:spacing w:after="0" w:line="243" w:lineRule="auto"/>
        <w:tabs>
          <w:tab w:leader="none" w:pos="660" w:val="left"/>
        </w:tabs>
        <w:numPr>
          <w:ilvl w:val="0"/>
          <w:numId w:val="5"/>
        </w:numPr>
        <w:rPr>
          <w:rFonts w:ascii="Arial" w:cs="Arial" w:eastAsia="Arial" w:hAnsi="Arial"/>
          <w:sz w:val="25"/>
          <w:szCs w:val="25"/>
          <w:color w:val="auto"/>
        </w:rPr>
      </w:pPr>
      <w:r>
        <w:rPr>
          <w:rFonts w:ascii="Arial" w:cs="Arial" w:eastAsia="Arial" w:hAnsi="Arial"/>
          <w:sz w:val="22"/>
          <w:szCs w:val="22"/>
          <w:color w:val="auto"/>
        </w:rPr>
        <w:t xml:space="preserve">Regeneron has twelve fully human monoclonal antibodies based on the Company's </w:t>
      </w:r>
      <w:r>
        <w:rPr>
          <w:rFonts w:ascii="Arial" w:cs="Arial" w:eastAsia="Arial" w:hAnsi="Arial"/>
          <w:sz w:val="22"/>
          <w:szCs w:val="22"/>
          <w:i w:val="1"/>
          <w:iCs w:val="1"/>
          <w:color w:val="auto"/>
        </w:rPr>
        <w:t>VelocImmune</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technology in clinical development, including seven in collaboration with Sanofi.</w:t>
      </w:r>
    </w:p>
    <w:p>
      <w:pPr>
        <w:spacing w:after="0" w:line="39" w:lineRule="exact"/>
        <w:rPr>
          <w:rFonts w:ascii="Arial" w:cs="Arial" w:eastAsia="Arial" w:hAnsi="Arial"/>
          <w:sz w:val="25"/>
          <w:szCs w:val="25"/>
          <w:color w:val="auto"/>
        </w:rPr>
      </w:pPr>
    </w:p>
    <w:p>
      <w:pPr>
        <w:ind w:left="660" w:right="80" w:hanging="328"/>
        <w:spacing w:after="0" w:line="273" w:lineRule="auto"/>
        <w:tabs>
          <w:tab w:leader="none" w:pos="660" w:val="left"/>
        </w:tabs>
        <w:numPr>
          <w:ilvl w:val="0"/>
          <w:numId w:val="5"/>
        </w:numPr>
        <w:rPr>
          <w:rFonts w:ascii="Arial" w:cs="Arial" w:eastAsia="Arial" w:hAnsi="Arial"/>
          <w:sz w:val="25"/>
          <w:szCs w:val="25"/>
          <w:color w:val="auto"/>
        </w:rPr>
      </w:pPr>
      <w:r>
        <w:rPr>
          <w:rFonts w:ascii="Arial" w:cs="Arial" w:eastAsia="Arial" w:hAnsi="Arial"/>
          <w:sz w:val="22"/>
          <w:szCs w:val="22"/>
          <w:color w:val="auto"/>
        </w:rPr>
        <w:t>ODYSSEY, a large, global Phase 3 program with alirocumab (REGN727), an antibody targeting PCSK9 to reduce LDL cholesterol, was initiated in June 2012 and is currently enrolling patients. The ODYSSEY program includes eleven clinical trials evaluating the effect of alirocumab dosed every two weeks. In addition, a trial of alirocumab dosed every four weeks (ODYSSEY CHOICE) will commence by the end of 2013. The Company expects to report initial results from the Phase 3 ODYSSEY MONO trial by the end of 2013. Alirocumab is being developed in collaboration with Sanofi.</w:t>
      </w:r>
    </w:p>
    <w:p>
      <w:pPr>
        <w:spacing w:after="0" w:line="3" w:lineRule="exact"/>
        <w:rPr>
          <w:rFonts w:ascii="Arial" w:cs="Arial" w:eastAsia="Arial" w:hAnsi="Arial"/>
          <w:sz w:val="25"/>
          <w:szCs w:val="25"/>
          <w:color w:val="auto"/>
        </w:rPr>
      </w:pPr>
    </w:p>
    <w:p>
      <w:pPr>
        <w:ind w:left="660" w:hanging="328"/>
        <w:spacing w:after="0" w:line="255" w:lineRule="auto"/>
        <w:tabs>
          <w:tab w:leader="none" w:pos="660" w:val="left"/>
        </w:tabs>
        <w:numPr>
          <w:ilvl w:val="0"/>
          <w:numId w:val="5"/>
        </w:numPr>
        <w:rPr>
          <w:rFonts w:ascii="Arial" w:cs="Arial" w:eastAsia="Arial" w:hAnsi="Arial"/>
          <w:sz w:val="21"/>
          <w:szCs w:val="21"/>
          <w:color w:val="auto"/>
        </w:rPr>
      </w:pPr>
      <w:r>
        <w:rPr>
          <w:rFonts w:ascii="Arial" w:cs="Arial" w:eastAsia="Arial" w:hAnsi="Arial"/>
          <w:sz w:val="21"/>
          <w:szCs w:val="21"/>
          <w:color w:val="auto"/>
        </w:rPr>
        <w:t xml:space="preserve">Data from a Phase 2a trial of dupilumab (REGN668) in allergic asthma were presented at the American Thoracic Society meeting in May 2013. These data were also published in the </w:t>
      </w:r>
      <w:r>
        <w:rPr>
          <w:rFonts w:ascii="Arial" w:cs="Arial" w:eastAsia="Arial" w:hAnsi="Arial"/>
          <w:sz w:val="21"/>
          <w:szCs w:val="21"/>
          <w:i w:val="1"/>
          <w:iCs w:val="1"/>
          <w:color w:val="auto"/>
        </w:rPr>
        <w:t>New England Journal of Medicine</w:t>
      </w:r>
      <w:r>
        <w:rPr>
          <w:rFonts w:ascii="Arial" w:cs="Arial" w:eastAsia="Arial" w:hAnsi="Arial"/>
          <w:sz w:val="21"/>
          <w:szCs w:val="21"/>
          <w:color w:val="auto"/>
        </w:rPr>
        <w:t xml:space="preserve"> in June 2013. In the second quarter of 2013, Phase 2b trials of dupilumab in allergic asthma and atopic dermatitis were initiated and are currently enrolling patients. Dupilumab is being developed in collaboration with Sanofi.</w:t>
      </w:r>
    </w:p>
    <w:p>
      <w:pPr>
        <w:spacing w:after="0" w:line="13" w:lineRule="exact"/>
        <w:rPr>
          <w:rFonts w:ascii="Arial" w:cs="Arial" w:eastAsia="Arial" w:hAnsi="Arial"/>
          <w:sz w:val="21"/>
          <w:szCs w:val="21"/>
          <w:color w:val="auto"/>
        </w:rPr>
      </w:pPr>
    </w:p>
    <w:p>
      <w:pPr>
        <w:ind w:left="660" w:right="280" w:hanging="328"/>
        <w:spacing w:after="0" w:line="271" w:lineRule="auto"/>
        <w:tabs>
          <w:tab w:leader="none" w:pos="660" w:val="left"/>
        </w:tabs>
        <w:numPr>
          <w:ilvl w:val="0"/>
          <w:numId w:val="5"/>
        </w:numPr>
        <w:rPr>
          <w:rFonts w:ascii="Arial" w:cs="Arial" w:eastAsia="Arial" w:hAnsi="Arial"/>
          <w:sz w:val="25"/>
          <w:szCs w:val="25"/>
          <w:color w:val="auto"/>
        </w:rPr>
      </w:pPr>
      <w:r>
        <w:rPr>
          <w:rFonts w:ascii="Arial" w:cs="Arial" w:eastAsia="Arial" w:hAnsi="Arial"/>
          <w:sz w:val="22"/>
          <w:szCs w:val="22"/>
          <w:color w:val="auto"/>
        </w:rPr>
        <w:t>The Phase 3 program with sarilumab (REGN88) in rheumatoid arthritis includes multiple trials. SARIL-RA-MOBILITY has completed enrollment and data are expected in early 2014. SARIL-RA-TARGET continues to enroll patients. SARIL-RA-COMPARE and SARIL-RA-ASCERTAIN were initiated during the second quarter of 2013. Additionally, a Phase 2 study, SARIL-NIU-SATURN, in non-infectious uveitis will commence in the third quarter of 2013. Sarilumab is being developed in collaboration with Sanofi.</w:t>
      </w:r>
    </w:p>
    <w:p>
      <w:pPr>
        <w:spacing w:after="0" w:line="4" w:lineRule="exact"/>
        <w:rPr>
          <w:rFonts w:ascii="Arial" w:cs="Arial" w:eastAsia="Arial" w:hAnsi="Arial"/>
          <w:sz w:val="25"/>
          <w:szCs w:val="25"/>
          <w:color w:val="auto"/>
        </w:rPr>
      </w:pPr>
    </w:p>
    <w:p>
      <w:pPr>
        <w:ind w:left="660" w:right="320" w:hanging="328"/>
        <w:spacing w:after="0" w:line="24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Two novel antibodies against undisclosed targets, REGN1193 and REGN2009, entered clinical development. REGN2009 is being developed in collaboration with Sanofi. Development of REGN846, which completed a Phase 1 study against an undisclosed target, has been discontinued.</w:t>
      </w:r>
    </w:p>
    <w:p>
      <w:pPr>
        <w:spacing w:after="0" w:line="1" w:lineRule="exact"/>
        <w:rPr>
          <w:rFonts w:ascii="Arial" w:cs="Arial" w:eastAsia="Arial" w:hAnsi="Arial"/>
          <w:sz w:val="22"/>
          <w:szCs w:val="22"/>
          <w:color w:val="auto"/>
        </w:rPr>
      </w:pPr>
    </w:p>
    <w:p>
      <w:pPr>
        <w:ind w:left="660" w:right="120" w:hanging="328"/>
        <w:spacing w:after="0" w:line="245"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May 2013, the Company made two $10 million up-front payments to Sanofi in connection with the acquisition of full rights to antibodies targeting the PDGF (platelet derived growth factor) family of receptors and ligands in ophthalmology and all other indications and to antibodies targeting the Ang2 receptor and ligand in ophthalmology. These antibodies were invested at Regeneron and previously included in the antibody collaboration with Sanofi.</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38" w:right="25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i w:val="1"/>
          <w:iCs w:val="1"/>
          <w:color w:val="auto"/>
        </w:rPr>
        <w:t>Second Quarter 2013 Financial Results</w:t>
      </w:r>
    </w:p>
    <w:p>
      <w:pPr>
        <w:spacing w:after="0" w:line="220"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b w:val="1"/>
          <w:bCs w:val="1"/>
          <w:color w:val="auto"/>
        </w:rPr>
        <w:t xml:space="preserve">Total Revenues: </w:t>
      </w:r>
      <w:r>
        <w:rPr>
          <w:rFonts w:ascii="Arial" w:cs="Arial" w:eastAsia="Arial" w:hAnsi="Arial"/>
          <w:sz w:val="22"/>
          <w:szCs w:val="22"/>
          <w:color w:val="auto"/>
        </w:rPr>
        <w:t>Total revenues were $458 million in the second quarter of 2013, compared to $304 million in the</w:t>
      </w:r>
      <w:r>
        <w:rPr>
          <w:rFonts w:ascii="Arial" w:cs="Arial" w:eastAsia="Arial" w:hAnsi="Arial"/>
          <w:sz w:val="22"/>
          <w:szCs w:val="22"/>
          <w:b w:val="1"/>
          <w:bCs w:val="1"/>
          <w:color w:val="auto"/>
        </w:rPr>
        <w:t xml:space="preserve"> </w:t>
      </w:r>
      <w:r>
        <w:rPr>
          <w:rFonts w:ascii="Arial" w:cs="Arial" w:eastAsia="Arial" w:hAnsi="Arial"/>
          <w:sz w:val="22"/>
          <w:szCs w:val="22"/>
          <w:color w:val="auto"/>
        </w:rPr>
        <w:t>second quarter of 2012. Total revenues include collaboration revenues of $117 million in the second quarter of 2013, compared to $98 million in the second quarter of 2012. Collaboration revenues in the second quarter of 2013 were reduced by two $10 million up-front payments made to Sanofi to acquire full rights to antibodies to PDGF and antibodies to Ang2 in opthalmology.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Product Revenues: </w:t>
      </w:r>
      <w:r>
        <w:rPr>
          <w:rFonts w:ascii="Arial" w:cs="Arial" w:eastAsia="Arial" w:hAnsi="Arial"/>
          <w:sz w:val="22"/>
          <w:szCs w:val="22"/>
          <w:color w:val="auto"/>
        </w:rPr>
        <w:t>Net product sales were $334 million in the second quarter of 2013, compared to $200 million in</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color w:val="auto"/>
        </w:rPr>
        <w:t>the second quarter of 2012. EYLEA net product sales were $330 million in the second quarter of 2013, compared to</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auto"/>
        </w:rPr>
        <w:t>$194 million in the second quarter of 2012. ARCALYST net product sales were $4 million in the second quarter of 2013,</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compared to $6 million in the second quarter of 2012.</w:t>
      </w:r>
    </w:p>
    <w:p>
      <w:pPr>
        <w:spacing w:after="0" w:line="194" w:lineRule="exact"/>
        <w:rPr>
          <w:sz w:val="20"/>
          <w:szCs w:val="20"/>
          <w:color w:val="auto"/>
        </w:rPr>
      </w:pPr>
    </w:p>
    <w:p>
      <w:pPr>
        <w:jc w:val="both"/>
        <w:ind w:right="460"/>
        <w:spacing w:after="0" w:line="251" w:lineRule="auto"/>
        <w:rPr>
          <w:sz w:val="20"/>
          <w:szCs w:val="20"/>
          <w:color w:val="auto"/>
        </w:rPr>
      </w:pPr>
      <w:r>
        <w:rPr>
          <w:rFonts w:ascii="Arial" w:cs="Arial" w:eastAsia="Arial" w:hAnsi="Arial"/>
          <w:sz w:val="22"/>
          <w:szCs w:val="22"/>
          <w:b w:val="1"/>
          <w:bCs w:val="1"/>
          <w:color w:val="auto"/>
        </w:rPr>
        <w:t xml:space="preserve">Research and Development (R&amp;D) Expenses: </w:t>
      </w:r>
      <w:r>
        <w:rPr>
          <w:rFonts w:ascii="Arial" w:cs="Arial" w:eastAsia="Arial" w:hAnsi="Arial"/>
          <w:sz w:val="22"/>
          <w:szCs w:val="22"/>
          <w:color w:val="auto"/>
        </w:rPr>
        <w:t>GAAP R&amp;D expenses were $187 million in the second quarter of</w:t>
      </w:r>
      <w:r>
        <w:rPr>
          <w:rFonts w:ascii="Arial" w:cs="Arial" w:eastAsia="Arial" w:hAnsi="Arial"/>
          <w:sz w:val="22"/>
          <w:szCs w:val="22"/>
          <w:b w:val="1"/>
          <w:bCs w:val="1"/>
          <w:color w:val="auto"/>
        </w:rPr>
        <w:t xml:space="preserve"> </w:t>
      </w:r>
      <w:r>
        <w:rPr>
          <w:rFonts w:ascii="Arial" w:cs="Arial" w:eastAsia="Arial" w:hAnsi="Arial"/>
          <w:sz w:val="22"/>
          <w:szCs w:val="22"/>
          <w:color w:val="auto"/>
        </w:rPr>
        <w:t>2013, compared to $147 million in the second quarter of 2012. The increase was principally due to increased R&amp;D activities, primarily related to the Company's antibody collaboration with Sanofi, higher R&amp;D headcount, and higher non-cash share-based compensation expense. In the second quarter of 2013, R&amp;D related non-cash share-based compensation expense was $28 million, compared to $11 million in the second quarter of 2012.</w:t>
      </w:r>
    </w:p>
    <w:p>
      <w:pPr>
        <w:spacing w:after="0" w:line="176"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b w:val="1"/>
          <w:bCs w:val="1"/>
          <w:color w:val="auto"/>
        </w:rPr>
        <w:t xml:space="preserve">Selling, General, and Administrative (SG&amp;A) Expenses: </w:t>
      </w:r>
      <w:r>
        <w:rPr>
          <w:rFonts w:ascii="Arial" w:cs="Arial" w:eastAsia="Arial" w:hAnsi="Arial"/>
          <w:sz w:val="22"/>
          <w:szCs w:val="22"/>
          <w:color w:val="auto"/>
        </w:rPr>
        <w:t>GAAP SG&amp;A expenses were $72 million in the second</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of 2013, compared to $48 million in the second quarter of 2012. The increase was primarily due to higher expenses in connection with commercialization of EYLEA and higher non-cash share-based compensation expense. In the second quarter of 2013, SG&amp;A related non-cash share-based compensation expense was $16 million, compared to $8 million in the second quarter of 2012.</w:t>
      </w:r>
    </w:p>
    <w:p>
      <w:pPr>
        <w:spacing w:after="0" w:line="176" w:lineRule="exact"/>
        <w:rPr>
          <w:sz w:val="20"/>
          <w:szCs w:val="20"/>
          <w:color w:val="auto"/>
        </w:rPr>
      </w:pPr>
    </w:p>
    <w:p>
      <w:pPr>
        <w:ind w:right="80"/>
        <w:spacing w:after="0" w:line="274" w:lineRule="auto"/>
        <w:rPr>
          <w:sz w:val="20"/>
          <w:szCs w:val="20"/>
          <w:color w:val="auto"/>
        </w:rPr>
      </w:pPr>
      <w:r>
        <w:rPr>
          <w:rFonts w:ascii="Arial" w:cs="Arial" w:eastAsia="Arial" w:hAnsi="Arial"/>
          <w:sz w:val="22"/>
          <w:szCs w:val="22"/>
          <w:b w:val="1"/>
          <w:bCs w:val="1"/>
          <w:color w:val="auto"/>
        </w:rPr>
        <w:t xml:space="preserve">Cost of Goods Sold (COGS): </w:t>
      </w:r>
      <w:r>
        <w:rPr>
          <w:rFonts w:ascii="Arial" w:cs="Arial" w:eastAsia="Arial" w:hAnsi="Arial"/>
          <w:sz w:val="22"/>
          <w:szCs w:val="22"/>
          <w:color w:val="auto"/>
        </w:rPr>
        <w:t>GAAP COGS was $27 million in the second quarter of 2013, compared to $22 million in</w:t>
      </w:r>
      <w:r>
        <w:rPr>
          <w:rFonts w:ascii="Arial" w:cs="Arial" w:eastAsia="Arial" w:hAnsi="Arial"/>
          <w:sz w:val="22"/>
          <w:szCs w:val="22"/>
          <w:b w:val="1"/>
          <w:bCs w:val="1"/>
          <w:color w:val="auto"/>
        </w:rPr>
        <w:t xml:space="preserve"> </w:t>
      </w:r>
      <w:r>
        <w:rPr>
          <w:rFonts w:ascii="Arial" w:cs="Arial" w:eastAsia="Arial" w:hAnsi="Arial"/>
          <w:sz w:val="22"/>
          <w:szCs w:val="22"/>
          <w:color w:val="auto"/>
        </w:rPr>
        <w:t>the second quarter of 2012. The increase was due to higher EYLEA sales in 2013.</w:t>
      </w:r>
    </w:p>
    <w:p>
      <w:pPr>
        <w:spacing w:after="0" w:line="192" w:lineRule="exact"/>
        <w:rPr>
          <w:sz w:val="20"/>
          <w:szCs w:val="20"/>
          <w:color w:val="auto"/>
        </w:rPr>
      </w:pPr>
    </w:p>
    <w:p>
      <w:pPr>
        <w:jc w:val="both"/>
        <w:ind w:right="720"/>
        <w:spacing w:after="0" w:line="258" w:lineRule="auto"/>
        <w:rPr>
          <w:sz w:val="20"/>
          <w:szCs w:val="20"/>
          <w:color w:val="auto"/>
        </w:rPr>
      </w:pPr>
      <w:r>
        <w:rPr>
          <w:rFonts w:ascii="Arial" w:cs="Arial" w:eastAsia="Arial" w:hAnsi="Arial"/>
          <w:sz w:val="22"/>
          <w:szCs w:val="22"/>
          <w:b w:val="1"/>
          <w:bCs w:val="1"/>
          <w:color w:val="auto"/>
        </w:rPr>
        <w:t xml:space="preserve">Cost of Collaboration Manufacturing: </w:t>
      </w:r>
      <w:r>
        <w:rPr>
          <w:rFonts w:ascii="Arial" w:cs="Arial" w:eastAsia="Arial" w:hAnsi="Arial"/>
          <w:sz w:val="22"/>
          <w:szCs w:val="22"/>
          <w:color w:val="auto"/>
        </w:rPr>
        <w:t>GAAP cost of collaboration manufacturing, which was $12 million in the</w:t>
      </w:r>
      <w:r>
        <w:rPr>
          <w:rFonts w:ascii="Arial" w:cs="Arial" w:eastAsia="Arial" w:hAnsi="Arial"/>
          <w:sz w:val="22"/>
          <w:szCs w:val="22"/>
          <w:b w:val="1"/>
          <w:bCs w:val="1"/>
          <w:color w:val="auto"/>
        </w:rPr>
        <w:t xml:space="preserve"> </w:t>
      </w:r>
      <w:r>
        <w:rPr>
          <w:rFonts w:ascii="Arial" w:cs="Arial" w:eastAsia="Arial" w:hAnsi="Arial"/>
          <w:sz w:val="22"/>
          <w:szCs w:val="22"/>
          <w:color w:val="auto"/>
        </w:rPr>
        <w:t>second quarter of 2013, primarily consisted of third party royalties, as well as costs in connection with producing commercial supplies of EYLEA for Bayer HealthCare and ZALTRAP for Sanofi.</w:t>
      </w:r>
    </w:p>
    <w:p>
      <w:pPr>
        <w:spacing w:after="0" w:line="170" w:lineRule="exact"/>
        <w:rPr>
          <w:sz w:val="20"/>
          <w:szCs w:val="20"/>
          <w:color w:val="auto"/>
        </w:rPr>
      </w:pPr>
    </w:p>
    <w:p>
      <w:pPr>
        <w:ind w:right="260"/>
        <w:spacing w:after="0" w:line="253" w:lineRule="auto"/>
        <w:rPr>
          <w:sz w:val="20"/>
          <w:szCs w:val="20"/>
          <w:color w:val="auto"/>
        </w:rPr>
      </w:pPr>
      <w:r>
        <w:rPr>
          <w:rFonts w:ascii="Arial" w:cs="Arial" w:eastAsia="Arial" w:hAnsi="Arial"/>
          <w:sz w:val="22"/>
          <w:szCs w:val="22"/>
          <w:b w:val="1"/>
          <w:bCs w:val="1"/>
          <w:color w:val="auto"/>
        </w:rPr>
        <w:t xml:space="preserve">Interest Expense: </w:t>
      </w:r>
      <w:r>
        <w:rPr>
          <w:rFonts w:ascii="Arial" w:cs="Arial" w:eastAsia="Arial" w:hAnsi="Arial"/>
          <w:sz w:val="22"/>
          <w:szCs w:val="22"/>
          <w:color w:val="auto"/>
        </w:rPr>
        <w:t>GAAP interest expense was $11 million in both the second quarter of 2013 and 2012, which</w:t>
      </w:r>
      <w:r>
        <w:rPr>
          <w:rFonts w:ascii="Arial" w:cs="Arial" w:eastAsia="Arial" w:hAnsi="Arial"/>
          <w:sz w:val="22"/>
          <w:szCs w:val="22"/>
          <w:b w:val="1"/>
          <w:bCs w:val="1"/>
          <w:color w:val="auto"/>
        </w:rPr>
        <w:t xml:space="preserve"> </w:t>
      </w:r>
      <w:r>
        <w:rPr>
          <w:rFonts w:ascii="Arial" w:cs="Arial" w:eastAsia="Arial" w:hAnsi="Arial"/>
          <w:sz w:val="22"/>
          <w:szCs w:val="22"/>
          <w:color w:val="auto"/>
        </w:rPr>
        <w:t>included $7 million related to the Company's convertible senior notes, which were issued in October 2011. Non-cash interest expense related to the convertible senior notes was $6 million in the second quarter of 2013 and $5 million in the second quarter of 2012.</w:t>
      </w:r>
    </w:p>
    <w:p>
      <w:pPr>
        <w:spacing w:after="0" w:line="176" w:lineRule="exact"/>
        <w:rPr>
          <w:sz w:val="20"/>
          <w:szCs w:val="20"/>
          <w:color w:val="auto"/>
        </w:rPr>
      </w:pPr>
    </w:p>
    <w:p>
      <w:pPr>
        <w:ind w:right="40"/>
        <w:spacing w:after="0" w:line="274" w:lineRule="auto"/>
        <w:rPr>
          <w:sz w:val="20"/>
          <w:szCs w:val="20"/>
          <w:color w:val="auto"/>
        </w:rPr>
      </w:pPr>
      <w:r>
        <w:rPr>
          <w:rFonts w:ascii="Arial" w:cs="Arial" w:eastAsia="Arial" w:hAnsi="Arial"/>
          <w:sz w:val="22"/>
          <w:szCs w:val="22"/>
          <w:b w:val="1"/>
          <w:bCs w:val="1"/>
          <w:color w:val="auto"/>
        </w:rPr>
        <w:t xml:space="preserve">Income Tax Expense: </w:t>
      </w:r>
      <w:r>
        <w:rPr>
          <w:rFonts w:ascii="Arial" w:cs="Arial" w:eastAsia="Arial" w:hAnsi="Arial"/>
          <w:sz w:val="22"/>
          <w:szCs w:val="22"/>
          <w:color w:val="auto"/>
        </w:rPr>
        <w:t>GAAP income tax expense was $60 million in the second quarter of 2013. The effective tax rate</w:t>
      </w:r>
      <w:r>
        <w:rPr>
          <w:rFonts w:ascii="Arial" w:cs="Arial" w:eastAsia="Arial" w:hAnsi="Arial"/>
          <w:sz w:val="22"/>
          <w:szCs w:val="22"/>
          <w:b w:val="1"/>
          <w:bCs w:val="1"/>
          <w:color w:val="auto"/>
        </w:rPr>
        <w:t xml:space="preserve"> </w:t>
      </w:r>
      <w:r>
        <w:rPr>
          <w:rFonts w:ascii="Arial" w:cs="Arial" w:eastAsia="Arial" w:hAnsi="Arial"/>
          <w:sz w:val="22"/>
          <w:szCs w:val="22"/>
          <w:color w:val="auto"/>
        </w:rPr>
        <w:t>was 40.8% for the quarter.</w:t>
      </w:r>
    </w:p>
    <w:p>
      <w:pPr>
        <w:spacing w:after="0" w:line="178" w:lineRule="exact"/>
        <w:rPr>
          <w:sz w:val="20"/>
          <w:szCs w:val="20"/>
          <w:color w:val="auto"/>
        </w:rPr>
      </w:pPr>
    </w:p>
    <w:p>
      <w:pPr>
        <w:ind w:right="40"/>
        <w:spacing w:after="0" w:line="245" w:lineRule="auto"/>
        <w:rPr>
          <w:sz w:val="20"/>
          <w:szCs w:val="20"/>
          <w:color w:val="auto"/>
        </w:rPr>
      </w:pPr>
      <w:r>
        <w:rPr>
          <w:rFonts w:ascii="Arial" w:cs="Arial" w:eastAsia="Arial" w:hAnsi="Arial"/>
          <w:sz w:val="22"/>
          <w:szCs w:val="22"/>
          <w:color w:val="auto"/>
        </w:rPr>
        <w:t>In the second quarter of 2012, the Company did not recognize any income tax provision because it continued to recognize a full valuation allowance against its net operating loss carry-forward and other deferred tax assets. In the fourth quarter of 2012, the Company recorded an income tax benefit attributable to the release of substantially all of the valuation allowance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8" w:name="page9"/>
    <w:bookmarkEnd w:id="8"/>
    <w:p>
      <w:pPr>
        <w:jc w:val="both"/>
        <w:ind w:right="560"/>
        <w:spacing w:after="0" w:line="264" w:lineRule="auto"/>
        <w:rPr>
          <w:sz w:val="20"/>
          <w:szCs w:val="20"/>
          <w:color w:val="auto"/>
        </w:rPr>
      </w:pPr>
      <w:r>
        <w:rPr>
          <w:rFonts w:ascii="Arial" w:cs="Arial" w:eastAsia="Arial" w:hAnsi="Arial"/>
          <w:sz w:val="21"/>
          <w:szCs w:val="21"/>
          <w:color w:val="auto"/>
        </w:rPr>
        <w:t>against the Company's deferred tax assets. Starting in 2013, the Company has recorded income taxes on GAAP income using an estimated effective tax rate. Non-GAAP net income excludes non-cash income tax expense. The Company does not currently pay, or expect to pay in the near future, significant cash income taxes.</w:t>
      </w:r>
    </w:p>
    <w:p>
      <w:pPr>
        <w:spacing w:after="0" w:line="163"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b w:val="1"/>
          <w:bCs w:val="1"/>
          <w:color w:val="auto"/>
        </w:rPr>
        <w:t xml:space="preserve">Non-GAAP and GAAP Net Income: </w:t>
      </w:r>
      <w:r>
        <w:rPr>
          <w:rFonts w:ascii="Arial" w:cs="Arial" w:eastAsia="Arial" w:hAnsi="Arial"/>
          <w:sz w:val="22"/>
          <w:szCs w:val="22"/>
          <w:color w:val="auto"/>
        </w:rPr>
        <w:t>The Company reported non-GAAP net income of $198 million, or $2.02 per basic</w:t>
      </w:r>
      <w:r>
        <w:rPr>
          <w:rFonts w:ascii="Arial" w:cs="Arial" w:eastAsia="Arial" w:hAnsi="Arial"/>
          <w:sz w:val="22"/>
          <w:szCs w:val="22"/>
          <w:b w:val="1"/>
          <w:bCs w:val="1"/>
          <w:color w:val="auto"/>
        </w:rPr>
        <w:t xml:space="preserve"> </w:t>
      </w:r>
      <w:r>
        <w:rPr>
          <w:rFonts w:ascii="Arial" w:cs="Arial" w:eastAsia="Arial" w:hAnsi="Arial"/>
          <w:sz w:val="22"/>
          <w:szCs w:val="22"/>
          <w:color w:val="auto"/>
        </w:rPr>
        <w:t>share and $1.73 per diluted share, in the second quarter of 2013, compared to non-GAAP net income of $102 million, or $1.07 per basic share and $0.90 per diluted share, in the second quarter of 2012. Non-GAAP net income excludes non-cash share-based compensation expense, non-cash interest expense related to the convertible senior notes, and non-cash income tax expense.</w:t>
      </w:r>
    </w:p>
    <w:p>
      <w:pPr>
        <w:spacing w:after="0" w:line="202" w:lineRule="exact"/>
        <w:rPr>
          <w:sz w:val="20"/>
          <w:szCs w:val="20"/>
          <w:color w:val="auto"/>
        </w:rPr>
      </w:pPr>
    </w:p>
    <w:p>
      <w:pPr>
        <w:jc w:val="both"/>
        <w:ind w:right="220"/>
        <w:spacing w:after="0" w:line="246" w:lineRule="auto"/>
        <w:rPr>
          <w:sz w:val="20"/>
          <w:szCs w:val="20"/>
          <w:color w:val="auto"/>
        </w:rPr>
      </w:pPr>
      <w:r>
        <w:rPr>
          <w:rFonts w:ascii="Arial" w:cs="Arial" w:eastAsia="Arial" w:hAnsi="Arial"/>
          <w:sz w:val="22"/>
          <w:szCs w:val="22"/>
          <w:color w:val="auto"/>
        </w:rPr>
        <w:t>The Company reported GAAP net income of $87 million, or $0.89 per basic share and $0.79 per diluted share, in the second quarter of 2013, compared to GAAP net income of $77 million, or $0.81 per basic share and $0.70 per diluted share, in the second quarter of 2012.</w:t>
      </w:r>
    </w:p>
    <w:p>
      <w:pPr>
        <w:spacing w:after="0" w:line="182" w:lineRule="exact"/>
        <w:rPr>
          <w:sz w:val="20"/>
          <w:szCs w:val="20"/>
          <w:color w:val="auto"/>
        </w:rPr>
      </w:pPr>
    </w:p>
    <w:p>
      <w:pPr>
        <w:ind w:right="120"/>
        <w:spacing w:after="0" w:line="253" w:lineRule="auto"/>
        <w:rPr>
          <w:sz w:val="20"/>
          <w:szCs w:val="20"/>
          <w:color w:val="auto"/>
        </w:rPr>
      </w:pPr>
      <w:r>
        <w:rPr>
          <w:rFonts w:ascii="Arial" w:cs="Arial" w:eastAsia="Arial" w:hAnsi="Arial"/>
          <w:sz w:val="22"/>
          <w:szCs w:val="22"/>
          <w:b w:val="1"/>
          <w:bCs w:val="1"/>
          <w:color w:val="auto"/>
        </w:rPr>
        <w:t xml:space="preserve">Cash Position: </w:t>
      </w:r>
      <w:r>
        <w:rPr>
          <w:rFonts w:ascii="Arial" w:cs="Arial" w:eastAsia="Arial" w:hAnsi="Arial"/>
          <w:sz w:val="22"/>
          <w:szCs w:val="22"/>
          <w:color w:val="auto"/>
        </w:rPr>
        <w:t>At June 30, 2013, cash and marketable securities totaled $711 million, compared to $588 million</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$8 million of restricted cash and marketable securities) at December 31, 2012. In addition, accounts receivable related to sales of EYLEA totaled $766 million at June 30, 2013, compared to $592 million at December 31, 2012.</w:t>
      </w:r>
    </w:p>
    <w:p>
      <w:pPr>
        <w:spacing w:after="0" w:line="176" w:lineRule="exact"/>
        <w:rPr>
          <w:sz w:val="20"/>
          <w:szCs w:val="20"/>
          <w:color w:val="auto"/>
        </w:rPr>
      </w:pPr>
    </w:p>
    <w:p>
      <w:pPr>
        <w:spacing w:after="0" w:line="245" w:lineRule="auto"/>
        <w:rPr>
          <w:sz w:val="20"/>
          <w:szCs w:val="20"/>
          <w:color w:val="auto"/>
        </w:rPr>
      </w:pPr>
      <w:r>
        <w:rPr>
          <w:rFonts w:ascii="Arial" w:cs="Arial" w:eastAsia="Arial" w:hAnsi="Arial"/>
          <w:sz w:val="22"/>
          <w:szCs w:val="22"/>
          <w:b w:val="1"/>
          <w:bCs w:val="1"/>
          <w:color w:val="auto"/>
        </w:rPr>
        <w:t xml:space="preserve">Use of Non-GAAP Financial Measures: </w:t>
      </w:r>
      <w:r>
        <w:rPr>
          <w:rFonts w:ascii="Arial" w:cs="Arial" w:eastAsia="Arial" w:hAnsi="Arial"/>
          <w:sz w:val="22"/>
          <w:szCs w:val="22"/>
          <w:color w:val="auto"/>
        </w:rPr>
        <w:t>The Company believes that the presentation of non-GAAP measures is</w:t>
      </w:r>
      <w:r>
        <w:rPr>
          <w:rFonts w:ascii="Arial" w:cs="Arial" w:eastAsia="Arial" w:hAnsi="Arial"/>
          <w:sz w:val="22"/>
          <w:szCs w:val="22"/>
          <w:b w:val="1"/>
          <w:bCs w:val="1"/>
          <w:color w:val="auto"/>
        </w:rPr>
        <w:t xml:space="preserve"> </w:t>
      </w:r>
      <w:r>
        <w:rPr>
          <w:rFonts w:ascii="Arial" w:cs="Arial" w:eastAsia="Arial" w:hAnsi="Arial"/>
          <w:sz w:val="22"/>
          <w:szCs w:val="22"/>
          <w:color w:val="auto"/>
        </w:rPr>
        <w:t>useful to investors because it excludes (i) non-cash share-based compensation expense which fluctuates from period to period based on factors that are not within the Company's control, such as the Company's stock price on the dates share-based grants are issued, (ii) non-cash interest expense related to the Company's convertible senior notes since this is not deemed useful in evaluating the Company's operating performance, and (iii) non-cash income tax expense, since the Company does not currently pay, or expect to pay in the near future, significant cash income taxes due primarily to the utilization of net operating loss and tax credit carry-forwards; therefore, non-cash income tax expense is not deemed useful in evaluating the Company's operating performance. Furthermore, management uses these non-GAAP measures for planning, budgeting, forecasting, assessing historical performance, and making financial and operational decisions, and also provides forecasts to investors on this basis. However, there are limitations in the use of these non-GAAP financial measures as they exclude certain expenses that are recurring in nature. Furthermore, the Company's non-GAAP financial measures may not be comparable with non-GAAP information provided by other companies. The non-GAAP financial measures should be considered supplemental to, and not a substitute for, measures of financial performance prepared in accordance with GAAP. A reconciliation of the Company's GAAP to non-GAAP results is included in Table 3 of this press release.</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Information</w:t>
      </w:r>
    </w:p>
    <w:p>
      <w:pPr>
        <w:spacing w:after="0" w:line="246" w:lineRule="exact"/>
        <w:rPr>
          <w:sz w:val="20"/>
          <w:szCs w:val="20"/>
          <w:color w:val="auto"/>
        </w:rPr>
      </w:pPr>
    </w:p>
    <w:p>
      <w:pPr>
        <w:ind w:right="120"/>
        <w:spacing w:after="0" w:line="245" w:lineRule="auto"/>
        <w:rPr>
          <w:sz w:val="20"/>
          <w:szCs w:val="20"/>
          <w:color w:val="auto"/>
        </w:rPr>
      </w:pPr>
      <w:r>
        <w:rPr>
          <w:rFonts w:ascii="Arial" w:cs="Arial" w:eastAsia="Arial" w:hAnsi="Arial"/>
          <w:sz w:val="22"/>
          <w:szCs w:val="22"/>
          <w:color w:val="auto"/>
        </w:rPr>
        <w:t xml:space="preserve">Regeneron will host a conference call and simultaneous webcast to discuss its second quarter 2013 financial and operating results on Tuesday, August 6, 2013, at 8:30 AM. To access this call, dial (888) 660-6127 (U.S.) or (973) 890-8355 (International). A link to the webcast may be accessed from the 'Events and Presentations' page of Regeneron's website at </w:t>
      </w:r>
      <w:r>
        <w:rPr>
          <w:rFonts w:ascii="Arial" w:cs="Arial" w:eastAsia="Arial" w:hAnsi="Arial"/>
          <w:sz w:val="22"/>
          <w:szCs w:val="22"/>
          <w:u w:val="single" w:color="auto"/>
          <w:color w:val="0000FF"/>
        </w:rPr>
        <w:t>www.regeneron.com</w:t>
      </w:r>
      <w:r>
        <w:rPr>
          <w:rFonts w:ascii="Arial" w:cs="Arial" w:eastAsia="Arial" w:hAnsi="Arial"/>
          <w:sz w:val="22"/>
          <w:szCs w:val="22"/>
          <w:color w:val="auto"/>
        </w:rPr>
        <w:t>. A replay of the conference call and webcast will be archived on the Company's website and will be available for 30 days.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06"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About Regeneron Pharmaceuticals</w:t>
      </w:r>
    </w:p>
    <w:p>
      <w:pPr>
        <w:spacing w:after="0" w:line="246" w:lineRule="exact"/>
        <w:rPr>
          <w:sz w:val="20"/>
          <w:szCs w:val="20"/>
          <w:color w:val="auto"/>
        </w:rPr>
      </w:pPr>
    </w:p>
    <w:p>
      <w:pPr>
        <w:ind w:right="140"/>
        <w:spacing w:after="0" w:line="244" w:lineRule="auto"/>
        <w:rPr>
          <w:sz w:val="20"/>
          <w:szCs w:val="20"/>
          <w:color w:val="auto"/>
        </w:rPr>
      </w:pPr>
      <w:r>
        <w:rPr>
          <w:rFonts w:ascii="Arial" w:cs="Arial" w:eastAsia="Arial" w:hAnsi="Arial"/>
          <w:sz w:val="22"/>
          <w:szCs w:val="22"/>
          <w:color w:val="auto"/>
        </w:rPr>
        <w:t xml:space="preserve">Regeneron is a leading science-based biopharmaceutical company based in Tarrytown, New York that discovers, invents, develops, manufactures, and commercializes medicines for the treatment of serious medical conditions. Regeneron markets medicines for eye diseases, colorectal cancer, and a rare inflammatory condition and has product candidates in development in other areas of high unmet medical need, including hypercholesterolemia, oncology, rheumatoid arthritis, allergic asthma, and atopic dermatitis. For additional information about the company, please visit </w:t>
      </w:r>
      <w:r>
        <w:rPr>
          <w:rFonts w:ascii="Arial" w:cs="Arial" w:eastAsia="Arial" w:hAnsi="Arial"/>
          <w:sz w:val="22"/>
          <w:szCs w:val="22"/>
          <w:u w:val="single" w:color="auto"/>
          <w:color w:val="0000FF"/>
        </w:rPr>
        <w:t>www.regeneron.com</w:t>
      </w:r>
      <w:r>
        <w:rPr>
          <w:rFonts w:ascii="Arial" w:cs="Arial" w:eastAsia="Arial" w:hAnsi="Arial"/>
          <w:sz w:val="22"/>
          <w:szCs w:val="22"/>
          <w:color w:val="000000"/>
        </w:rPr>
        <w: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Regeneron Forward-Looking Statement</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This news release includes forward-looking statements that involve risks and uncertainties relating to future events and the future financial performance of Regeneron, and actual events or results may differ materially from these forward-looking statements. These statements concern, and these risks and uncertainties include, among others, the nature, timing, and possible success and therapeutic applications of Regeneron's products, product candidates, and research and clinical programs now underway or planned, including without limitation EYLEA</w:t>
      </w:r>
      <w:r>
        <w:rPr>
          <w:rFonts w:ascii="Arial" w:cs="Arial" w:eastAsia="Arial" w:hAnsi="Arial"/>
          <w:sz w:val="28"/>
          <w:szCs w:val="28"/>
          <w:color w:val="auto"/>
          <w:vertAlign w:val="superscript"/>
        </w:rPr>
        <w:t>®</w:t>
      </w:r>
      <w:r>
        <w:rPr>
          <w:rFonts w:ascii="Arial" w:cs="Arial" w:eastAsia="Arial" w:hAnsi="Arial"/>
          <w:sz w:val="22"/>
          <w:szCs w:val="22"/>
          <w:color w:val="auto"/>
        </w:rPr>
        <w:t xml:space="preserve"> (aflibercept); unforeseen safety issues resulting from the administration of products and product candidates in patients; the likelihood and timing of possible regulatory approval and commercial launch of Regeneron's late-stage product candidates; determinations by regulatory and administrative governmental authorities which may delay or restrict Regeneron's ability to continue to develop or commercialize Regeneron's products and product candidates; competing drugs and product candidates that may be superior to Regeneron's products and product candidates; uncertainty of market acceptance of Regeneron's products and product candidates; the ability of Regeneron to manufacture and manage supply chains for multiple products and product candidates; coverage and reimbursement determinations by third-party payers, including Medicare and Medicaid; unanticipated expenses; the costs of developing, producing, and selling products; the ability of Regeneron to meet any of its sales or other financial projections or guidance and changes to the assumptions underlying those projections or guidance; the potential for any license or collaboration agreement, including Regeneron's agreements with Sanofi and Bayer HealthCare, to be canceled or terminated without any further product success; and risks associated with third party intellectual property and pending or future litigation relating thereto. A more complete description of these and other material risks can be found in Regeneron's filings with the United States Securities and Exchange Commission, including its Form 10-K for the year ended December 31, 2012. Regeneron does not undertake any obligation to update publicly any forward-looking statement, including without limitation any financial projection or guidance, whether as a result of new information, future events, or otherwise, unless required by law.</w:t>
      </w:r>
    </w:p>
    <w:p>
      <w:pPr>
        <w:spacing w:after="0" w:line="200" w:lineRule="exact"/>
        <w:rPr>
          <w:sz w:val="20"/>
          <w:szCs w:val="20"/>
          <w:color w:val="auto"/>
        </w:rPr>
      </w:pPr>
    </w:p>
    <w:p>
      <w:pPr>
        <w:spacing w:after="0" w:line="221" w:lineRule="exact"/>
        <w:rPr>
          <w:sz w:val="20"/>
          <w:szCs w:val="20"/>
          <w:color w:val="auto"/>
        </w:rPr>
      </w:pPr>
    </w:p>
    <w:p>
      <w:pPr>
        <w:jc w:val="both"/>
        <w:ind w:right="80"/>
        <w:spacing w:after="0" w:line="294" w:lineRule="auto"/>
        <w:rPr>
          <w:sz w:val="20"/>
          <w:szCs w:val="20"/>
          <w:color w:val="auto"/>
        </w:rPr>
      </w:pPr>
      <w:r>
        <w:rPr>
          <w:rFonts w:ascii="Arial" w:cs="Arial" w:eastAsia="Arial" w:hAnsi="Arial"/>
          <w:sz w:val="21"/>
          <w:szCs w:val="21"/>
          <w:i w:val="1"/>
          <w:iCs w:val="1"/>
          <w:color w:val="auto"/>
        </w:rPr>
        <w:t>This news release and/or the financial results attached to this news release include amounts that are considered “non-GAAP financial measures” under SEC rules. As required, Regeneron has provided reconciliations of these measures.</w:t>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580" w:right="27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Contact Information:</w:t>
      </w:r>
    </w:p>
    <w:p>
      <w:pPr>
        <w:sectPr>
          <w:pgSz w:w="11900" w:h="16838" w:orient="portrait"/>
          <w:cols w:equalWidth="0" w:num="1">
            <w:col w:w="10179"/>
          </w:cols>
          <w:pgMar w:left="280" w:top="751" w:right="1440" w:bottom="1440" w:gutter="0" w:footer="0" w:header="0"/>
        </w:sect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Manisha Narasimhan, Ph.D.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914-847-5126</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manisha.narasimhan@regeneron.com</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Peter Dworkin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Corporate Communications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914-847-7640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peter.dworkin@regeneron.com</w:t>
      </w:r>
    </w:p>
    <w:p>
      <w:pPr>
        <w:spacing w:after="0" w:line="200" w:lineRule="exact"/>
        <w:rPr>
          <w:sz w:val="20"/>
          <w:szCs w:val="20"/>
          <w:color w:val="auto"/>
        </w:rPr>
      </w:pPr>
    </w:p>
    <w:p>
      <w:pPr>
        <w:sectPr>
          <w:pgSz w:w="11900" w:h="16838" w:orient="portrait"/>
          <w:cols w:equalWidth="0" w:num="2">
            <w:col w:w="4900" w:space="720"/>
            <w:col w:w="4559"/>
          </w:cols>
          <w:pgMar w:left="280" w:top="75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179"/>
          </w:cols>
          <w:pgMar w:left="280" w:top="751" w:right="1440"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color w:val="auto"/>
        </w:rPr>
        <w:t>TABLE 1</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160"/>
              <w:spacing w:after="0"/>
              <w:rPr>
                <w:sz w:val="20"/>
                <w:szCs w:val="20"/>
                <w:color w:val="auto"/>
              </w:rPr>
            </w:pPr>
            <w:r>
              <w:rPr>
                <w:rFonts w:ascii="Arial" w:cs="Arial" w:eastAsia="Arial" w:hAnsi="Arial"/>
                <w:sz w:val="18"/>
                <w:szCs w:val="18"/>
                <w:color w:val="auto"/>
              </w:rPr>
              <w:t>Cash, restricted cash, and marketable securities</w:t>
            </w:r>
          </w:p>
        </w:tc>
        <w:tc>
          <w:tcPr>
            <w:tcW w:w="36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710,834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587,511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receivable - trade, net</w:t>
            </w:r>
          </w:p>
        </w:tc>
        <w:tc>
          <w:tcPr>
            <w:tcW w:w="3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767,865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593,207</w:t>
            </w:r>
          </w:p>
        </w:tc>
        <w:tc>
          <w:tcPr>
            <w:tcW w:w="0" w:type="dxa"/>
            <w:vAlign w:val="bottom"/>
          </w:tcPr>
          <w:p>
            <w:pPr>
              <w:spacing w:after="0"/>
              <w:rPr>
                <w:sz w:val="1"/>
                <w:szCs w:val="1"/>
                <w:color w:val="auto"/>
              </w:rPr>
            </w:pPr>
          </w:p>
        </w:tc>
      </w:tr>
      <w:tr>
        <w:trPr>
          <w:trHeight w:val="243"/>
        </w:trPr>
        <w:tc>
          <w:tcPr>
            <w:tcW w:w="4960" w:type="dxa"/>
            <w:vAlign w:val="bottom"/>
          </w:tcPr>
          <w:p>
            <w:pPr>
              <w:ind w:left="160"/>
              <w:spacing w:after="0"/>
              <w:rPr>
                <w:sz w:val="20"/>
                <w:szCs w:val="20"/>
                <w:color w:val="auto"/>
              </w:rPr>
            </w:pPr>
            <w:r>
              <w:rPr>
                <w:rFonts w:ascii="Arial" w:cs="Arial" w:eastAsia="Arial" w:hAnsi="Arial"/>
                <w:sz w:val="18"/>
                <w:szCs w:val="18"/>
                <w:color w:val="auto"/>
              </w:rPr>
              <w:t>Accounts receivable from Sanofi</w:t>
            </w:r>
          </w:p>
        </w:tc>
        <w:tc>
          <w:tcPr>
            <w:tcW w:w="3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108,151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99,913</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tax assets</w:t>
            </w:r>
          </w:p>
        </w:tc>
        <w:tc>
          <w:tcPr>
            <w:tcW w:w="3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247,634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340,156</w:t>
            </w:r>
          </w:p>
        </w:tc>
        <w:tc>
          <w:tcPr>
            <w:tcW w:w="0" w:type="dxa"/>
            <w:vAlign w:val="bottom"/>
          </w:tcPr>
          <w:p>
            <w:pPr>
              <w:spacing w:after="0"/>
              <w:rPr>
                <w:sz w:val="1"/>
                <w:szCs w:val="1"/>
                <w:color w:val="auto"/>
              </w:rPr>
            </w:pPr>
          </w:p>
        </w:tc>
      </w:tr>
      <w:tr>
        <w:trPr>
          <w:trHeight w:val="243"/>
        </w:trPr>
        <w:tc>
          <w:tcPr>
            <w:tcW w:w="496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3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419,651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379,940</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33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124,124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79,763</w:t>
            </w:r>
          </w:p>
        </w:tc>
        <w:tc>
          <w:tcPr>
            <w:tcW w:w="0" w:type="dxa"/>
            <w:vAlign w:val="bottom"/>
          </w:tcPr>
          <w:p>
            <w:pPr>
              <w:spacing w:after="0"/>
              <w:rPr>
                <w:sz w:val="1"/>
                <w:szCs w:val="1"/>
                <w:color w:val="auto"/>
              </w:rPr>
            </w:pPr>
          </w:p>
        </w:tc>
      </w:tr>
      <w:tr>
        <w:trPr>
          <w:trHeight w:val="297"/>
        </w:trPr>
        <w:tc>
          <w:tcPr>
            <w:tcW w:w="49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assets</w:t>
            </w:r>
          </w:p>
        </w:tc>
        <w:tc>
          <w:tcPr>
            <w:tcW w:w="334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2,378,259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2,080,490</w:t>
            </w:r>
          </w:p>
        </w:tc>
        <w:tc>
          <w:tcPr>
            <w:tcW w:w="0" w:type="dxa"/>
            <w:vAlign w:val="bottom"/>
          </w:tcPr>
          <w:p>
            <w:pPr>
              <w:spacing w:after="0"/>
              <w:rPr>
                <w:sz w:val="1"/>
                <w:szCs w:val="1"/>
                <w:color w:val="auto"/>
              </w:rPr>
            </w:pPr>
          </w:p>
        </w:tc>
      </w:tr>
      <w:tr>
        <w:trPr>
          <w:trHeight w:val="311"/>
        </w:trPr>
        <w:tc>
          <w:tcPr>
            <w:tcW w:w="4960" w:type="dxa"/>
            <w:vAlign w:val="bottom"/>
            <w:shd w:val="clear" w:color="auto" w:fill="CCEEFF"/>
          </w:tcPr>
          <w:p>
            <w:pPr>
              <w:spacing w:after="0"/>
              <w:rPr>
                <w:sz w:val="24"/>
                <w:szCs w:val="24"/>
                <w:color w:val="auto"/>
              </w:rPr>
            </w:pPr>
          </w:p>
        </w:tc>
        <w:tc>
          <w:tcPr>
            <w:tcW w:w="3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Liabilities and stockholders' equity:</w:t>
            </w:r>
          </w:p>
        </w:tc>
        <w:tc>
          <w:tcPr>
            <w:tcW w:w="3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payable, accrued expenses, and other liabilities</w:t>
            </w:r>
          </w:p>
        </w:tc>
        <w:tc>
          <w:tcPr>
            <w:tcW w:w="36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164,026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118,604</w:t>
            </w:r>
          </w:p>
        </w:tc>
        <w:tc>
          <w:tcPr>
            <w:tcW w:w="0" w:type="dxa"/>
            <w:vAlign w:val="bottom"/>
          </w:tcPr>
          <w:p>
            <w:pPr>
              <w:spacing w:after="0"/>
              <w:rPr>
                <w:sz w:val="1"/>
                <w:szCs w:val="1"/>
                <w:color w:val="auto"/>
              </w:rPr>
            </w:pPr>
          </w:p>
        </w:tc>
      </w:tr>
      <w:tr>
        <w:trPr>
          <w:trHeight w:val="243"/>
        </w:trPr>
        <w:tc>
          <w:tcPr>
            <w:tcW w:w="496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3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247,594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259,173</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Facility lease obligations</w:t>
            </w:r>
          </w:p>
        </w:tc>
        <w:tc>
          <w:tcPr>
            <w:tcW w:w="3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165,186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160,810</w:t>
            </w:r>
          </w:p>
        </w:tc>
        <w:tc>
          <w:tcPr>
            <w:tcW w:w="0" w:type="dxa"/>
            <w:vAlign w:val="bottom"/>
          </w:tcPr>
          <w:p>
            <w:pPr>
              <w:spacing w:after="0"/>
              <w:rPr>
                <w:sz w:val="1"/>
                <w:szCs w:val="1"/>
                <w:color w:val="auto"/>
              </w:rPr>
            </w:pPr>
          </w:p>
        </w:tc>
      </w:tr>
      <w:tr>
        <w:trPr>
          <w:trHeight w:val="243"/>
        </w:trPr>
        <w:tc>
          <w:tcPr>
            <w:tcW w:w="4960" w:type="dxa"/>
            <w:vAlign w:val="bottom"/>
          </w:tcPr>
          <w:p>
            <w:pPr>
              <w:ind w:left="160"/>
              <w:spacing w:after="0"/>
              <w:rPr>
                <w:sz w:val="20"/>
                <w:szCs w:val="20"/>
                <w:color w:val="auto"/>
              </w:rPr>
            </w:pPr>
            <w:r>
              <w:rPr>
                <w:rFonts w:ascii="Arial" w:cs="Arial" w:eastAsia="Arial" w:hAnsi="Arial"/>
                <w:sz w:val="18"/>
                <w:szCs w:val="18"/>
                <w:color w:val="auto"/>
              </w:rPr>
              <w:t>Convertible senior notes</w:t>
            </w:r>
          </w:p>
        </w:tc>
        <w:tc>
          <w:tcPr>
            <w:tcW w:w="3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308,116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296,518</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Stockholders' equity</w:t>
            </w:r>
          </w:p>
        </w:tc>
        <w:tc>
          <w:tcPr>
            <w:tcW w:w="33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1,493,337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1,245,385</w:t>
            </w:r>
          </w:p>
        </w:tc>
        <w:tc>
          <w:tcPr>
            <w:tcW w:w="0" w:type="dxa"/>
            <w:vAlign w:val="bottom"/>
          </w:tcPr>
          <w:p>
            <w:pPr>
              <w:spacing w:after="0"/>
              <w:rPr>
                <w:sz w:val="1"/>
                <w:szCs w:val="1"/>
                <w:color w:val="auto"/>
              </w:rPr>
            </w:pPr>
          </w:p>
        </w:tc>
      </w:tr>
      <w:tr>
        <w:trPr>
          <w:trHeight w:val="257"/>
        </w:trPr>
        <w:tc>
          <w:tcPr>
            <w:tcW w:w="4960" w:type="dxa"/>
            <w:vAlign w:val="bottom"/>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33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2,378,259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2,080,490</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340" w:type="dxa"/>
            <w:vAlign w:val="bottom"/>
            <w:vMerge w:val="restart"/>
          </w:tcPr>
          <w:p>
            <w:pPr>
              <w:jc w:val="right"/>
              <w:ind w:right="2490"/>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96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016"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TABLE 2</w:t>
      </w:r>
    </w:p>
    <w:p>
      <w:pPr>
        <w:spacing w:after="0" w:line="221" w:lineRule="exact"/>
        <w:rPr>
          <w:sz w:val="20"/>
          <w:szCs w:val="20"/>
          <w:color w:val="auto"/>
        </w:rPr>
      </w:pPr>
    </w:p>
    <w:p>
      <w:pPr>
        <w:jc w:val="center"/>
        <w:ind w:left="260" w:right="2520"/>
        <w:spacing w:after="0" w:line="266" w:lineRule="auto"/>
        <w:rPr>
          <w:sz w:val="20"/>
          <w:szCs w:val="20"/>
          <w:color w:val="auto"/>
        </w:rPr>
      </w:pPr>
      <w:r>
        <w:rPr>
          <w:rFonts w:ascii="Arial" w:cs="Arial" w:eastAsia="Arial" w:hAnsi="Arial"/>
          <w:sz w:val="18"/>
          <w:szCs w:val="18"/>
          <w:b w:val="1"/>
          <w:bCs w:val="1"/>
          <w:color w:val="auto"/>
        </w:rPr>
        <w:t xml:space="preserve">REGENERON PHARMACEUTICALS, INC. CONDENSED CONSOLIDATED STATEMENTS OF OPERATIONS (Unaudited) </w:t>
      </w:r>
      <w:r>
        <w:rPr>
          <w:rFonts w:ascii="Arial" w:cs="Arial" w:eastAsia="Arial" w:hAnsi="Arial"/>
          <w:sz w:val="18"/>
          <w:szCs w:val="18"/>
          <w:b w:val="1"/>
          <w:bCs w:val="1"/>
          <w:i w:val="1"/>
          <w:iCs w:val="1"/>
          <w:color w:val="auto"/>
        </w:rPr>
        <w:t>(In thousands, except per share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252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r>
      <w:tr>
        <w:trPr>
          <w:trHeight w:val="270"/>
        </w:trPr>
        <w:tc>
          <w:tcPr>
            <w:tcW w:w="5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Net product sales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333,893</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199,519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652,633</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327,450</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Sanofi collaboration revenue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85,529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88,988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184,802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173,993</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Bayer HealthCare collaboration revenue</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31,104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9,124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46,011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21,607</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Technology licensing</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11,786</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1,223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2,074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1,352</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457,642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304,399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897,306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536,188</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Expenses: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187,463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147,373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367,762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286,235</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72,463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47,705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149,723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106,133</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55,304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34,141</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Cost of collaboration manufacturing</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12,330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13,364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299,539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216,921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586,153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426,509</w:t>
            </w:r>
          </w:p>
        </w:tc>
      </w:tr>
      <w:tr>
        <w:trPr>
          <w:trHeight w:val="318"/>
        </w:trPr>
        <w:tc>
          <w:tcPr>
            <w:tcW w:w="56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158,103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87,478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311,153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109,679</w:t>
            </w:r>
          </w:p>
        </w:tc>
      </w:tr>
      <w:tr>
        <w:trPr>
          <w:trHeight w:val="318"/>
        </w:trPr>
        <w:tc>
          <w:tcPr>
            <w:tcW w:w="56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Investment income</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954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1,410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1,111</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(11,236)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(23,040)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(22,396)</w:t>
            </w:r>
          </w:p>
        </w:tc>
      </w:tr>
      <w:tr>
        <w:trPr>
          <w:trHeight w:val="237"/>
        </w:trPr>
        <w:tc>
          <w:tcPr>
            <w:tcW w:w="56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(10,411)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(10,735)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(21,630)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(21,285)</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18"/>
        </w:trPr>
        <w:tc>
          <w:tcPr>
            <w:tcW w:w="5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147,692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76,743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289,523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88,394</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24"/>
        </w:trPr>
        <w:tc>
          <w:tcPr>
            <w:tcW w:w="5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(60,316)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(103,273)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18"/>
        </w:trPr>
        <w:tc>
          <w:tcPr>
            <w:tcW w:w="5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30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87,376</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76,743</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186,250</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88,394</w:t>
            </w:r>
          </w:p>
        </w:tc>
      </w:tr>
      <w:tr>
        <w:trPr>
          <w:trHeight w:val="311"/>
        </w:trPr>
        <w:tc>
          <w:tcPr>
            <w:tcW w:w="5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per share - 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0.89</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0.94</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0.81</w:t>
            </w:r>
          </w:p>
        </w:tc>
      </w:tr>
      <w:tr>
        <w:trPr>
          <w:trHeight w:val="324"/>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97,700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94,589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97,289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94,017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shares outstanding - diluted</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111,060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110,167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110,305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108,998</w:t>
            </w:r>
          </w:p>
        </w:tc>
      </w:tr>
      <w:tr>
        <w:trPr>
          <w:trHeight w:val="918"/>
        </w:trPr>
        <w:tc>
          <w:tcPr>
            <w:tcW w:w="5620" w:type="dxa"/>
            <w:vAlign w:val="bottom"/>
          </w:tcPr>
          <w:p>
            <w:pPr>
              <w:spacing w:after="0"/>
              <w:rPr>
                <w:sz w:val="24"/>
                <w:szCs w:val="24"/>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9</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01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TABLE 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NET INCOME TO NON-GAAP NET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ind w:left="34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252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r>
      <w:tr>
        <w:trPr>
          <w:trHeight w:val="270"/>
        </w:trPr>
        <w:tc>
          <w:tcPr>
            <w:tcW w:w="5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76,743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186,250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88,394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i w:val="1"/>
                <w:iCs w:val="1"/>
                <w:color w:val="auto"/>
              </w:rPr>
              <w:t>Adjustments: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R&amp;D: Non-cash share-based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54,484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21,998</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SG&amp;A: Non-cash share-based compensation expenses</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16,344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7,790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42,130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20,368</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COGS: Non-cash share-based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w w:val="96"/>
              </w:rPr>
              <w:t>Interest expense: Non-cash interest related to convertible senior notes</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5,535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5,316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11,316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10,534</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Non-cash 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60,316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103,273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r>
      <w:tr>
        <w:trPr>
          <w:trHeight w:val="297"/>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Non-GAAP net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197,669</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101,682</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398,312</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141,796</w:t>
            </w:r>
          </w:p>
        </w:tc>
      </w:tr>
      <w:tr>
        <w:trPr>
          <w:trHeight w:val="311"/>
        </w:trPr>
        <w:tc>
          <w:tcPr>
            <w:tcW w:w="56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Non-GAAP net income per share - 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1.51</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Non-GAAP net income per share - diluted </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r>
      <w:tr>
        <w:trPr>
          <w:trHeight w:val="324"/>
        </w:trPr>
        <w:tc>
          <w:tcPr>
            <w:tcW w:w="5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Shares used in calculating:</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Non-GAAP net income per share - basic</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97,700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94,589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97,289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94,017</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Non-GAAP net income per share - diluted </w:t>
            </w:r>
            <w:r>
              <w:rPr>
                <w:rFonts w:ascii="Arial" w:cs="Arial" w:eastAsia="Arial" w:hAnsi="Arial"/>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115,261</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114,928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114,711</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113,760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 w:right="80" w:hanging="345"/>
        <w:spacing w:after="0" w:line="264" w:lineRule="auto"/>
        <w:tabs>
          <w:tab w:leader="none" w:pos="380" w:val="left"/>
        </w:tabs>
        <w:numPr>
          <w:ilvl w:val="0"/>
          <w:numId w:val="6"/>
        </w:numPr>
        <w:rPr>
          <w:rFonts w:ascii="Arial" w:cs="Arial" w:eastAsia="Arial" w:hAnsi="Arial"/>
          <w:sz w:val="13"/>
          <w:szCs w:val="13"/>
          <w:color w:val="auto"/>
        </w:rPr>
      </w:pPr>
      <w:r>
        <w:rPr>
          <w:rFonts w:ascii="Arial" w:cs="Arial" w:eastAsia="Arial" w:hAnsi="Arial"/>
          <w:sz w:val="18"/>
          <w:szCs w:val="18"/>
          <w:color w:val="auto"/>
        </w:rPr>
        <w:t>For diluted non-GAAP per share calculations, excludes $1.8 million of interest expense for both the three month periods ended June 30, 2013 and 2012, and $3.7 million of interest expense for both the six month periods ended June 30, 2013 and 2012, related to the contractual coupon interest rate on the Company's 1.875% convertible senior notes, since these securities were dilutive</w:t>
      </w:r>
    </w:p>
    <w:p>
      <w:pPr>
        <w:spacing w:after="0" w:line="140" w:lineRule="exact"/>
        <w:rPr>
          <w:rFonts w:ascii="Arial" w:cs="Arial" w:eastAsia="Arial" w:hAnsi="Arial"/>
          <w:sz w:val="13"/>
          <w:szCs w:val="13"/>
          <w:color w:val="auto"/>
        </w:rPr>
      </w:pPr>
    </w:p>
    <w:p>
      <w:pPr>
        <w:ind w:left="380" w:right="40" w:hanging="345"/>
        <w:spacing w:after="0" w:line="277" w:lineRule="auto"/>
        <w:tabs>
          <w:tab w:leader="none" w:pos="380" w:val="left"/>
        </w:tabs>
        <w:numPr>
          <w:ilvl w:val="0"/>
          <w:numId w:val="6"/>
        </w:numPr>
        <w:rPr>
          <w:rFonts w:ascii="Arial" w:cs="Arial" w:eastAsia="Arial" w:hAnsi="Arial"/>
          <w:sz w:val="13"/>
          <w:szCs w:val="13"/>
          <w:color w:val="auto"/>
        </w:rPr>
      </w:pPr>
      <w:r>
        <w:rPr>
          <w:rFonts w:ascii="Arial" w:cs="Arial" w:eastAsia="Arial" w:hAnsi="Arial"/>
          <w:sz w:val="18"/>
          <w:szCs w:val="18"/>
          <w:color w:val="auto"/>
        </w:rPr>
        <w:t>Weighted average shares outstanding includes the dilutive effect, if any, of employee stock options, restricted stock awards, convertible senior notes, and warrants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017"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303655"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03655" cy="20574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For Immediate Release</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60"/>
        <w:spacing w:after="0" w:line="278" w:lineRule="auto"/>
        <w:rPr>
          <w:sz w:val="20"/>
          <w:szCs w:val="20"/>
          <w:color w:val="auto"/>
        </w:rPr>
      </w:pPr>
      <w:r>
        <w:rPr>
          <w:rFonts w:ascii="Arial" w:cs="Arial" w:eastAsia="Arial" w:hAnsi="Arial"/>
          <w:sz w:val="29"/>
          <w:szCs w:val="29"/>
          <w:b w:val="1"/>
          <w:bCs w:val="1"/>
          <w:color w:val="0F4DBC"/>
        </w:rPr>
        <w:t>Regeneron and Bayer Report Positive One-Year Results from Two Phase 3 Trials of EYLEA</w:t>
      </w:r>
      <w:r>
        <w:rPr>
          <w:rFonts w:ascii="Arial" w:cs="Arial" w:eastAsia="Arial" w:hAnsi="Arial"/>
          <w:sz w:val="14"/>
          <w:szCs w:val="14"/>
          <w:b w:val="1"/>
          <w:bCs w:val="1"/>
          <w:color w:val="0F4DBC"/>
        </w:rPr>
        <w:t>®</w:t>
      </w:r>
      <w:r>
        <w:rPr>
          <w:rFonts w:ascii="Arial" w:cs="Arial" w:eastAsia="Arial" w:hAnsi="Arial"/>
          <w:sz w:val="29"/>
          <w:szCs w:val="29"/>
          <w:b w:val="1"/>
          <w:bCs w:val="1"/>
          <w:color w:val="0F4DBC"/>
        </w:rPr>
        <w:t xml:space="preserve"> (aflibercept) Injection for the Treatment of Diabetic Macular Edema</w:t>
      </w:r>
    </w:p>
    <w:p>
      <w:pPr>
        <w:spacing w:after="0" w:line="135" w:lineRule="exact"/>
        <w:rPr>
          <w:sz w:val="20"/>
          <w:szCs w:val="20"/>
          <w:color w:val="auto"/>
        </w:rPr>
      </w:pPr>
    </w:p>
    <w:p>
      <w:pPr>
        <w:ind w:right="160"/>
        <w:spacing w:after="0" w:line="267" w:lineRule="auto"/>
        <w:rPr>
          <w:sz w:val="20"/>
          <w:szCs w:val="20"/>
          <w:color w:val="auto"/>
        </w:rPr>
      </w:pPr>
      <w:r>
        <w:rPr>
          <w:rFonts w:ascii="Arial" w:cs="Arial" w:eastAsia="Arial" w:hAnsi="Arial"/>
          <w:sz w:val="20"/>
          <w:szCs w:val="20"/>
          <w:i w:val="1"/>
          <w:iCs w:val="1"/>
          <w:color w:val="auto"/>
        </w:rPr>
        <w:t>U.S. and ex-U.S. regulatory submissions in diabetic macular edema expected in 2013; U.S. regulatory submission approximately one year earlier than previously planned</w:t>
      </w:r>
    </w:p>
    <w:p>
      <w:pPr>
        <w:spacing w:after="0" w:line="168" w:lineRule="exact"/>
        <w:rPr>
          <w:sz w:val="20"/>
          <w:szCs w:val="20"/>
          <w:color w:val="auto"/>
        </w:rPr>
      </w:pPr>
    </w:p>
    <w:p>
      <w:pPr>
        <w:ind w:right="60"/>
        <w:spacing w:after="0" w:line="237" w:lineRule="auto"/>
        <w:rPr>
          <w:sz w:val="20"/>
          <w:szCs w:val="20"/>
          <w:color w:val="auto"/>
        </w:rPr>
      </w:pPr>
      <w:r>
        <w:rPr>
          <w:rFonts w:ascii="Arial" w:cs="Arial" w:eastAsia="Arial" w:hAnsi="Arial"/>
          <w:sz w:val="22"/>
          <w:szCs w:val="22"/>
          <w:b w:val="1"/>
          <w:bCs w:val="1"/>
          <w:color w:val="auto"/>
        </w:rPr>
        <w:t xml:space="preserve">Tarrytown, NY (August 6, 2013) </w:t>
      </w:r>
      <w:r>
        <w:rPr>
          <w:rFonts w:ascii="Arial" w:cs="Arial" w:eastAsia="Arial" w:hAnsi="Arial"/>
          <w:sz w:val="22"/>
          <w:szCs w:val="22"/>
          <w:color w:val="auto"/>
        </w:rPr>
        <w:t>-- 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and</w:t>
      </w:r>
      <w:r>
        <w:rPr>
          <w:rFonts w:ascii="Arial" w:cs="Arial" w:eastAsia="Arial" w:hAnsi="Arial"/>
          <w:sz w:val="22"/>
          <w:szCs w:val="22"/>
          <w:b w:val="1"/>
          <w:bCs w:val="1"/>
          <w:color w:val="auto"/>
        </w:rPr>
        <w:t xml:space="preserve"> </w:t>
      </w:r>
      <w:r>
        <w:rPr>
          <w:rFonts w:ascii="Arial" w:cs="Arial" w:eastAsia="Arial" w:hAnsi="Arial"/>
          <w:sz w:val="22"/>
          <w:szCs w:val="22"/>
          <w:color w:val="auto"/>
        </w:rPr>
        <w:t>Bayer HealthCare today</w:t>
      </w:r>
      <w:r>
        <w:rPr>
          <w:rFonts w:ascii="Arial" w:cs="Arial" w:eastAsia="Arial" w:hAnsi="Arial"/>
          <w:sz w:val="22"/>
          <w:szCs w:val="22"/>
          <w:b w:val="1"/>
          <w:bCs w:val="1"/>
          <w:color w:val="auto"/>
        </w:rPr>
        <w:t xml:space="preserve"> </w:t>
      </w:r>
      <w:r>
        <w:rPr>
          <w:rFonts w:ascii="Arial" w:cs="Arial" w:eastAsia="Arial" w:hAnsi="Arial"/>
          <w:sz w:val="22"/>
          <w:szCs w:val="22"/>
          <w:color w:val="auto"/>
        </w:rPr>
        <w:t>announced that in the Phase 3 VIVID-DME and VISTA-DME trials of EYLEA</w:t>
      </w:r>
      <w:r>
        <w:rPr>
          <w:rFonts w:ascii="Arial" w:cs="Arial" w:eastAsia="Arial" w:hAnsi="Arial"/>
          <w:sz w:val="28"/>
          <w:szCs w:val="28"/>
          <w:color w:val="auto"/>
          <w:vertAlign w:val="superscript"/>
        </w:rPr>
        <w:t>®</w:t>
      </w:r>
      <w:r>
        <w:rPr>
          <w:rFonts w:ascii="Arial" w:cs="Arial" w:eastAsia="Arial" w:hAnsi="Arial"/>
          <w:sz w:val="22"/>
          <w:szCs w:val="22"/>
          <w:color w:val="auto"/>
        </w:rPr>
        <w:t xml:space="preserve"> (aflibercept) Injection for the treatment of diabetic macular edema (DME), EYLEA 2 milligrams (mg) dosed monthly and EYLEA 2 mg dosed every two months (after 5 initial monthly injections) achieved the primary endpoint of a significantly greater improvement in best-corrected visual acuity (BCVA) from baseline compared to laser photocoagulation at 52 weeks. Both EYLEA treatment arms demonstrated similar improvements in BCVA.</w:t>
      </w:r>
    </w:p>
    <w:p>
      <w:pPr>
        <w:spacing w:after="0" w:line="215" w:lineRule="exact"/>
        <w:rPr>
          <w:sz w:val="20"/>
          <w:szCs w:val="20"/>
          <w:color w:val="auto"/>
        </w:rPr>
      </w:pPr>
    </w:p>
    <w:p>
      <w:pPr>
        <w:ind w:right="780"/>
        <w:spacing w:after="0" w:line="245" w:lineRule="auto"/>
        <w:rPr>
          <w:sz w:val="20"/>
          <w:szCs w:val="20"/>
          <w:color w:val="auto"/>
        </w:rPr>
      </w:pPr>
      <w:r>
        <w:rPr>
          <w:rFonts w:ascii="Arial" w:cs="Arial" w:eastAsia="Arial" w:hAnsi="Arial"/>
          <w:sz w:val="22"/>
          <w:szCs w:val="22"/>
          <w:color w:val="auto"/>
        </w:rPr>
        <w:t>Based on discussions with the U.S. Food and Drug Administration (FDA), Regeneron now expects to submit an application for U.S. marketing approval for the treatment of DME in 2013, approximately one year ahead of the previously announced timeline. Bayer Healthcare plans to submit an application for marketing approval for the treatment of DME in Europe in 2013.</w:t>
      </w:r>
    </w:p>
    <w:p>
      <w:pPr>
        <w:spacing w:after="0" w:line="210" w:lineRule="exact"/>
        <w:rPr>
          <w:sz w:val="20"/>
          <w:szCs w:val="20"/>
          <w:color w:val="auto"/>
        </w:rPr>
      </w:pPr>
    </w:p>
    <w:p>
      <w:pPr>
        <w:ind w:right="520"/>
        <w:spacing w:after="0" w:line="245" w:lineRule="auto"/>
        <w:rPr>
          <w:sz w:val="20"/>
          <w:szCs w:val="20"/>
          <w:color w:val="auto"/>
        </w:rPr>
      </w:pPr>
      <w:r>
        <w:rPr>
          <w:rFonts w:ascii="Arial" w:cs="Arial" w:eastAsia="Arial" w:hAnsi="Arial"/>
          <w:sz w:val="22"/>
          <w:szCs w:val="22"/>
          <w:color w:val="auto"/>
        </w:rPr>
        <w:t>The VIVID-DME and VISTA-DME trials are similarly designed, randomized, double-masked, active control trials to evaluate the safety and efficacy of EYLEA in patients with DME. Patients in both trials were randomized to receive either EYLEA 2 milligrams (mg) monthly, EYLEA 2 mg every two months (after 5 initial monthly injections), or the comparator treatment of laser photocoagulation.</w:t>
      </w:r>
    </w:p>
    <w:p>
      <w:pPr>
        <w:spacing w:after="0" w:line="210" w:lineRule="exact"/>
        <w:rPr>
          <w:sz w:val="20"/>
          <w:szCs w:val="20"/>
          <w:color w:val="auto"/>
        </w:rPr>
      </w:pPr>
    </w:p>
    <w:p>
      <w:pPr>
        <w:ind w:right="20"/>
        <w:spacing w:after="0" w:line="261" w:lineRule="auto"/>
        <w:rPr>
          <w:sz w:val="20"/>
          <w:szCs w:val="20"/>
          <w:color w:val="auto"/>
        </w:rPr>
      </w:pPr>
      <w:r>
        <w:rPr>
          <w:rFonts w:ascii="Arial" w:cs="Arial" w:eastAsia="Arial" w:hAnsi="Arial"/>
          <w:sz w:val="21"/>
          <w:szCs w:val="21"/>
          <w:color w:val="auto"/>
        </w:rPr>
        <w:t>“We are pleased with these positive data in another potentially important indication for EYLEA," said George D. Yancopoulos, M.D., Ph. D., Chief Scientific Officer of Regeneron and President of Regeneron Laboratories. "Diabetes is a growing disease worldwide and DME is a major cause of vision loss in people with diabetic retinopathy. We hope to be able to offer a new treatment option for patients suffering from this potentially blinding retinal disease.”</w:t>
      </w:r>
    </w:p>
    <w:p>
      <w:pPr>
        <w:spacing w:after="0" w:line="192" w:lineRule="exact"/>
        <w:rPr>
          <w:sz w:val="20"/>
          <w:szCs w:val="20"/>
          <w:color w:val="auto"/>
        </w:rPr>
      </w:pPr>
    </w:p>
    <w:p>
      <w:pPr>
        <w:ind w:right="20"/>
        <w:spacing w:after="0" w:line="245" w:lineRule="auto"/>
        <w:rPr>
          <w:sz w:val="20"/>
          <w:szCs w:val="20"/>
          <w:color w:val="auto"/>
        </w:rPr>
      </w:pPr>
      <w:r>
        <w:rPr>
          <w:rFonts w:ascii="Arial" w:cs="Arial" w:eastAsia="Arial" w:hAnsi="Arial"/>
          <w:sz w:val="22"/>
          <w:szCs w:val="22"/>
          <w:color w:val="auto"/>
        </w:rPr>
        <w:t>In the VIVID-DME trial, after one year patients receiving EYLEA 2 mg monthly had a mean change from baseline in BCVA of 10.5 letters (p&lt;0.0001 compared to laser) and patients receiving EYLEA 2 mg every other month (after 5 initial monthly injections) had a mean change from baseline in BCVA of 10.7 letters (p&lt;0.0001 compared to laser), compared to patients receiving laser photocoagulation who had a mean change from baseline in BCVA of 1.2 letters.</w:t>
      </w:r>
    </w:p>
    <w:p>
      <w:pPr>
        <w:spacing w:after="0" w:line="250" w:lineRule="exact"/>
        <w:rPr>
          <w:sz w:val="20"/>
          <w:szCs w:val="20"/>
          <w:color w:val="auto"/>
        </w:rPr>
      </w:pPr>
    </w:p>
    <w:p>
      <w:pPr>
        <w:ind w:right="380"/>
        <w:spacing w:after="0" w:line="249" w:lineRule="auto"/>
        <w:rPr>
          <w:sz w:val="20"/>
          <w:szCs w:val="20"/>
          <w:color w:val="auto"/>
        </w:rPr>
      </w:pPr>
      <w:r>
        <w:rPr>
          <w:rFonts w:ascii="Arial" w:cs="Arial" w:eastAsia="Arial" w:hAnsi="Arial"/>
          <w:sz w:val="22"/>
          <w:szCs w:val="22"/>
          <w:color w:val="auto"/>
        </w:rPr>
        <w:t>In the VISTA-DME trial, after one year patients receiving EYLEA 2 mg monthly had a mean change from baseline in best-corrected visual acuity (BCVA) of 12.5 letters (p&lt;0.0001 compared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15" w:name="page16"/>
    <w:bookmarkEnd w:id="15"/>
    <w:p>
      <w:pPr>
        <w:ind w:right="260"/>
        <w:spacing w:after="0" w:line="246" w:lineRule="auto"/>
        <w:rPr>
          <w:sz w:val="20"/>
          <w:szCs w:val="20"/>
          <w:color w:val="auto"/>
        </w:rPr>
      </w:pPr>
      <w:r>
        <w:rPr>
          <w:rFonts w:ascii="Arial" w:cs="Arial" w:eastAsia="Arial" w:hAnsi="Arial"/>
          <w:sz w:val="22"/>
          <w:szCs w:val="22"/>
          <w:color w:val="auto"/>
        </w:rPr>
        <w:t>to laser) and patients receiving EYLEA 2 mg every other month (after 5 initial monthly injections) had a mean change from baseline in BCVA of 10.7 letters (p&lt;0.0001 compared to laser), compared to patients receiving laser photocoagulation who had a mean change from baseline in BCVA of 0.2 letters.</w:t>
      </w:r>
    </w:p>
    <w:p>
      <w:pPr>
        <w:spacing w:after="0" w:line="208" w:lineRule="exact"/>
        <w:rPr>
          <w:sz w:val="20"/>
          <w:szCs w:val="20"/>
          <w:color w:val="auto"/>
        </w:rPr>
      </w:pPr>
    </w:p>
    <w:p>
      <w:pPr>
        <w:ind w:right="200"/>
        <w:spacing w:after="0" w:line="257" w:lineRule="auto"/>
        <w:rPr>
          <w:sz w:val="20"/>
          <w:szCs w:val="20"/>
          <w:color w:val="auto"/>
        </w:rPr>
      </w:pPr>
      <w:r>
        <w:rPr>
          <w:rFonts w:ascii="Arial" w:cs="Arial" w:eastAsia="Arial" w:hAnsi="Arial"/>
          <w:sz w:val="21"/>
          <w:szCs w:val="21"/>
          <w:color w:val="auto"/>
        </w:rPr>
        <w:t>In these trials, EYLEA was generally well tolerated with a similar overall incidence of adverse events (AEs), ocular serious AEs, and non-ocular serious AEs across the treatment groups and the laser control group. Arterial thromboembolic events as defined by the Anti-Platelet Trialists' Collaboration (non-fatal stroke, non-fatal myocardial infarction, and vascular death) also occurred at similar rates across the treatment groups and the laser control group. AEs were typical of those seen in other studies in patients with diabetes receiving intravitreal anti-VEGF therapy. The most frequent ocular treatment emergent AEs (TEAEs) observed in the VIVID-DME and VISTA-DME trials included conjunctival hemorrhage, eye pain, and vitreous floaters. The most frequent non-ocular TEAEs included hypertension and nasopharyngitis, which occurred with similar frequency in the treatment groups and the laser control group.</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Full one-year data from the VIVID-DME and VISTA-DME trials will be presented at upcoming medical conferences.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Both trials are planned to continue up to 148 weeks.</w:t>
      </w:r>
    </w:p>
    <w:p>
      <w:pPr>
        <w:spacing w:after="0" w:line="220" w:lineRule="exact"/>
        <w:rPr>
          <w:sz w:val="20"/>
          <w:szCs w:val="20"/>
          <w:color w:val="auto"/>
        </w:rPr>
      </w:pPr>
    </w:p>
    <w:p>
      <w:pPr>
        <w:spacing w:after="0" w:line="264" w:lineRule="auto"/>
        <w:rPr>
          <w:sz w:val="20"/>
          <w:szCs w:val="20"/>
          <w:color w:val="auto"/>
        </w:rPr>
      </w:pPr>
      <w:r>
        <w:rPr>
          <w:rFonts w:ascii="Arial" w:cs="Arial" w:eastAsia="Arial" w:hAnsi="Arial"/>
          <w:sz w:val="21"/>
          <w:szCs w:val="21"/>
          <w:color w:val="auto"/>
        </w:rPr>
        <w:t>EYLEA was approved in the United States for the treatment of neovascular (wet) Age-related Macular Degeneration (AMD) in November 2011 and for Macular Edema following Central Retinal Vein Occlusion (CRVO) in September 2012. EYLEA has also been approved in Europe, Japan, Australia, and in several other countries for use in wet AMD.</w:t>
      </w:r>
    </w:p>
    <w:p>
      <w:pPr>
        <w:spacing w:after="0" w:line="189" w:lineRule="exact"/>
        <w:rPr>
          <w:sz w:val="20"/>
          <w:szCs w:val="20"/>
          <w:color w:val="auto"/>
        </w:rPr>
      </w:pPr>
    </w:p>
    <w:p>
      <w:pPr>
        <w:ind w:right="40"/>
        <w:spacing w:after="0" w:line="245" w:lineRule="auto"/>
        <w:rPr>
          <w:sz w:val="20"/>
          <w:szCs w:val="20"/>
          <w:color w:val="auto"/>
        </w:rPr>
      </w:pPr>
      <w:r>
        <w:rPr>
          <w:rFonts w:ascii="Arial" w:cs="Arial" w:eastAsia="Arial" w:hAnsi="Arial"/>
          <w:sz w:val="22"/>
          <w:szCs w:val="22"/>
          <w:color w:val="auto"/>
        </w:rPr>
        <w:t>Bayer HealthCare and Regeneron are collaborating on the global development of EYLEA. Regeneron maintains exclusive rights to EYLEA in the United States. Bayer HealthCare licensed the exclusive marketing rights outside the United States, where the companies share equally the profits from sales of EYLEA, except for Japan where Regeneron receives a royalty on net sales.</w:t>
      </w:r>
    </w:p>
    <w:p>
      <w:pPr>
        <w:spacing w:after="0" w:line="210" w:lineRule="exact"/>
        <w:rPr>
          <w:sz w:val="20"/>
          <w:szCs w:val="20"/>
          <w:color w:val="auto"/>
        </w:rPr>
      </w:pPr>
    </w:p>
    <w:p>
      <w:pPr>
        <w:ind w:right="1100"/>
        <w:spacing w:after="0" w:line="249" w:lineRule="auto"/>
        <w:rPr>
          <w:sz w:val="20"/>
          <w:szCs w:val="20"/>
          <w:color w:val="auto"/>
        </w:rPr>
      </w:pPr>
      <w:r>
        <w:rPr>
          <w:rFonts w:ascii="Arial" w:cs="Arial" w:eastAsia="Arial" w:hAnsi="Arial"/>
          <w:sz w:val="22"/>
          <w:szCs w:val="22"/>
          <w:color w:val="auto"/>
        </w:rPr>
        <w:t>Topline results from these trials will be discussed on the previously scheduled Regeneron quarterly earnings conference call at 8:30 AM EDT today.</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the EYLEA</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(aflibercept) Injection Phase 3 DME Program</w:t>
      </w:r>
    </w:p>
    <w:p>
      <w:pPr>
        <w:ind w:right="80"/>
        <w:spacing w:after="0" w:line="244" w:lineRule="auto"/>
        <w:rPr>
          <w:sz w:val="20"/>
          <w:szCs w:val="20"/>
          <w:color w:val="auto"/>
        </w:rPr>
      </w:pPr>
      <w:r>
        <w:rPr>
          <w:rFonts w:ascii="Arial" w:cs="Arial" w:eastAsia="Arial" w:hAnsi="Arial"/>
          <w:sz w:val="22"/>
          <w:szCs w:val="22"/>
          <w:color w:val="auto"/>
        </w:rPr>
        <w:t>The Phase 3 DME program consists of three double-masked trials: VIVID-DME, VISTA-DME, and VIVID-EAST-DME (in Russia, China, and other Asian countries), and one open-label, single arm safety trial in Japanese patients (VIVID-Japan). All three double-masked studies have three treatment arms, where patients are randomized to receive either EYLEA 2 mg monthly, EYLEA 2 mg every two months (after 5 initial monthly injections), or the comparator treatment of laser photocoagulation. The primary endpoint of all three studies is the mean change in best-corrected visual acuity from baseline, as measured on the Early Treatment Diabetic Retinopathy Scale (ETDRS) eye chart, a standard chart used in research to measure visual acuity. The VIVID-DME, VISTA-DME, VIVID-EAST-DME, and VIVID-Japan studies are ongoing.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06" w:right="239" w:bottom="1440" w:gutter="0" w:footer="0" w:header="0"/>
        </w:sectPr>
      </w:pPr>
    </w:p>
    <w:bookmarkStart w:id="16" w:name="page17"/>
    <w:bookmarkEnd w:id="16"/>
    <w:p>
      <w:pPr>
        <w:spacing w:after="0"/>
        <w:rPr>
          <w:sz w:val="20"/>
          <w:szCs w:val="20"/>
          <w:color w:val="auto"/>
        </w:rPr>
      </w:pPr>
      <w:r>
        <w:rPr>
          <w:rFonts w:ascii="Arial" w:cs="Arial" w:eastAsia="Arial" w:hAnsi="Arial"/>
          <w:sz w:val="22"/>
          <w:szCs w:val="22"/>
          <w:b w:val="1"/>
          <w:bCs w:val="1"/>
          <w:color w:val="auto"/>
        </w:rPr>
        <w:t>About Diabetic Macular Edema (DME)</w:t>
      </w:r>
    </w:p>
    <w:p>
      <w:pPr>
        <w:spacing w:after="0" w:line="30" w:lineRule="exact"/>
        <w:rPr>
          <w:sz w:val="20"/>
          <w:szCs w:val="20"/>
          <w:color w:val="auto"/>
        </w:rPr>
      </w:pPr>
    </w:p>
    <w:p>
      <w:pPr>
        <w:ind w:right="480"/>
        <w:spacing w:after="0" w:line="246" w:lineRule="auto"/>
        <w:rPr>
          <w:sz w:val="20"/>
          <w:szCs w:val="20"/>
          <w:color w:val="auto"/>
        </w:rPr>
      </w:pPr>
      <w:r>
        <w:rPr>
          <w:rFonts w:ascii="Arial" w:cs="Arial" w:eastAsia="Arial" w:hAnsi="Arial"/>
          <w:sz w:val="22"/>
          <w:szCs w:val="22"/>
          <w:color w:val="auto"/>
        </w:rPr>
        <w:t>DME is a common complication of Diabetic Retinopathy (DR), a disease affecting the blood vessels of the retina. Clinically significant DME occurs when fluid leaks into the center of the macula, the light-sensitive part of the retina responsible for sharp, direct vision. Fluid in the macula can cause severe vision loss or blindness.</w:t>
      </w:r>
    </w:p>
    <w:p>
      <w:pPr>
        <w:spacing w:after="0" w:line="208" w:lineRule="exact"/>
        <w:rPr>
          <w:sz w:val="20"/>
          <w:szCs w:val="20"/>
          <w:color w:val="auto"/>
        </w:rPr>
      </w:pPr>
    </w:p>
    <w:p>
      <w:pPr>
        <w:ind w:right="160"/>
        <w:spacing w:after="0" w:line="245" w:lineRule="auto"/>
        <w:rPr>
          <w:sz w:val="20"/>
          <w:szCs w:val="20"/>
          <w:color w:val="auto"/>
        </w:rPr>
      </w:pPr>
      <w:r>
        <w:rPr>
          <w:rFonts w:ascii="Arial" w:cs="Arial" w:eastAsia="Arial" w:hAnsi="Arial"/>
          <w:sz w:val="22"/>
          <w:szCs w:val="22"/>
          <w:color w:val="auto"/>
        </w:rPr>
        <w:t>DME is the most frequent cause of blindness in young and mid-aged adults. According to the American Diabetes Association, over 18 million Americans currently suffer from diabetes, and many more are at risk for developing diabetes. The incidence of diabetes is steadily climbing and it is projected that up to seven percent of all patients with diabetes will develop DME during their lifetime.</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EYLEA</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(aflibercept) Injection for Intravitreal Injection</w:t>
      </w:r>
    </w:p>
    <w:p>
      <w:pPr>
        <w:ind w:right="220"/>
        <w:spacing w:after="0" w:line="264" w:lineRule="auto"/>
        <w:rPr>
          <w:sz w:val="20"/>
          <w:szCs w:val="20"/>
          <w:color w:val="auto"/>
        </w:rPr>
      </w:pPr>
      <w:r>
        <w:rPr>
          <w:rFonts w:ascii="Arial" w:cs="Arial" w:eastAsia="Arial" w:hAnsi="Arial"/>
          <w:sz w:val="21"/>
          <w:szCs w:val="21"/>
          <w:color w:val="auto"/>
        </w:rPr>
        <w:t>Vascular Endothelial Growth Factor (VEGF) is a naturally occurring protein in the body. In patients with diabetic macular edema (DME), hyperglycemia-induced vascular dysfunction and hypoxia result in elevated intraocular VEGF levels in the eye and resultant blood vessel permeability that leads to macular edema, which can result in vision loss.</w:t>
      </w:r>
    </w:p>
    <w:p>
      <w:pPr>
        <w:spacing w:after="0" w:line="189" w:lineRule="exact"/>
        <w:rPr>
          <w:sz w:val="20"/>
          <w:szCs w:val="20"/>
          <w:color w:val="auto"/>
        </w:rPr>
      </w:pPr>
    </w:p>
    <w:p>
      <w:pPr>
        <w:ind w:right="40"/>
        <w:spacing w:after="0" w:line="245" w:lineRule="auto"/>
        <w:rPr>
          <w:sz w:val="20"/>
          <w:szCs w:val="20"/>
          <w:color w:val="auto"/>
        </w:rPr>
      </w:pPr>
      <w:r>
        <w:rPr>
          <w:rFonts w:ascii="Arial" w:cs="Arial" w:eastAsia="Arial" w:hAnsi="Arial"/>
          <w:sz w:val="22"/>
          <w:szCs w:val="22"/>
          <w:color w:val="auto"/>
        </w:rPr>
        <w:t>EYLEA, known in the scientific literature as VEGF Trap-Eye, is a recombinant fusion protein, consisting of portions of human VEGF receptors 1 and 2 extracellular domains fused to the Fc portion of human IgG1 and formulated as an iso-osmotic solution for intravitreal administration. EYLEA acts as a soluble decoy receptor that binds VEGF-A and placental growth factor (PlGF) and thereby can inhibit the binding and activation of their cognate VEGF receptors.</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PRESCRIBING INFORMATION FOR EYLEA</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(aflibercept) INJECTION IN THE UNITED STATES</w:t>
      </w:r>
    </w:p>
    <w:p>
      <w:pPr>
        <w:spacing w:after="0" w:line="174" w:lineRule="exact"/>
        <w:rPr>
          <w:sz w:val="20"/>
          <w:szCs w:val="20"/>
          <w:color w:val="auto"/>
        </w:rPr>
      </w:pPr>
    </w:p>
    <w:p>
      <w:pPr>
        <w:ind w:right="40"/>
        <w:spacing w:after="0" w:line="231" w:lineRule="auto"/>
        <w:rPr>
          <w:sz w:val="20"/>
          <w:szCs w:val="20"/>
          <w:color w:val="auto"/>
        </w:rPr>
      </w:pPr>
      <w:r>
        <w:rPr>
          <w:rFonts w:ascii="Arial" w:cs="Arial" w:eastAsia="Arial" w:hAnsi="Arial"/>
          <w:sz w:val="22"/>
          <w:szCs w:val="22"/>
          <w:color w:val="auto"/>
        </w:rPr>
        <w:t>EYLEA</w:t>
      </w:r>
      <w:r>
        <w:rPr>
          <w:rFonts w:ascii="Arial" w:cs="Arial" w:eastAsia="Arial" w:hAnsi="Arial"/>
          <w:sz w:val="28"/>
          <w:szCs w:val="28"/>
          <w:color w:val="auto"/>
          <w:vertAlign w:val="superscript"/>
        </w:rPr>
        <w:t>®</w:t>
      </w:r>
      <w:r>
        <w:rPr>
          <w:rFonts w:ascii="Arial" w:cs="Arial" w:eastAsia="Arial" w:hAnsi="Arial"/>
          <w:sz w:val="22"/>
          <w:szCs w:val="22"/>
          <w:color w:val="auto"/>
        </w:rPr>
        <w:t xml:space="preserve"> (aflibercept) Injection is indicated for the treatment of patients with neovascular (Wet) Age-related Macular Degeneration (AMD). The recommended dose for EYLEA is 2 mg administered by intravitreal injection every 4 weeks (monthly) for the first 12 weeks (3 months), followed by 2 mg once every 8 weeks (2 months). Although EYLEA may be dosed as frequently as 2 mg every 4 weeks (monthly), additional efficacy was not demonstrated when EYLEA was dosed every 4 weeks compared to every 8 weeks.</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EYLEA is indicated for the treatment of patients with Macular Edema following Central Retinal Vein Occlusion (CRVO).</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The recommended dose for EYLEA is 2 mg administered by intravitreal injection every 4 weeks (monthly).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SAFETY INFORMATION FOR EYLEA</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(aflibercept) INJECTION</w:t>
      </w:r>
    </w:p>
    <w:p>
      <w:pPr>
        <w:ind w:right="660"/>
        <w:spacing w:after="0" w:line="216" w:lineRule="auto"/>
        <w:rPr>
          <w:sz w:val="20"/>
          <w:szCs w:val="20"/>
          <w:color w:val="auto"/>
        </w:rPr>
      </w:pPr>
      <w:r>
        <w:rPr>
          <w:rFonts w:ascii="Arial" w:cs="Arial" w:eastAsia="Arial" w:hAnsi="Arial"/>
          <w:sz w:val="22"/>
          <w:szCs w:val="22"/>
          <w:color w:val="auto"/>
        </w:rPr>
        <w:t>EYLEA</w:t>
      </w:r>
      <w:r>
        <w:rPr>
          <w:rFonts w:ascii="Arial" w:cs="Arial" w:eastAsia="Arial" w:hAnsi="Arial"/>
          <w:sz w:val="28"/>
          <w:szCs w:val="28"/>
          <w:color w:val="auto"/>
          <w:vertAlign w:val="superscript"/>
        </w:rPr>
        <w:t>®</w:t>
      </w:r>
      <w:r>
        <w:rPr>
          <w:rFonts w:ascii="Arial" w:cs="Arial" w:eastAsia="Arial" w:hAnsi="Arial"/>
          <w:sz w:val="22"/>
          <w:szCs w:val="22"/>
          <w:color w:val="auto"/>
        </w:rPr>
        <w:t xml:space="preserve"> (aflibercept) Injection is contraindicated in patients with ocular or periocular infections, active intraocular inflammation, or known hypersensitivity to aflibercept or to any of the excipients in EYLEA.</w:t>
      </w:r>
    </w:p>
    <w:p>
      <w:pPr>
        <w:spacing w:after="0" w:line="214" w:lineRule="exact"/>
        <w:rPr>
          <w:sz w:val="20"/>
          <w:szCs w:val="20"/>
          <w:color w:val="auto"/>
        </w:rPr>
      </w:pPr>
    </w:p>
    <w:p>
      <w:pPr>
        <w:spacing w:after="0" w:line="245" w:lineRule="auto"/>
        <w:rPr>
          <w:sz w:val="20"/>
          <w:szCs w:val="20"/>
          <w:color w:val="auto"/>
        </w:rPr>
      </w:pPr>
      <w:r>
        <w:rPr>
          <w:rFonts w:ascii="Arial" w:cs="Arial" w:eastAsia="Arial" w:hAnsi="Arial"/>
          <w:sz w:val="22"/>
          <w:szCs w:val="22"/>
          <w:color w:val="auto"/>
        </w:rPr>
        <w:t>Intravitreal injections, including those with EYLEA, have been associated with endophthalmitis and retinal detachments. Proper aseptic injection technique must always be used when administering EYLEA. Patients should be instructed to report any symptoms suggestive of endophthalmitis or retinal detachment without delay and should be managed appropriately. Intraocular inflammation has been reported with the use of EYLEA.</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80" w:right="259" w:bottom="1440" w:gutter="0" w:footer="0" w:header="0"/>
        </w:sectPr>
      </w:pPr>
    </w:p>
    <w:bookmarkStart w:id="17" w:name="page18"/>
    <w:bookmarkEnd w:id="17"/>
    <w:p>
      <w:pPr>
        <w:ind w:right="400"/>
        <w:spacing w:after="0" w:line="245" w:lineRule="auto"/>
        <w:rPr>
          <w:sz w:val="20"/>
          <w:szCs w:val="20"/>
          <w:color w:val="auto"/>
        </w:rPr>
      </w:pPr>
      <w:r>
        <w:rPr>
          <w:rFonts w:ascii="Arial" w:cs="Arial" w:eastAsia="Arial" w:hAnsi="Arial"/>
          <w:sz w:val="22"/>
          <w:szCs w:val="22"/>
          <w:color w:val="auto"/>
        </w:rPr>
        <w:t>Acute increases in intraocular pressure have been seen within 60 minutes of intravitreal injection, including with EYLEA. Sustained increases in intraocular pressure have also been reported after repeated intravitreal dosing with VEGF inhibitors. Intraocular pressure and the perfusion of the optic nerve head should be monitored and managed appropriately.</w:t>
      </w:r>
    </w:p>
    <w:p>
      <w:pPr>
        <w:spacing w:after="0" w:line="210" w:lineRule="exact"/>
        <w:rPr>
          <w:sz w:val="20"/>
          <w:szCs w:val="20"/>
          <w:color w:val="auto"/>
        </w:rPr>
      </w:pPr>
    </w:p>
    <w:p>
      <w:pPr>
        <w:spacing w:after="0" w:line="245" w:lineRule="auto"/>
        <w:rPr>
          <w:sz w:val="20"/>
          <w:szCs w:val="20"/>
          <w:color w:val="auto"/>
        </w:rPr>
      </w:pPr>
      <w:r>
        <w:rPr>
          <w:rFonts w:ascii="Arial" w:cs="Arial" w:eastAsia="Arial" w:hAnsi="Arial"/>
          <w:sz w:val="22"/>
          <w:szCs w:val="22"/>
          <w:color w:val="auto"/>
        </w:rPr>
        <w:t>There is a potential risk of arterial thromboembolic events (ATEs) following use of intravitreal VEGF inhibitors, including EYLEA, defined as nonfatal stroke, nonfatal myocardial infarction, or vascular death (including deaths of unknown cause). The incidence of ATEs in the VIEW 1 and VIEW 2 wet AMD studies in patients treated with EYLEA was 1.8% during the first year. The incidence of ATEs in the COPERNICUS and GALILEO CRVO studies was 0% in patients treated with EYLEA compared with 1.4% in patients receiving sham control during the first six months.</w:t>
      </w:r>
    </w:p>
    <w:p>
      <w:pPr>
        <w:spacing w:after="0" w:line="208" w:lineRule="exact"/>
        <w:rPr>
          <w:sz w:val="20"/>
          <w:szCs w:val="20"/>
          <w:color w:val="auto"/>
        </w:rPr>
      </w:pPr>
    </w:p>
    <w:p>
      <w:pPr>
        <w:ind w:right="380"/>
        <w:spacing w:after="0" w:line="246" w:lineRule="auto"/>
        <w:rPr>
          <w:sz w:val="20"/>
          <w:szCs w:val="20"/>
          <w:color w:val="auto"/>
        </w:rPr>
      </w:pPr>
      <w:r>
        <w:rPr>
          <w:rFonts w:ascii="Arial" w:cs="Arial" w:eastAsia="Arial" w:hAnsi="Arial"/>
          <w:sz w:val="22"/>
          <w:szCs w:val="22"/>
          <w:color w:val="auto"/>
        </w:rPr>
        <w:t>The most common adverse reactions (5% or more) noted in the U.S. prescribing information for the approved indications of EYLEA were conjunctival hemorrhage, eye pain, cataract, vitreous detachment, vitreous floaters, and increased intraocular pressure.</w:t>
      </w:r>
    </w:p>
    <w:p>
      <w:pPr>
        <w:spacing w:after="0" w:line="208" w:lineRule="exact"/>
        <w:rPr>
          <w:sz w:val="20"/>
          <w:szCs w:val="20"/>
          <w:color w:val="auto"/>
        </w:rPr>
      </w:pPr>
    </w:p>
    <w:p>
      <w:pPr>
        <w:ind w:right="600"/>
        <w:spacing w:after="0" w:line="272" w:lineRule="auto"/>
        <w:rPr>
          <w:sz w:val="20"/>
          <w:szCs w:val="20"/>
          <w:color w:val="auto"/>
        </w:rPr>
      </w:pPr>
      <w:r>
        <w:rPr>
          <w:rFonts w:ascii="Arial" w:cs="Arial" w:eastAsia="Arial" w:hAnsi="Arial"/>
          <w:sz w:val="21"/>
          <w:szCs w:val="21"/>
          <w:color w:val="auto"/>
        </w:rPr>
        <w:t>Serious adverse reactions related to the injection procedure have occurred in &lt;0.1% of intravitreal injections with EYLEA including endophthalmitis, traumatic cataract, increased intraocular pressure, and vitreous detachment.</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Please see the full U.S. Prescribing Information for EYLEA at www.EYLEA.com</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the EYLEA</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(aflibercept) Injection Global Collaboration</w:t>
      </w:r>
    </w:p>
    <w:p>
      <w:pPr>
        <w:spacing w:after="0" w:line="245" w:lineRule="auto"/>
        <w:rPr>
          <w:sz w:val="20"/>
          <w:szCs w:val="20"/>
          <w:color w:val="auto"/>
        </w:rPr>
      </w:pPr>
      <w:r>
        <w:rPr>
          <w:rFonts w:ascii="Arial" w:cs="Arial" w:eastAsia="Arial" w:hAnsi="Arial"/>
          <w:sz w:val="22"/>
          <w:szCs w:val="22"/>
          <w:color w:val="auto"/>
        </w:rPr>
        <w:t>Regeneron is collaborating with Bayer HealthCare on the global development of EYLEA. EYLEA is currently marketed for the treatment of wet AMD in over 15 countries outside the U.S., including Japan and Australia. Bayer HealthCare has received a positive recommendation for approval by the European Committee for Medicinal Products for Human Use (CHMP) for the treatment of visual impairment due to Macular Edema secondary to Central Retinal Vein Occlusion (CRVO).</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Regeneron maintains exclusive rights to EYLEA in the United States.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w:t>
      </w:r>
    </w:p>
    <w:p>
      <w:pPr>
        <w:spacing w:after="0" w:line="30" w:lineRule="exact"/>
        <w:rPr>
          <w:sz w:val="20"/>
          <w:szCs w:val="20"/>
          <w:color w:val="auto"/>
        </w:rPr>
      </w:pPr>
    </w:p>
    <w:p>
      <w:pPr>
        <w:ind w:right="120"/>
        <w:spacing w:after="0" w:line="244" w:lineRule="auto"/>
        <w:rPr>
          <w:sz w:val="20"/>
          <w:szCs w:val="20"/>
          <w:color w:val="auto"/>
        </w:rPr>
      </w:pPr>
      <w:r>
        <w:rPr>
          <w:rFonts w:ascii="Arial" w:cs="Arial" w:eastAsia="Arial" w:hAnsi="Arial"/>
          <w:sz w:val="22"/>
          <w:szCs w:val="22"/>
          <w:color w:val="auto"/>
        </w:rPr>
        <w:t>Regeneron is a leading science-based biopharmaceutical company based in Tarrytown, New York that discovers, invents, develops, manufactures, and commercializes medicines for the treatment of serious medical conditions. Regeneron markets medicines for eye diseases, colorectal cancer, and a rare inflammatory condition and has product candidates in development in other areas of high unmet medical need, including hypercholesterolemia, oncology, rheumatoid arthritis, allergic asthma, and atopic dermatitis. For additional information about the company, please visit www.regeneron.com.</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Bayer HealthCare</w:t>
      </w:r>
    </w:p>
    <w:p>
      <w:pPr>
        <w:spacing w:after="0" w:line="30" w:lineRule="exact"/>
        <w:rPr>
          <w:sz w:val="20"/>
          <w:szCs w:val="20"/>
          <w:color w:val="auto"/>
        </w:rPr>
      </w:pPr>
    </w:p>
    <w:p>
      <w:pPr>
        <w:ind w:right="300"/>
        <w:spacing w:after="0" w:line="245" w:lineRule="auto"/>
        <w:rPr>
          <w:sz w:val="20"/>
          <w:szCs w:val="20"/>
          <w:color w:val="auto"/>
        </w:rPr>
      </w:pPr>
      <w:r>
        <w:rPr>
          <w:rFonts w:ascii="Arial" w:cs="Arial" w:eastAsia="Arial" w:hAnsi="Arial"/>
          <w:sz w:val="22"/>
          <w:szCs w:val="22"/>
          <w:color w:val="auto"/>
        </w:rPr>
        <w:t>The Bayer Group is a global enterprise with core competencies in the fields of health care, agriculture and high-tech materials. Bayer HealthCare, a subgroup of Bayer AG with annual sales of EUR 18.6 billion (2012), is one of the world's leading, innovative companies in the healthcare and medical products industry and is based in Leverkusen, Germany. The company combines the global activities of the Animal Health, Consumer Care, Medical Care and Pharmaceuticals divisions. Bayer HealthCare's aim is to discover, develop, manufacture and</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606" w:right="299" w:bottom="1440" w:gutter="0" w:footer="0" w:header="0"/>
        </w:sectPr>
      </w:pPr>
    </w:p>
    <w:bookmarkStart w:id="18" w:name="page19"/>
    <w:bookmarkEnd w:id="18"/>
    <w:p>
      <w:pPr>
        <w:ind w:right="440"/>
        <w:spacing w:after="0" w:line="246" w:lineRule="auto"/>
        <w:rPr>
          <w:sz w:val="20"/>
          <w:szCs w:val="20"/>
          <w:color w:val="auto"/>
        </w:rPr>
      </w:pPr>
      <w:r>
        <w:rPr>
          <w:rFonts w:ascii="Arial" w:cs="Arial" w:eastAsia="Arial" w:hAnsi="Arial"/>
          <w:sz w:val="22"/>
          <w:szCs w:val="22"/>
          <w:color w:val="auto"/>
        </w:rPr>
        <w:t xml:space="preserve">market products that will improve human and animal health worldwide. Bayer HealthCare has a global workforce of 55,300 employees (Dec 31, 2012) and is represented in more than 100 countries. More information at </w:t>
      </w:r>
      <w:r>
        <w:rPr>
          <w:rFonts w:ascii="Arial" w:cs="Arial" w:eastAsia="Arial" w:hAnsi="Arial"/>
          <w:sz w:val="22"/>
          <w:szCs w:val="22"/>
          <w:u w:val="single" w:color="auto"/>
          <w:color w:val="0000FF"/>
        </w:rPr>
        <w:t>www.healthcare.bayer.com</w:t>
      </w:r>
      <w:r>
        <w:rPr>
          <w:rFonts w:ascii="Arial" w:cs="Arial" w:eastAsia="Arial" w:hAnsi="Arial"/>
          <w:sz w:val="22"/>
          <w:szCs w:val="22"/>
          <w:color w:val="000000"/>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Forward-Looking Statements</w:t>
      </w:r>
    </w:p>
    <w:p>
      <w:pPr>
        <w:spacing w:after="0" w:line="31" w:lineRule="exact"/>
        <w:rPr>
          <w:sz w:val="20"/>
          <w:szCs w:val="20"/>
          <w:color w:val="auto"/>
        </w:rPr>
      </w:pPr>
    </w:p>
    <w:p>
      <w:pPr>
        <w:spacing w:after="0" w:line="248" w:lineRule="auto"/>
        <w:rPr>
          <w:sz w:val="20"/>
          <w:szCs w:val="20"/>
          <w:color w:val="auto"/>
        </w:rPr>
      </w:pPr>
      <w:r>
        <w:rPr>
          <w:rFonts w:ascii="Arial" w:cs="Arial" w:eastAsia="Arial" w:hAnsi="Arial"/>
          <w:sz w:val="18"/>
          <w:szCs w:val="18"/>
          <w:i w:val="1"/>
          <w:iCs w:val="1"/>
          <w:color w:val="auto"/>
        </w:rPr>
        <w:t>This news release includes forward-looking statements that involve risks and uncertainties relating to future events and the future performance of Regeneron, and actual events or results may differ materially from these forward-looking statements. These statements concern, and these risks and uncertainties include, among others, the nature, timing, and possible success and therapeutic applications of Regeneron's products, product candidates, and research and clinical programs now underway or planned; including without limitation EYLEA</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(aflibercept) Injection for DME; unforeseen safety issues resulting from the administration of products and product candidates in patients; the likelihood and timing of possible regulatory approval and commercial launch of Regeneron's late-stage product candidates; determinations by regulatory and administrative governmental authorities which may delay or restrict Regeneron's ability to continue to develop or commercialize Regeneron's products and product candidates; competing drugs and product candidates that may be superior to Regeneron's products and product candidates; uncertainty of market acceptance of Regeneron's products and product candidates; the ability of Regeneron to manufacture and manage supply chains for multiple products and product candidates; coverage and reimbursement determinations by third-party payers, including Medicare and Medicaid; unanticipated expenses; the costs of developing, producing, and selling products; the ability of Regeneron to meet any of its sales or other financial projections or guidance and changes to the assumptions underlying those projections or guidance; the potential for any license or collaboration agreement, including Regeneron's agreements with Sanofi and Bayer HealthCare, to be cancelled or terminated without any further product success; and risks associated with third party intellectual property and pending or future litigation relating thereto. A more complete description of these and other material risks can be found in Regeneron's filings with the United States Securities and Exchange Commission, including its Form 10-K for the year ended December 31, 2012 and Form 10-Q for the quarter ended June 30, 2013. Regeneron does not undertake any obligation to update publicly any forward-looking statement, including without limitation any financial projection or guidance, whether as a result of new information, future events, or otherwise, unless required by law.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Bayer Forward-Looking Statements</w:t>
      </w:r>
    </w:p>
    <w:p>
      <w:pPr>
        <w:spacing w:after="0" w:line="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This release may contain forward-looking statements based on current assumptions and forecasts made by Bayer Group or subgroup management. Various known and unknown risks, uncertainties and other factors could lead to material differences between the actual future results, financial situation, development or performance of the company and the estimates given here. These factors include those discussed in Bayer's public reports which are available on the Bayer website at www.bayer.com. The company assumes no liability whatsoever to update these forward-looking statements or to conform them to future events or developments.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Your Investor Relations Contact at Regeneron: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Manisha Narasimhan, Ph.D. Tel. 914.847.5126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E-Mail: manisha.narasimhan@regeneron.com</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Your Media Contact at Regeneron: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Sandy Sexton, Tel. 914.847.3358</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E-Mail: sandra.sexton@regeneron.com</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Your Contact at Bayer: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Doreen Schroeder, Tel. +49 30 468-11399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E-Mail: doreen.schroeder@bayer.com</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sectPr>
      <w:pgSz w:w="11900" w:h="16838" w:orient="portrait"/>
      <w:cols w:equalWidth="0" w:num="1">
        <w:col w:w="11420"/>
      </w:cols>
      <w:pgMar w:left="240" w:top="6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2019-12-06T04:36:40Z</dcterms:created>
  <dcterms:modified xsi:type="dcterms:W3CDTF">2019-12-06T04:36:40Z</dcterms:modified>
</cp:coreProperties>
</file>