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15, 2004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REGENERON PHARMACEUTICALS,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jc w:val="center"/>
              <w:ind w:right="692"/>
              <w:spacing w:after="0"/>
              <w:rPr>
                <w:sz w:val="20"/>
                <w:szCs w:val="20"/>
                <w:color w:val="auto"/>
              </w:rPr>
            </w:pPr>
            <w:r>
              <w:rPr>
                <w:rFonts w:ascii="Arial" w:cs="Arial" w:eastAsia="Arial" w:hAnsi="Arial"/>
                <w:sz w:val="18"/>
                <w:szCs w:val="18"/>
                <w:b w:val="1"/>
                <w:bCs w:val="1"/>
                <w:color w:val="auto"/>
                <w:w w:val="90"/>
              </w:rPr>
              <w:t>New York</w:t>
            </w:r>
          </w:p>
        </w:tc>
        <w:tc>
          <w:tcPr>
            <w:tcW w:w="2040" w:type="dxa"/>
            <w:vAlign w:val="bottom"/>
          </w:tcPr>
          <w:p>
            <w:pPr>
              <w:jc w:val="center"/>
              <w:ind w:right="692"/>
              <w:spacing w:after="0"/>
              <w:rPr>
                <w:sz w:val="20"/>
                <w:szCs w:val="20"/>
                <w:color w:val="auto"/>
              </w:rPr>
            </w:pPr>
            <w:r>
              <w:rPr>
                <w:rFonts w:ascii="Arial" w:cs="Arial" w:eastAsia="Arial" w:hAnsi="Arial"/>
                <w:sz w:val="18"/>
                <w:szCs w:val="18"/>
                <w:b w:val="1"/>
                <w:bCs w:val="1"/>
                <w:color w:val="auto"/>
                <w:w w:val="87"/>
              </w:rPr>
              <w:t>0-19034</w:t>
            </w:r>
          </w:p>
        </w:tc>
        <w:tc>
          <w:tcPr>
            <w:tcW w:w="33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No. 13-3444607</w:t>
            </w:r>
          </w:p>
        </w:tc>
      </w:tr>
      <w:tr>
        <w:trPr>
          <w:trHeight w:val="110"/>
        </w:trPr>
        <w:tc>
          <w:tcPr>
            <w:tcW w:w="60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09"/>
        </w:trPr>
        <w:tc>
          <w:tcPr>
            <w:tcW w:w="6000" w:type="dxa"/>
            <w:vAlign w:val="bottom"/>
          </w:tcPr>
          <w:p>
            <w:pPr>
              <w:jc w:val="center"/>
              <w:ind w:right="712"/>
              <w:spacing w:after="0"/>
              <w:rPr>
                <w:sz w:val="20"/>
                <w:szCs w:val="20"/>
                <w:color w:val="auto"/>
              </w:rPr>
            </w:pPr>
            <w:r>
              <w:rPr>
                <w:rFonts w:ascii="Arial" w:cs="Arial" w:eastAsia="Arial" w:hAnsi="Arial"/>
                <w:sz w:val="18"/>
                <w:szCs w:val="18"/>
                <w:color w:val="auto"/>
                <w:w w:val="90"/>
              </w:rPr>
              <w:t>(State or other jurisdiction of</w:t>
            </w:r>
          </w:p>
        </w:tc>
        <w:tc>
          <w:tcPr>
            <w:tcW w:w="2040" w:type="dxa"/>
            <w:vAlign w:val="bottom"/>
          </w:tcPr>
          <w:p>
            <w:pPr>
              <w:jc w:val="center"/>
              <w:ind w:right="692"/>
              <w:spacing w:after="0"/>
              <w:rPr>
                <w:sz w:val="20"/>
                <w:szCs w:val="20"/>
                <w:color w:val="auto"/>
              </w:rPr>
            </w:pPr>
            <w:r>
              <w:rPr>
                <w:rFonts w:ascii="Arial" w:cs="Arial" w:eastAsia="Arial" w:hAnsi="Arial"/>
                <w:sz w:val="18"/>
                <w:szCs w:val="18"/>
                <w:color w:val="auto"/>
                <w:w w:val="89"/>
              </w:rPr>
              <w:t>(Commission</w:t>
            </w:r>
          </w:p>
        </w:tc>
        <w:tc>
          <w:tcPr>
            <w:tcW w:w="3380" w:type="dxa"/>
            <w:vAlign w:val="bottom"/>
          </w:tcPr>
          <w:p>
            <w:pPr>
              <w:jc w:val="center"/>
              <w:ind w:right="132"/>
              <w:spacing w:after="0"/>
              <w:rPr>
                <w:sz w:val="20"/>
                <w:szCs w:val="20"/>
                <w:color w:val="auto"/>
              </w:rPr>
            </w:pPr>
            <w:r>
              <w:rPr>
                <w:rFonts w:ascii="Arial" w:cs="Arial" w:eastAsia="Arial" w:hAnsi="Arial"/>
                <w:sz w:val="18"/>
                <w:szCs w:val="18"/>
                <w:color w:val="auto"/>
                <w:w w:val="92"/>
              </w:rPr>
              <w:t>(IRS Employer</w:t>
            </w:r>
          </w:p>
        </w:tc>
      </w:tr>
      <w:tr>
        <w:trPr>
          <w:trHeight w:val="222"/>
        </w:trPr>
        <w:tc>
          <w:tcPr>
            <w:tcW w:w="6000" w:type="dxa"/>
            <w:vAlign w:val="bottom"/>
          </w:tcPr>
          <w:p>
            <w:pPr>
              <w:jc w:val="center"/>
              <w:ind w:right="692"/>
              <w:spacing w:after="0"/>
              <w:rPr>
                <w:sz w:val="20"/>
                <w:szCs w:val="20"/>
                <w:color w:val="auto"/>
              </w:rPr>
            </w:pPr>
            <w:r>
              <w:rPr>
                <w:rFonts w:ascii="Arial" w:cs="Arial" w:eastAsia="Arial" w:hAnsi="Arial"/>
                <w:sz w:val="18"/>
                <w:szCs w:val="18"/>
                <w:color w:val="auto"/>
                <w:w w:val="92"/>
              </w:rPr>
              <w:t>incorporation)</w:t>
            </w:r>
          </w:p>
        </w:tc>
        <w:tc>
          <w:tcPr>
            <w:tcW w:w="2040" w:type="dxa"/>
            <w:vAlign w:val="bottom"/>
          </w:tcPr>
          <w:p>
            <w:pPr>
              <w:jc w:val="center"/>
              <w:ind w:right="692"/>
              <w:spacing w:after="0"/>
              <w:rPr>
                <w:sz w:val="20"/>
                <w:szCs w:val="20"/>
                <w:color w:val="auto"/>
              </w:rPr>
            </w:pPr>
            <w:r>
              <w:rPr>
                <w:rFonts w:ascii="Arial" w:cs="Arial" w:eastAsia="Arial" w:hAnsi="Arial"/>
                <w:sz w:val="18"/>
                <w:szCs w:val="18"/>
                <w:color w:val="auto"/>
                <w:w w:val="90"/>
              </w:rPr>
              <w:t>File Number)</w:t>
            </w:r>
          </w:p>
        </w:tc>
        <w:tc>
          <w:tcPr>
            <w:tcW w:w="3380" w:type="dxa"/>
            <w:vAlign w:val="bottom"/>
          </w:tcPr>
          <w:p>
            <w:pPr>
              <w:jc w:val="center"/>
              <w:ind w:right="11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8040" w:type="dxa"/>
            <w:vAlign w:val="bottom"/>
            <w:gridSpan w:val="2"/>
          </w:tcPr>
          <w:p>
            <w:pPr>
              <w:jc w:val="center"/>
              <w:ind w:left="812"/>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3380" w:type="dxa"/>
            <w:vAlign w:val="bottom"/>
          </w:tcPr>
          <w:p>
            <w:pPr>
              <w:jc w:val="right"/>
              <w:ind w:right="612"/>
              <w:spacing w:after="0"/>
              <w:rPr>
                <w:sz w:val="20"/>
                <w:szCs w:val="20"/>
                <w:color w:val="auto"/>
              </w:rPr>
            </w:pPr>
            <w:r>
              <w:rPr>
                <w:rFonts w:ascii="Arial" w:cs="Arial" w:eastAsia="Arial" w:hAnsi="Arial"/>
                <w:sz w:val="18"/>
                <w:szCs w:val="18"/>
                <w:b w:val="1"/>
                <w:bCs w:val="1"/>
                <w:color w:val="auto"/>
              </w:rPr>
              <w:t>10591-6707</w:t>
            </w:r>
          </w:p>
        </w:tc>
      </w:tr>
      <w:tr>
        <w:trPr>
          <w:trHeight w:val="110"/>
        </w:trPr>
        <w:tc>
          <w:tcPr>
            <w:tcW w:w="60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16"/>
        </w:trPr>
        <w:tc>
          <w:tcPr>
            <w:tcW w:w="6000" w:type="dxa"/>
            <w:vAlign w:val="bottom"/>
          </w:tcPr>
          <w:p>
            <w:pPr>
              <w:jc w:val="center"/>
              <w:ind w:left="2852"/>
              <w:spacing w:after="0"/>
              <w:rPr>
                <w:sz w:val="20"/>
                <w:szCs w:val="20"/>
                <w:color w:val="auto"/>
              </w:rPr>
            </w:pPr>
            <w:r>
              <w:rPr>
                <w:rFonts w:ascii="Arial" w:cs="Arial" w:eastAsia="Arial" w:hAnsi="Arial"/>
                <w:sz w:val="18"/>
                <w:szCs w:val="18"/>
                <w:color w:val="auto"/>
                <w:w w:val="90"/>
              </w:rPr>
              <w:t>(Address of principal executive offices)</w:t>
            </w:r>
          </w:p>
        </w:tc>
        <w:tc>
          <w:tcPr>
            <w:tcW w:w="2040" w:type="dxa"/>
            <w:vAlign w:val="bottom"/>
          </w:tcPr>
          <w:p>
            <w:pPr>
              <w:spacing w:after="0"/>
              <w:rPr>
                <w:sz w:val="24"/>
                <w:szCs w:val="24"/>
                <w:color w:val="auto"/>
              </w:rPr>
            </w:pPr>
          </w:p>
        </w:tc>
        <w:tc>
          <w:tcPr>
            <w:tcW w:w="3380" w:type="dxa"/>
            <w:vAlign w:val="bottom"/>
          </w:tcPr>
          <w:p>
            <w:pPr>
              <w:jc w:val="center"/>
              <w:ind w:left="103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(914) 347-7000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Written communications pursuant to Rule 425 under the Securities Act (17 CFR 230.425)</w:t>
      </w:r>
    </w:p>
    <w:p>
      <w:pPr>
        <w:spacing w:after="0" w:line="279"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5"/>
          <w:szCs w:val="15"/>
          <w:color w:val="auto"/>
        </w:rPr>
        <w:t>Pre-commencement communications pursuant to Rule 14d-2(b) under the Exchange Act (17 CFR 240.14d-2(b))</w:t>
      </w:r>
    </w:p>
    <w:p>
      <w:pPr>
        <w:spacing w:after="0" w:line="279" w:lineRule="exact"/>
        <w:rPr>
          <w:sz w:val="24"/>
          <w:szCs w:val="24"/>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46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5" w:lineRule="exact"/>
        <w:rPr>
          <w:sz w:val="24"/>
          <w:szCs w:val="24"/>
          <w:color w:val="auto"/>
        </w:rPr>
      </w:pPr>
    </w:p>
    <w:p>
      <w:pPr>
        <w:ind w:left="920" w:right="60"/>
        <w:spacing w:after="0" w:line="288" w:lineRule="auto"/>
        <w:rPr>
          <w:sz w:val="20"/>
          <w:szCs w:val="20"/>
          <w:color w:val="auto"/>
        </w:rPr>
      </w:pPr>
      <w:r>
        <w:rPr>
          <w:rFonts w:ascii="Arial" w:cs="Arial" w:eastAsia="Arial" w:hAnsi="Arial"/>
          <w:sz w:val="16"/>
          <w:szCs w:val="16"/>
          <w:color w:val="auto"/>
        </w:rPr>
        <w:t xml:space="preserve">On November 15, 2004, the Company’s board of directors adopted, upon the recommendation of the Compensation Committee and subject to shareholder approval, an amendment to the Company’s 2000 Long-Term Incentive Plan (the “2000 Plan”) to expressly authorize an Option Exchange Program whereby eligible employees will have a one-time opportunity to exchange certain stock options for a lesser number of replacement options having an exercise price equal to the fair market value of the Company’s Common Stock on the grant date of the replacement options, as determined in accordance with the 2000 Plan. The Company has filed a preliminary proxy statement with the Securities and Exchange Commission in connection with a Special Meeting of shareholders to be convened to vote on a proposal to approve the amendment to the 2000 Plan. If shareholders do not approve the proposal upon a vote at the Special Meeting or any adjournment or postponement thereof, the amendment will be void </w:t>
      </w:r>
      <w:r>
        <w:rPr>
          <w:rFonts w:ascii="Arial" w:cs="Arial" w:eastAsia="Arial" w:hAnsi="Arial"/>
          <w:sz w:val="16"/>
          <w:szCs w:val="16"/>
          <w:i w:val="1"/>
          <w:iCs w:val="1"/>
          <w:color w:val="auto"/>
        </w:rPr>
        <w:t>ab initio</w:t>
      </w:r>
      <w:r>
        <w:rPr>
          <w:rFonts w:ascii="Arial" w:cs="Arial" w:eastAsia="Arial" w:hAnsi="Arial"/>
          <w:sz w:val="16"/>
          <w:szCs w:val="16"/>
          <w:color w:val="auto"/>
        </w:rPr>
        <w:t>. The foregoing description of the amendment is qualified in its entirety by reference to the text of Amendment No. 4 to the 2000 Plan, which constitutes Exhibit 10.01 hereto and is incorporated herein by reference.</w:t>
      </w:r>
    </w:p>
    <w:p>
      <w:pPr>
        <w:spacing w:after="0" w:line="19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00" w:type="dxa"/>
            <w:vAlign w:val="bottom"/>
            <w:gridSpan w:val="3"/>
          </w:tcPr>
          <w:p>
            <w:pPr>
              <w:ind w:left="92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Exhibits.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80" w:type="dxa"/>
            <w:vAlign w:val="bottom"/>
          </w:tcPr>
          <w:p>
            <w:pPr>
              <w:spacing w:after="0"/>
              <w:rPr>
                <w:sz w:val="19"/>
                <w:szCs w:val="19"/>
                <w:color w:val="auto"/>
              </w:rPr>
            </w:pPr>
          </w:p>
        </w:tc>
      </w:tr>
      <w:tr>
        <w:trPr>
          <w:trHeight w:val="448"/>
        </w:trPr>
        <w:tc>
          <w:tcPr>
            <w:tcW w:w="9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44"/>
        </w:trPr>
        <w:tc>
          <w:tcPr>
            <w:tcW w:w="9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3"/>
              </w:rPr>
              <w:t>Amendment No. 4 to the Regeneron Pharmaceuticals, Inc. 2000 Long-Term Incentive Plan (included as Annex A to the</w:t>
            </w:r>
          </w:p>
        </w:tc>
      </w:tr>
      <w:tr>
        <w:trPr>
          <w:trHeight w:val="216"/>
        </w:trPr>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w w:val="93"/>
              </w:rPr>
              <w:t>Company’s preliminary proxy statement filed with the Securities and Exchange Commission on November 17, 2004 and</w:t>
            </w:r>
          </w:p>
        </w:tc>
      </w:tr>
      <w:tr>
        <w:trPr>
          <w:trHeight w:val="222"/>
        </w:trPr>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20" w:type="dxa"/>
            <w:vAlign w:val="bottom"/>
            <w:gridSpan w:val="3"/>
          </w:tcPr>
          <w:p>
            <w:pPr>
              <w:ind w:left="220"/>
              <w:spacing w:after="0"/>
              <w:rPr>
                <w:sz w:val="20"/>
                <w:szCs w:val="20"/>
                <w:color w:val="auto"/>
              </w:rPr>
            </w:pPr>
            <w:r>
              <w:rPr>
                <w:rFonts w:ascii="Arial" w:cs="Arial" w:eastAsia="Arial" w:hAnsi="Arial"/>
                <w:sz w:val="18"/>
                <w:szCs w:val="18"/>
                <w:color w:val="auto"/>
              </w:rPr>
              <w:t>incorporated herein by reference).</w:t>
            </w:r>
          </w:p>
        </w:tc>
      </w:tr>
      <w:tr>
        <w:trPr>
          <w:trHeight w:val="43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20" w:type="dxa"/>
            <w:vAlign w:val="bottom"/>
            <w:gridSpan w:val="3"/>
          </w:tcPr>
          <w:p>
            <w:pPr>
              <w:jc w:val="right"/>
              <w:ind w:right="5660"/>
              <w:spacing w:after="0"/>
              <w:rPr>
                <w:sz w:val="20"/>
                <w:szCs w:val="20"/>
                <w:color w:val="auto"/>
              </w:rPr>
            </w:pPr>
            <w:r>
              <w:rPr>
                <w:rFonts w:ascii="Arial" w:cs="Arial" w:eastAsia="Arial" w:hAnsi="Arial"/>
                <w:sz w:val="18"/>
                <w:szCs w:val="18"/>
                <w:color w:val="auto"/>
              </w:rPr>
              <w:t>2</w:t>
            </w:r>
          </w:p>
        </w:tc>
      </w:tr>
      <w:tr>
        <w:trPr>
          <w:trHeight w:val="215"/>
        </w:trPr>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80" w:type="dxa"/>
            <w:vAlign w:val="bottom"/>
          </w:tcPr>
          <w:p>
            <w:pPr>
              <w:spacing w:after="0"/>
              <w:rPr>
                <w:sz w:val="18"/>
                <w:szCs w:val="18"/>
                <w:color w:val="auto"/>
              </w:rPr>
            </w:pPr>
          </w:p>
        </w:tc>
      </w:tr>
      <w:tr>
        <w:trPr>
          <w:trHeight w:val="74"/>
        </w:trPr>
        <w:tc>
          <w:tcPr>
            <w:tcW w:w="920" w:type="dxa"/>
            <w:vAlign w:val="bottom"/>
            <w:shd w:val="clear" w:color="auto" w:fill="808080"/>
          </w:tcPr>
          <w:p>
            <w:pPr>
              <w:spacing w:after="0"/>
              <w:rPr>
                <w:sz w:val="6"/>
                <w:szCs w:val="6"/>
                <w:color w:val="auto"/>
              </w:rPr>
            </w:pPr>
          </w:p>
        </w:tc>
        <w:tc>
          <w:tcPr>
            <w:tcW w:w="11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8080" w:type="dxa"/>
            <w:vAlign w:val="bottom"/>
            <w:shd w:val="clear" w:color="auto" w:fill="808080"/>
          </w:tcPr>
          <w:p>
            <w:pPr>
              <w:spacing w:after="0"/>
              <w:rPr>
                <w:sz w:val="6"/>
                <w:szCs w:val="6"/>
                <w:color w:val="auto"/>
              </w:rPr>
            </w:pPr>
          </w:p>
        </w:tc>
      </w:tr>
    </w:tbl>
    <w:p>
      <w:pPr>
        <w:spacing w:after="0" w:line="231" w:lineRule="exact"/>
        <w:rPr>
          <w:sz w:val="24"/>
          <w:szCs w:val="24"/>
          <w:color w:val="auto"/>
        </w:rPr>
      </w:pPr>
    </w:p>
    <w:p>
      <w:pPr>
        <w:ind w:right="820" w:firstLine="27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4000" w:type="dxa"/>
            <w:vAlign w:val="bottom"/>
            <w:gridSpan w:val="3"/>
          </w:tcPr>
          <w:p>
            <w:pPr>
              <w:ind w:left="740"/>
              <w:spacing w:after="0"/>
              <w:rPr>
                <w:sz w:val="20"/>
                <w:szCs w:val="20"/>
                <w:color w:val="auto"/>
              </w:rPr>
            </w:pPr>
            <w:r>
              <w:rPr>
                <w:rFonts w:ascii="Arial" w:cs="Arial" w:eastAsia="Arial" w:hAnsi="Arial"/>
                <w:sz w:val="18"/>
                <w:szCs w:val="18"/>
                <w:color w:val="auto"/>
                <w:w w:val="93"/>
              </w:rPr>
              <w:t>REGENERON PHARMACEUTICALS, INC.</w:t>
            </w:r>
          </w:p>
        </w:tc>
      </w:tr>
      <w:tr>
        <w:trPr>
          <w:trHeight w:val="448"/>
        </w:trPr>
        <w:tc>
          <w:tcPr>
            <w:tcW w:w="2680" w:type="dxa"/>
            <w:vAlign w:val="bottom"/>
          </w:tcPr>
          <w:p>
            <w:pPr>
              <w:spacing w:after="0"/>
              <w:rPr>
                <w:sz w:val="20"/>
                <w:szCs w:val="20"/>
                <w:color w:val="auto"/>
              </w:rPr>
            </w:pPr>
            <w:r>
              <w:rPr>
                <w:rFonts w:ascii="Arial" w:cs="Arial" w:eastAsia="Arial" w:hAnsi="Arial"/>
                <w:sz w:val="18"/>
                <w:szCs w:val="18"/>
                <w:color w:val="auto"/>
              </w:rPr>
              <w:t>Dated: November 17, 2004</w:t>
            </w:r>
          </w:p>
        </w:tc>
        <w:tc>
          <w:tcPr>
            <w:tcW w:w="4000" w:type="dxa"/>
            <w:vAlign w:val="bottom"/>
            <w:gridSpan w:val="3"/>
          </w:tcPr>
          <w:p>
            <w:pPr>
              <w:ind w:left="760"/>
              <w:spacing w:after="0"/>
              <w:rPr>
                <w:sz w:val="20"/>
                <w:szCs w:val="20"/>
                <w:color w:val="auto"/>
              </w:rPr>
            </w:pPr>
            <w:r>
              <w:rPr>
                <w:rFonts w:ascii="Arial" w:cs="Arial" w:eastAsia="Arial" w:hAnsi="Arial"/>
                <w:sz w:val="18"/>
                <w:szCs w:val="18"/>
                <w:color w:val="auto"/>
              </w:rPr>
              <w:t>By: /s/ Stuart Kolinski</w:t>
            </w:r>
          </w:p>
        </w:tc>
      </w:tr>
      <w:tr>
        <w:trPr>
          <w:trHeight w:val="228"/>
        </w:trPr>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Stuart Kolinski</w:t>
            </w:r>
          </w:p>
        </w:tc>
        <w:tc>
          <w:tcPr>
            <w:tcW w:w="1660" w:type="dxa"/>
            <w:vAlign w:val="bottom"/>
          </w:tcPr>
          <w:p>
            <w:pPr>
              <w:spacing w:after="0"/>
              <w:rPr>
                <w:sz w:val="19"/>
                <w:szCs w:val="19"/>
                <w:color w:val="auto"/>
              </w:rPr>
            </w:pPr>
          </w:p>
        </w:tc>
      </w:tr>
      <w:tr>
        <w:trPr>
          <w:trHeight w:val="222"/>
        </w:trPr>
        <w:tc>
          <w:tcPr>
            <w:tcW w:w="2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Vice President &amp; General Counsel</w:t>
            </w:r>
          </w:p>
        </w:tc>
      </w:tr>
    </w:tbl>
    <w:p>
      <w:pPr>
        <w:sectPr>
          <w:pgSz w:w="11900" w:h="16895"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jc w:val="center"/>
              <w:ind w:right="792"/>
              <w:spacing w:after="0"/>
              <w:rPr>
                <w:sz w:val="20"/>
                <w:szCs w:val="20"/>
                <w:color w:val="auto"/>
              </w:rPr>
            </w:pPr>
            <w:r>
              <w:rPr>
                <w:rFonts w:ascii="Arial" w:cs="Arial" w:eastAsia="Arial" w:hAnsi="Arial"/>
                <w:sz w:val="18"/>
                <w:szCs w:val="18"/>
                <w:color w:val="auto"/>
                <w:w w:val="79"/>
              </w:rPr>
              <w:t>3</w:t>
            </w:r>
          </w:p>
        </w:tc>
      </w:tr>
      <w:tr>
        <w:trPr>
          <w:trHeight w:val="215"/>
        </w:trPr>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9360" w:type="dxa"/>
            <w:vAlign w:val="bottom"/>
            <w:shd w:val="clear" w:color="auto" w:fill="808080"/>
          </w:tcPr>
          <w:p>
            <w:pPr>
              <w:spacing w:after="0"/>
              <w:rPr>
                <w:sz w:val="6"/>
                <w:szCs w:val="6"/>
                <w:color w:val="auto"/>
              </w:rPr>
            </w:pPr>
          </w:p>
        </w:tc>
      </w:tr>
      <w:tr>
        <w:trPr>
          <w:trHeight w:val="427"/>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360" w:type="dxa"/>
            <w:vAlign w:val="bottom"/>
          </w:tcPr>
          <w:p>
            <w:pPr>
              <w:jc w:val="center"/>
              <w:ind w:right="1972"/>
              <w:spacing w:after="0"/>
              <w:rPr>
                <w:sz w:val="20"/>
                <w:szCs w:val="20"/>
                <w:color w:val="auto"/>
              </w:rPr>
            </w:pPr>
            <w:r>
              <w:rPr>
                <w:rFonts w:ascii="Arial" w:cs="Arial" w:eastAsia="Arial" w:hAnsi="Arial"/>
                <w:sz w:val="18"/>
                <w:szCs w:val="18"/>
                <w:b w:val="1"/>
                <w:bCs w:val="1"/>
                <w:color w:val="auto"/>
                <w:w w:val="91"/>
              </w:rPr>
              <w:t>Exhibit Index</w:t>
            </w:r>
          </w:p>
        </w:tc>
      </w:tr>
      <w:tr>
        <w:trPr>
          <w:trHeight w:val="394"/>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Number</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498"/>
        </w:trPr>
        <w:tc>
          <w:tcPr>
            <w:tcW w:w="640" w:type="dxa"/>
            <w:vAlign w:val="bottom"/>
          </w:tcPr>
          <w:p>
            <w:pPr>
              <w:spacing w:after="0"/>
              <w:rPr>
                <w:sz w:val="20"/>
                <w:szCs w:val="20"/>
                <w:color w:val="auto"/>
              </w:rPr>
            </w:pPr>
            <w:r>
              <w:rPr>
                <w:rFonts w:ascii="Arial" w:cs="Arial" w:eastAsia="Arial" w:hAnsi="Arial"/>
                <w:sz w:val="18"/>
                <w:szCs w:val="18"/>
                <w:color w:val="auto"/>
              </w:rPr>
              <w:t>10.01</w:t>
            </w:r>
          </w:p>
        </w:tc>
        <w:tc>
          <w:tcPr>
            <w:tcW w:w="260" w:type="dxa"/>
            <w:vAlign w:val="bottom"/>
          </w:tcPr>
          <w:p>
            <w:pPr>
              <w:spacing w:after="0"/>
              <w:rPr>
                <w:sz w:val="24"/>
                <w:szCs w:val="24"/>
                <w:color w:val="auto"/>
              </w:rPr>
            </w:pPr>
          </w:p>
        </w:tc>
        <w:tc>
          <w:tcPr>
            <w:tcW w:w="10520" w:type="dxa"/>
            <w:vAlign w:val="bottom"/>
            <w:gridSpan w:val="3"/>
          </w:tcPr>
          <w:p>
            <w:pPr>
              <w:ind w:left="260"/>
              <w:spacing w:after="0"/>
              <w:rPr>
                <w:sz w:val="20"/>
                <w:szCs w:val="20"/>
                <w:color w:val="auto"/>
              </w:rPr>
            </w:pPr>
            <w:r>
              <w:rPr>
                <w:rFonts w:ascii="Arial" w:cs="Arial" w:eastAsia="Arial" w:hAnsi="Arial"/>
                <w:sz w:val="18"/>
                <w:szCs w:val="18"/>
                <w:color w:val="auto"/>
                <w:w w:val="90"/>
              </w:rPr>
              <w:t>Amendment No. 4 to the Regeneron Pharmaceuticals, Inc. 2000 Long-Term Incentive Plan (included as Annex A to the Company’s preliminary</w:t>
            </w: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20" w:type="dxa"/>
            <w:vAlign w:val="bottom"/>
            <w:gridSpan w:val="3"/>
          </w:tcPr>
          <w:p>
            <w:pPr>
              <w:ind w:left="260"/>
              <w:spacing w:after="0"/>
              <w:rPr>
                <w:sz w:val="20"/>
                <w:szCs w:val="20"/>
                <w:color w:val="auto"/>
              </w:rPr>
            </w:pPr>
            <w:r>
              <w:rPr>
                <w:rFonts w:ascii="Arial" w:cs="Arial" w:eastAsia="Arial" w:hAnsi="Arial"/>
                <w:sz w:val="18"/>
                <w:szCs w:val="18"/>
                <w:color w:val="auto"/>
                <w:w w:val="98"/>
              </w:rPr>
              <w:t>proxy statement filed with the Securities and Exchange Commission on November 17, 2004 and incorporated herein by reference).</w:t>
            </w:r>
          </w:p>
        </w:tc>
      </w:tr>
      <w:tr>
        <w:trPr>
          <w:trHeight w:val="675"/>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520" w:type="dxa"/>
            <w:vAlign w:val="bottom"/>
            <w:gridSpan w:val="3"/>
          </w:tcPr>
          <w:p>
            <w:pPr>
              <w:jc w:val="center"/>
              <w:ind w:right="792"/>
              <w:spacing w:after="0"/>
              <w:rPr>
                <w:sz w:val="20"/>
                <w:szCs w:val="20"/>
                <w:color w:val="auto"/>
              </w:rPr>
            </w:pPr>
            <w:r>
              <w:rPr>
                <w:rFonts w:ascii="Arial" w:cs="Arial" w:eastAsia="Arial" w:hAnsi="Arial"/>
                <w:sz w:val="18"/>
                <w:szCs w:val="18"/>
                <w:color w:val="auto"/>
                <w:w w:val="79"/>
              </w:rPr>
              <w:t>4</w:t>
            </w:r>
          </w:p>
        </w:tc>
      </w:tr>
      <w:tr>
        <w:trPr>
          <w:trHeight w:val="215"/>
        </w:trPr>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74"/>
        </w:trPr>
        <w:tc>
          <w:tcPr>
            <w:tcW w:w="64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93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2019-12-21T02:08:57Z</dcterms:created>
  <dcterms:modified xsi:type="dcterms:W3CDTF">2019-12-21T02:08:57Z</dcterms:modified>
</cp:coreProperties>
</file>