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SCHEDULE 13D</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(Rule 13d-101)</w:t>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3)*</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884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884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5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884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5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Karen Linehan</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Executive Vice President, Legal Affairs and General Counsel</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Sanofi</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54, rue La Boétie, 75008</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Paris, France</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Telephone: +33 1 53 77 40 00</w:t>
      </w:r>
    </w:p>
    <w:p>
      <w:pPr>
        <w:spacing w:after="0" w:line="235" w:lineRule="exact"/>
        <w:rPr>
          <w:sz w:val="24"/>
          <w:szCs w:val="24"/>
          <w:color w:val="auto"/>
        </w:rPr>
      </w:pPr>
    </w:p>
    <w:p>
      <w:pPr>
        <w:jc w:val="center"/>
        <w:ind w:right="-39"/>
        <w:spacing w:after="0"/>
        <w:rPr>
          <w:sz w:val="20"/>
          <w:szCs w:val="20"/>
          <w:color w:val="auto"/>
        </w:rPr>
      </w:pPr>
      <w:r>
        <w:rPr>
          <w:rFonts w:ascii="Arial" w:cs="Arial" w:eastAsia="Arial" w:hAnsi="Arial"/>
          <w:sz w:val="18"/>
          <w:szCs w:val="18"/>
          <w:i w:val="1"/>
          <w:iCs w:val="1"/>
          <w:color w:val="auto"/>
        </w:rPr>
        <w:t>Copy to:</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Michael J. Aiello, Esq.</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Weil, Gotshal &amp; Manges LLP</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767 Fifth Avenue</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New York, New York 10153</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(212) 310-8000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26884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Authorized to Receive Notices and Communications)</w:t>
      </w:r>
    </w:p>
    <w:p>
      <w:pPr>
        <w:spacing w:after="0" w:line="200" w:lineRule="exact"/>
        <w:rPr>
          <w:sz w:val="24"/>
          <w:szCs w:val="24"/>
          <w:color w:val="auto"/>
        </w:rPr>
      </w:pPr>
    </w:p>
    <w:p>
      <w:pPr>
        <w:spacing w:after="0" w:line="27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March 12,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884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9" w:lineRule="exact"/>
        <w:rPr>
          <w:sz w:val="24"/>
          <w:szCs w:val="24"/>
          <w:color w:val="auto"/>
        </w:rPr>
      </w:pPr>
    </w:p>
    <w:p>
      <w:pPr>
        <w:ind w:right="480"/>
        <w:spacing w:after="0" w:line="271" w:lineRule="auto"/>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13d-1(e), 13d-1(f) or 13d-1(g), check the following box. </w:t>
      </w:r>
      <w:r>
        <w:rPr>
          <w:rFonts w:ascii="Arial" w:cs="Arial" w:eastAsia="Arial" w:hAnsi="Arial"/>
          <w:sz w:val="21"/>
          <w:szCs w:val="21"/>
          <w:color w:val="auto"/>
        </w:rPr>
        <w:t>x</w:t>
      </w:r>
    </w:p>
    <w:p>
      <w:pPr>
        <w:spacing w:after="0" w:line="189" w:lineRule="exact"/>
        <w:rPr>
          <w:sz w:val="24"/>
          <w:szCs w:val="24"/>
          <w:color w:val="auto"/>
        </w:rPr>
      </w:pPr>
    </w:p>
    <w:p>
      <w:pPr>
        <w:ind w:right="40"/>
        <w:spacing w:after="0" w:line="271"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Rule 13d-7 for other parties to</w:t>
      </w:r>
      <w:r>
        <w:rPr>
          <w:rFonts w:ascii="Arial" w:cs="Arial" w:eastAsia="Arial" w:hAnsi="Arial"/>
          <w:sz w:val="18"/>
          <w:szCs w:val="18"/>
          <w:i w:val="1"/>
          <w:iCs w:val="1"/>
          <w:color w:val="auto"/>
        </w:rPr>
        <w:t xml:space="preserve"> </w:t>
      </w:r>
      <w:r>
        <w:rPr>
          <w:rFonts w:ascii="Arial" w:cs="Arial" w:eastAsia="Arial" w:hAnsi="Arial"/>
          <w:sz w:val="18"/>
          <w:szCs w:val="18"/>
          <w:color w:val="auto"/>
        </w:rPr>
        <w:t>whom copies are to be sent.</w:t>
      </w:r>
    </w:p>
    <w:p>
      <w:pPr>
        <w:spacing w:after="0" w:line="202" w:lineRule="exact"/>
        <w:rPr>
          <w:sz w:val="24"/>
          <w:szCs w:val="24"/>
          <w:color w:val="auto"/>
        </w:rPr>
      </w:pPr>
    </w:p>
    <w:p>
      <w:pPr>
        <w:spacing w:after="0" w:line="271"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ind w:right="40"/>
        <w:spacing w:after="0" w:line="335"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725233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951"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29"/>
          <w:szCs w:val="29"/>
          <w:color w:val="auto"/>
        </w:rPr>
        <w:t>13D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60" w:type="dxa"/>
            <w:vAlign w:val="bottom"/>
            <w:tcBorders>
              <w:right w:val="single" w:sz="8" w:color="auto"/>
            </w:tcBorders>
          </w:tcPr>
          <w:p>
            <w:pPr>
              <w:spacing w:after="0"/>
              <w:rPr>
                <w:sz w:val="24"/>
                <w:szCs w:val="24"/>
                <w:color w:val="auto"/>
              </w:rPr>
            </w:pPr>
          </w:p>
        </w:tc>
        <w:tc>
          <w:tcPr>
            <w:tcW w:w="136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tcBorders>
          </w:tcPr>
          <w:p>
            <w:pPr>
              <w:spacing w:after="0"/>
              <w:rPr>
                <w:sz w:val="24"/>
                <w:szCs w:val="24"/>
                <w:color w:val="auto"/>
              </w:rPr>
            </w:pPr>
          </w:p>
        </w:tc>
        <w:tc>
          <w:tcPr>
            <w:tcW w:w="520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NAME OF REPORTING PERSONS</w:t>
            </w:r>
          </w:p>
        </w:tc>
        <w:tc>
          <w:tcPr>
            <w:tcW w:w="30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27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0" w:type="dxa"/>
            <w:vAlign w:val="bottom"/>
            <w:tcBorders>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Sanofi</w:t>
            </w:r>
          </w:p>
        </w:tc>
        <w:tc>
          <w:tcPr>
            <w:tcW w:w="9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5200" w:type="dxa"/>
            <w:vAlign w:val="bottom"/>
            <w:gridSpan w:val="3"/>
          </w:tcPr>
          <w:p>
            <w:pPr>
              <w:ind w:left="60"/>
              <w:spacing w:after="0"/>
              <w:rPr>
                <w:sz w:val="20"/>
                <w:szCs w:val="20"/>
                <w:color w:val="auto"/>
              </w:rPr>
            </w:pPr>
            <w:r>
              <w:rPr>
                <w:rFonts w:ascii="Arial" w:cs="Arial" w:eastAsia="Arial" w:hAnsi="Arial"/>
                <w:sz w:val="18"/>
                <w:szCs w:val="18"/>
                <w:color w:val="auto"/>
                <w:w w:val="98"/>
              </w:rPr>
              <w:t>CHECK THE APPROPRIATE BOX IF A MEMBER OF A GROUP</w:t>
            </w: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740" w:type="dxa"/>
            <w:vAlign w:val="bottom"/>
            <w:tcBorders>
              <w:right w:val="single" w:sz="8" w:color="auto"/>
            </w:tcBorders>
          </w:tcPr>
          <w:p>
            <w:pPr>
              <w:ind w:left="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8"/>
        </w:trPr>
        <w:tc>
          <w:tcPr>
            <w:tcW w:w="60" w:type="dxa"/>
            <w:vAlign w:val="bottom"/>
            <w:tcBorders>
              <w:bottom w:val="single" w:sz="8" w:color="auto"/>
              <w:right w:val="single" w:sz="8" w:color="auto"/>
            </w:tcBorders>
            <w:shd w:val="clear" w:color="auto" w:fill="000000"/>
          </w:tcPr>
          <w:p>
            <w:pPr>
              <w:spacing w:after="0"/>
              <w:rPr>
                <w:sz w:val="23"/>
                <w:szCs w:val="23"/>
                <w:color w:val="auto"/>
              </w:rPr>
            </w:pPr>
          </w:p>
        </w:tc>
        <w:tc>
          <w:tcPr>
            <w:tcW w:w="136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spacing w:after="0"/>
              <w:rPr>
                <w:sz w:val="23"/>
                <w:szCs w:val="23"/>
                <w:color w:val="auto"/>
              </w:rPr>
            </w:pPr>
          </w:p>
        </w:tc>
        <w:tc>
          <w:tcPr>
            <w:tcW w:w="2740" w:type="dxa"/>
            <w:vAlign w:val="bottom"/>
            <w:tcBorders>
              <w:bottom w:val="single" w:sz="8" w:color="auto"/>
              <w:right w:val="single" w:sz="8" w:color="auto"/>
            </w:tcBorders>
          </w:tcPr>
          <w:p>
            <w:pPr>
              <w:ind w:left="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5"/>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SEC USE ONLY</w:t>
            </w:r>
          </w:p>
        </w:tc>
        <w:tc>
          <w:tcPr>
            <w:tcW w:w="9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SOURCE OF FUNDS</w:t>
            </w:r>
          </w:p>
        </w:tc>
        <w:tc>
          <w:tcPr>
            <w:tcW w:w="308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rPr>
              <w:t>WC</w:t>
            </w: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5200" w:type="dxa"/>
            <w:vAlign w:val="bottom"/>
            <w:gridSpan w:val="3"/>
          </w:tcPr>
          <w:p>
            <w:pPr>
              <w:ind w:left="60"/>
              <w:spacing w:after="0"/>
              <w:rPr>
                <w:sz w:val="20"/>
                <w:szCs w:val="20"/>
                <w:color w:val="auto"/>
              </w:rPr>
            </w:pPr>
            <w:r>
              <w:rPr>
                <w:rFonts w:ascii="Arial" w:cs="Arial" w:eastAsia="Arial" w:hAnsi="Arial"/>
                <w:sz w:val="18"/>
                <w:szCs w:val="18"/>
                <w:color w:val="auto"/>
              </w:rPr>
              <w:t>CHECK BOX IF DISCLOSURE OF LEGAL PROCEEDINGS</w:t>
            </w:r>
          </w:p>
        </w:tc>
        <w:tc>
          <w:tcPr>
            <w:tcW w:w="3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spacing w:after="0"/>
              <w:rPr>
                <w:sz w:val="24"/>
                <w:szCs w:val="24"/>
                <w:color w:val="auto"/>
              </w:rPr>
            </w:pPr>
          </w:p>
        </w:tc>
        <w:tc>
          <w:tcPr>
            <w:tcW w:w="2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0" w:type="dxa"/>
            <w:vAlign w:val="bottom"/>
            <w:tcBorders>
              <w:right w:val="single" w:sz="8" w:color="auto"/>
            </w:tcBorders>
            <w:shd w:val="clear" w:color="auto" w:fill="000000"/>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5200" w:type="dxa"/>
            <w:vAlign w:val="bottom"/>
            <w:gridSpan w:val="3"/>
            <w:vMerge w:val="restart"/>
          </w:tcPr>
          <w:p>
            <w:pPr>
              <w:ind w:left="60"/>
              <w:spacing w:after="0"/>
              <w:rPr>
                <w:sz w:val="20"/>
                <w:szCs w:val="20"/>
                <w:color w:val="auto"/>
              </w:rPr>
            </w:pPr>
            <w:r>
              <w:rPr>
                <w:rFonts w:ascii="Arial" w:cs="Arial" w:eastAsia="Arial" w:hAnsi="Arial"/>
                <w:sz w:val="18"/>
                <w:szCs w:val="18"/>
                <w:color w:val="auto"/>
              </w:rPr>
              <w:t>IS REQUIRED PURSUANT TO ITEM 2(d) or 2(e)</w:t>
            </w:r>
          </w:p>
        </w:tc>
        <w:tc>
          <w:tcPr>
            <w:tcW w:w="3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60" w:type="dxa"/>
            <w:vAlign w:val="bottom"/>
            <w:tcBorders>
              <w:bottom w:val="single" w:sz="8" w:color="auto"/>
              <w:right w:val="single" w:sz="8" w:color="auto"/>
            </w:tcBorders>
            <w:shd w:val="clear" w:color="auto" w:fill="000000"/>
          </w:tcPr>
          <w:p>
            <w:pPr>
              <w:spacing w:after="0"/>
              <w:rPr>
                <w:sz w:val="13"/>
                <w:szCs w:val="13"/>
                <w:color w:val="auto"/>
              </w:rPr>
            </w:pPr>
          </w:p>
        </w:tc>
        <w:tc>
          <w:tcPr>
            <w:tcW w:w="136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0" w:type="dxa"/>
            <w:vAlign w:val="bottom"/>
            <w:tcBorders>
              <w:bottom w:val="single" w:sz="8" w:color="auto"/>
            </w:tcBorders>
            <w:gridSpan w:val="3"/>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2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520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The Republic of France</w:t>
            </w:r>
          </w:p>
        </w:tc>
        <w:tc>
          <w:tcPr>
            <w:tcW w:w="9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60" w:type="dxa"/>
            <w:vAlign w:val="bottom"/>
            <w:tcBorders>
              <w:right w:val="single" w:sz="8" w:color="auto"/>
            </w:tcBorders>
            <w:shd w:val="clear" w:color="auto" w:fill="000000"/>
          </w:tcPr>
          <w:p>
            <w:pPr>
              <w:spacing w:after="0"/>
              <w:rPr>
                <w:sz w:val="24"/>
                <w:szCs w:val="24"/>
                <w:color w:val="auto"/>
              </w:rPr>
            </w:pPr>
          </w:p>
        </w:tc>
        <w:tc>
          <w:tcPr>
            <w:tcW w:w="14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NUMBER OF</w:t>
            </w:r>
          </w:p>
        </w:tc>
        <w:tc>
          <w:tcPr>
            <w:tcW w:w="2120" w:type="dxa"/>
            <w:vAlign w:val="bottom"/>
            <w:vMerge w:val="restart"/>
          </w:tcPr>
          <w:p>
            <w:pPr>
              <w:ind w:left="160"/>
              <w:spacing w:after="0"/>
              <w:rPr>
                <w:sz w:val="20"/>
                <w:szCs w:val="20"/>
                <w:color w:val="auto"/>
              </w:rPr>
            </w:pPr>
            <w:r>
              <w:rPr>
                <w:rFonts w:ascii="Arial" w:cs="Arial" w:eastAsia="Arial" w:hAnsi="Arial"/>
                <w:sz w:val="18"/>
                <w:szCs w:val="18"/>
                <w:color w:val="auto"/>
              </w:rPr>
              <w:t>7.</w:t>
            </w:r>
          </w:p>
        </w:tc>
        <w:tc>
          <w:tcPr>
            <w:tcW w:w="980" w:type="dxa"/>
            <w:vAlign w:val="bottom"/>
            <w:tcBorders>
              <w:right w:val="single" w:sz="8" w:color="auto"/>
            </w:tcBorders>
          </w:tcPr>
          <w:p>
            <w:pPr>
              <w:spacing w:after="0"/>
              <w:rPr>
                <w:sz w:val="24"/>
                <w:szCs w:val="24"/>
                <w:color w:val="auto"/>
              </w:rPr>
            </w:pPr>
          </w:p>
        </w:tc>
        <w:tc>
          <w:tcPr>
            <w:tcW w:w="2100" w:type="dxa"/>
            <w:vAlign w:val="bottom"/>
            <w:vMerge w:val="restart"/>
          </w:tcPr>
          <w:p>
            <w:pPr>
              <w:ind w:left="160"/>
              <w:spacing w:after="0"/>
              <w:rPr>
                <w:sz w:val="20"/>
                <w:szCs w:val="20"/>
                <w:color w:val="auto"/>
              </w:rPr>
            </w:pPr>
            <w:r>
              <w:rPr>
                <w:rFonts w:ascii="Arial" w:cs="Arial" w:eastAsia="Arial" w:hAnsi="Arial"/>
                <w:sz w:val="18"/>
                <w:szCs w:val="18"/>
                <w:color w:val="auto"/>
                <w:w w:val="98"/>
              </w:rPr>
              <w:t>SOLE VOTING POWER</w:t>
            </w:r>
          </w:p>
        </w:tc>
        <w:tc>
          <w:tcPr>
            <w:tcW w:w="300" w:type="dxa"/>
            <w:vAlign w:val="bottom"/>
          </w:tcPr>
          <w:p>
            <w:pPr>
              <w:spacing w:after="0"/>
              <w:rPr>
                <w:sz w:val="24"/>
                <w:szCs w:val="24"/>
                <w:color w:val="auto"/>
              </w:rPr>
            </w:pPr>
          </w:p>
        </w:tc>
        <w:tc>
          <w:tcPr>
            <w:tcW w:w="16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0" w:type="dxa"/>
            <w:vAlign w:val="bottom"/>
            <w:tcBorders>
              <w:bottom w:val="single" w:sz="8" w:color="auto"/>
              <w:right w:val="single" w:sz="8" w:color="auto"/>
            </w:tcBorders>
            <w:shd w:val="clear" w:color="auto" w:fill="000000"/>
          </w:tcPr>
          <w:p>
            <w:pPr>
              <w:spacing w:after="0"/>
              <w:rPr>
                <w:sz w:val="7"/>
                <w:szCs w:val="7"/>
                <w:color w:val="auto"/>
              </w:rPr>
            </w:pPr>
          </w:p>
        </w:tc>
        <w:tc>
          <w:tcPr>
            <w:tcW w:w="146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SHARES</w:t>
            </w:r>
          </w:p>
        </w:tc>
        <w:tc>
          <w:tcPr>
            <w:tcW w:w="2120" w:type="dxa"/>
            <w:vAlign w:val="bottom"/>
            <w:tcBorders>
              <w:bottom w:val="single" w:sz="8" w:color="auto"/>
            </w:tcBorders>
            <w:vMerge w:val="continue"/>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2100" w:type="dxa"/>
            <w:vAlign w:val="bottom"/>
            <w:tcBorders>
              <w:bottom w:val="single" w:sz="8" w:color="auto"/>
            </w:tcBorders>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vMerge w:val="continue"/>
          </w:tcPr>
          <w:p>
            <w:pPr>
              <w:spacing w:after="0"/>
              <w:rPr>
                <w:sz w:val="7"/>
                <w:szCs w:val="7"/>
                <w:color w:val="auto"/>
              </w:rPr>
            </w:pPr>
          </w:p>
        </w:tc>
        <w:tc>
          <w:tcPr>
            <w:tcW w:w="2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60" w:type="dxa"/>
            <w:vAlign w:val="bottom"/>
            <w:tcBorders>
              <w:right w:val="single" w:sz="8" w:color="auto"/>
            </w:tcBorders>
            <w:shd w:val="clear" w:color="auto" w:fill="000000"/>
          </w:tcPr>
          <w:p>
            <w:pPr>
              <w:spacing w:after="0"/>
              <w:rPr>
                <w:sz w:val="9"/>
                <w:szCs w:val="9"/>
                <w:color w:val="auto"/>
              </w:rPr>
            </w:pPr>
          </w:p>
        </w:tc>
        <w:tc>
          <w:tcPr>
            <w:tcW w:w="1460" w:type="dxa"/>
            <w:vAlign w:val="bottom"/>
            <w:tcBorders>
              <w:right w:val="single" w:sz="8" w:color="auto"/>
            </w:tcBorders>
            <w:gridSpan w:val="2"/>
            <w:vMerge w:val="continue"/>
          </w:tcPr>
          <w:p>
            <w:pPr>
              <w:spacing w:after="0"/>
              <w:rPr>
                <w:sz w:val="9"/>
                <w:szCs w:val="9"/>
                <w:color w:val="auto"/>
              </w:rPr>
            </w:pPr>
          </w:p>
        </w:tc>
        <w:tc>
          <w:tcPr>
            <w:tcW w:w="2120" w:type="dxa"/>
            <w:vAlign w:val="bottom"/>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2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60" w:type="dxa"/>
            <w:vAlign w:val="bottom"/>
            <w:tcBorders>
              <w:right w:val="single" w:sz="8" w:color="auto"/>
            </w:tcBorders>
            <w:shd w:val="clear" w:color="auto" w:fill="000000"/>
          </w:tcPr>
          <w:p>
            <w:pPr>
              <w:spacing w:after="0"/>
              <w:rPr>
                <w:sz w:val="18"/>
                <w:szCs w:val="18"/>
                <w:color w:val="auto"/>
              </w:rPr>
            </w:pPr>
          </w:p>
        </w:tc>
        <w:tc>
          <w:tcPr>
            <w:tcW w:w="14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BENEFICIALLY</w:t>
            </w:r>
          </w:p>
        </w:tc>
        <w:tc>
          <w:tcPr>
            <w:tcW w:w="2120" w:type="dxa"/>
            <w:vAlign w:val="bottom"/>
            <w:vMerge w:val="restart"/>
          </w:tcPr>
          <w:p>
            <w:pPr>
              <w:ind w:left="160"/>
              <w:spacing w:after="0"/>
              <w:rPr>
                <w:sz w:val="20"/>
                <w:szCs w:val="20"/>
                <w:color w:val="auto"/>
              </w:rPr>
            </w:pPr>
            <w:r>
              <w:rPr>
                <w:rFonts w:ascii="Arial" w:cs="Arial" w:eastAsia="Arial" w:hAnsi="Arial"/>
                <w:sz w:val="18"/>
                <w:szCs w:val="18"/>
                <w:color w:val="auto"/>
              </w:rPr>
              <w:t>8.</w:t>
            </w:r>
          </w:p>
        </w:tc>
        <w:tc>
          <w:tcPr>
            <w:tcW w:w="980" w:type="dxa"/>
            <w:vAlign w:val="bottom"/>
            <w:tcBorders>
              <w:right w:val="single" w:sz="8" w:color="auto"/>
            </w:tcBorders>
          </w:tcPr>
          <w:p>
            <w:pPr>
              <w:spacing w:after="0"/>
              <w:rPr>
                <w:sz w:val="18"/>
                <w:szCs w:val="18"/>
                <w:color w:val="auto"/>
              </w:rPr>
            </w:pPr>
          </w:p>
        </w:tc>
        <w:tc>
          <w:tcPr>
            <w:tcW w:w="2400" w:type="dxa"/>
            <w:vAlign w:val="bottom"/>
            <w:gridSpan w:val="2"/>
            <w:vMerge w:val="restart"/>
          </w:tcPr>
          <w:p>
            <w:pPr>
              <w:ind w:left="160"/>
              <w:spacing w:after="0"/>
              <w:rPr>
                <w:sz w:val="20"/>
                <w:szCs w:val="20"/>
                <w:color w:val="auto"/>
              </w:rPr>
            </w:pPr>
            <w:r>
              <w:rPr>
                <w:rFonts w:ascii="Arial" w:cs="Arial" w:eastAsia="Arial" w:hAnsi="Arial"/>
                <w:sz w:val="18"/>
                <w:szCs w:val="18"/>
                <w:color w:val="auto"/>
                <w:w w:val="99"/>
              </w:rPr>
              <w:t>SHARED VOTING POWER</w:t>
            </w:r>
          </w:p>
        </w:tc>
        <w:tc>
          <w:tcPr>
            <w:tcW w:w="1660" w:type="dxa"/>
            <w:vAlign w:val="bottom"/>
            <w:vMerge w:val="restart"/>
          </w:tcPr>
          <w:p>
            <w:pPr>
              <w:spacing w:after="0"/>
              <w:rPr>
                <w:sz w:val="20"/>
                <w:szCs w:val="20"/>
                <w:color w:val="auto"/>
              </w:rPr>
            </w:pPr>
            <w:r>
              <w:rPr>
                <w:rFonts w:ascii="Arial" w:cs="Arial" w:eastAsia="Arial" w:hAnsi="Arial"/>
                <w:sz w:val="18"/>
                <w:szCs w:val="18"/>
                <w:color w:val="auto"/>
              </w:rPr>
              <w:t>17,994,836 (1)</w:t>
            </w:r>
          </w:p>
        </w:tc>
        <w:tc>
          <w:tcPr>
            <w:tcW w:w="2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9"/>
                <w:szCs w:val="9"/>
                <w:color w:val="auto"/>
              </w:rPr>
            </w:pPr>
          </w:p>
        </w:tc>
        <w:tc>
          <w:tcPr>
            <w:tcW w:w="146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OWNED BY</w:t>
            </w:r>
          </w:p>
        </w:tc>
        <w:tc>
          <w:tcPr>
            <w:tcW w:w="2120" w:type="dxa"/>
            <w:vAlign w:val="bottom"/>
            <w:tcBorders>
              <w:bottom w:val="single" w:sz="8" w:color="auto"/>
            </w:tcBorders>
            <w:vMerge w:val="continue"/>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2400" w:type="dxa"/>
            <w:vAlign w:val="bottom"/>
            <w:tcBorders>
              <w:bottom w:val="single" w:sz="8" w:color="auto"/>
            </w:tcBorders>
            <w:gridSpan w:val="2"/>
            <w:vMerge w:val="continue"/>
          </w:tcPr>
          <w:p>
            <w:pPr>
              <w:spacing w:after="0"/>
              <w:rPr>
                <w:sz w:val="9"/>
                <w:szCs w:val="9"/>
                <w:color w:val="auto"/>
              </w:rPr>
            </w:pPr>
          </w:p>
        </w:tc>
        <w:tc>
          <w:tcPr>
            <w:tcW w:w="1660" w:type="dxa"/>
            <w:vAlign w:val="bottom"/>
            <w:tcBorders>
              <w:bottom w:val="single" w:sz="8" w:color="auto"/>
            </w:tcBorders>
            <w:vMerge w:val="continue"/>
          </w:tcPr>
          <w:p>
            <w:pPr>
              <w:spacing w:after="0"/>
              <w:rPr>
                <w:sz w:val="9"/>
                <w:szCs w:val="9"/>
                <w:color w:val="auto"/>
              </w:rPr>
            </w:pPr>
          </w:p>
        </w:tc>
        <w:tc>
          <w:tcPr>
            <w:tcW w:w="2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60" w:type="dxa"/>
            <w:vAlign w:val="bottom"/>
            <w:tcBorders>
              <w:right w:val="single" w:sz="8" w:color="auto"/>
            </w:tcBorders>
            <w:shd w:val="clear" w:color="auto" w:fill="000000"/>
          </w:tcPr>
          <w:p>
            <w:pPr>
              <w:spacing w:after="0"/>
              <w:rPr>
                <w:sz w:val="6"/>
                <w:szCs w:val="6"/>
                <w:color w:val="auto"/>
              </w:rPr>
            </w:pPr>
          </w:p>
        </w:tc>
        <w:tc>
          <w:tcPr>
            <w:tcW w:w="1460" w:type="dxa"/>
            <w:vAlign w:val="bottom"/>
            <w:tcBorders>
              <w:right w:val="single" w:sz="8" w:color="auto"/>
            </w:tcBorders>
            <w:gridSpan w:val="2"/>
            <w:vMerge w:val="continue"/>
          </w:tcPr>
          <w:p>
            <w:pPr>
              <w:spacing w:after="0"/>
              <w:rPr>
                <w:sz w:val="6"/>
                <w:szCs w:val="6"/>
                <w:color w:val="auto"/>
              </w:rPr>
            </w:pPr>
          </w:p>
        </w:tc>
        <w:tc>
          <w:tcPr>
            <w:tcW w:w="2120" w:type="dxa"/>
            <w:vAlign w:val="bottom"/>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2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60" w:type="dxa"/>
            <w:vAlign w:val="bottom"/>
            <w:tcBorders>
              <w:right w:val="single" w:sz="8" w:color="auto"/>
            </w:tcBorders>
            <w:shd w:val="clear" w:color="auto" w:fill="000000"/>
          </w:tcPr>
          <w:p>
            <w:pPr>
              <w:spacing w:after="0"/>
              <w:rPr>
                <w:sz w:val="18"/>
                <w:szCs w:val="18"/>
                <w:color w:val="auto"/>
              </w:rPr>
            </w:pPr>
          </w:p>
        </w:tc>
        <w:tc>
          <w:tcPr>
            <w:tcW w:w="14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EACH</w:t>
            </w:r>
          </w:p>
        </w:tc>
        <w:tc>
          <w:tcPr>
            <w:tcW w:w="2120" w:type="dxa"/>
            <w:vAlign w:val="bottom"/>
            <w:vMerge w:val="restart"/>
          </w:tcPr>
          <w:p>
            <w:pPr>
              <w:ind w:left="160"/>
              <w:spacing w:after="0"/>
              <w:rPr>
                <w:sz w:val="20"/>
                <w:szCs w:val="20"/>
                <w:color w:val="auto"/>
              </w:rPr>
            </w:pPr>
            <w:r>
              <w:rPr>
                <w:rFonts w:ascii="Arial" w:cs="Arial" w:eastAsia="Arial" w:hAnsi="Arial"/>
                <w:sz w:val="18"/>
                <w:szCs w:val="18"/>
                <w:color w:val="auto"/>
              </w:rPr>
              <w:t>9.</w:t>
            </w:r>
          </w:p>
        </w:tc>
        <w:tc>
          <w:tcPr>
            <w:tcW w:w="980" w:type="dxa"/>
            <w:vAlign w:val="bottom"/>
            <w:tcBorders>
              <w:right w:val="single" w:sz="8" w:color="auto"/>
            </w:tcBorders>
          </w:tcPr>
          <w:p>
            <w:pPr>
              <w:spacing w:after="0"/>
              <w:rPr>
                <w:sz w:val="18"/>
                <w:szCs w:val="18"/>
                <w:color w:val="auto"/>
              </w:rPr>
            </w:pPr>
          </w:p>
        </w:tc>
        <w:tc>
          <w:tcPr>
            <w:tcW w:w="2400" w:type="dxa"/>
            <w:vAlign w:val="bottom"/>
            <w:gridSpan w:val="2"/>
            <w:vMerge w:val="restart"/>
          </w:tcPr>
          <w:p>
            <w:pPr>
              <w:ind w:left="160"/>
              <w:spacing w:after="0"/>
              <w:rPr>
                <w:sz w:val="20"/>
                <w:szCs w:val="20"/>
                <w:color w:val="auto"/>
              </w:rPr>
            </w:pPr>
            <w:r>
              <w:rPr>
                <w:rFonts w:ascii="Arial" w:cs="Arial" w:eastAsia="Arial" w:hAnsi="Arial"/>
                <w:sz w:val="18"/>
                <w:szCs w:val="18"/>
                <w:color w:val="auto"/>
                <w:w w:val="92"/>
              </w:rPr>
              <w:t>SOLE DISPOSITIVE POWER</w:t>
            </w:r>
          </w:p>
        </w:tc>
        <w:tc>
          <w:tcPr>
            <w:tcW w:w="1660" w:type="dxa"/>
            <w:vAlign w:val="bottom"/>
            <w:vMerge w:val="restart"/>
          </w:tcPr>
          <w:p>
            <w:pPr>
              <w:ind w:left="400"/>
              <w:spacing w:after="0"/>
              <w:rPr>
                <w:sz w:val="20"/>
                <w:szCs w:val="20"/>
                <w:color w:val="auto"/>
              </w:rPr>
            </w:pPr>
            <w:r>
              <w:rPr>
                <w:rFonts w:ascii="Arial" w:cs="Arial" w:eastAsia="Arial" w:hAnsi="Arial"/>
                <w:sz w:val="18"/>
                <w:szCs w:val="18"/>
                <w:color w:val="auto"/>
              </w:rPr>
              <w:t>-0-</w:t>
            </w:r>
          </w:p>
        </w:tc>
        <w:tc>
          <w:tcPr>
            <w:tcW w:w="2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Borders>
              <w:bottom w:val="single" w:sz="8" w:color="auto"/>
              <w:right w:val="single" w:sz="8" w:color="auto"/>
            </w:tcBorders>
            <w:shd w:val="clear" w:color="auto" w:fill="000000"/>
          </w:tcPr>
          <w:p>
            <w:pPr>
              <w:spacing w:after="0"/>
              <w:rPr>
                <w:sz w:val="12"/>
                <w:szCs w:val="12"/>
                <w:color w:val="auto"/>
              </w:rPr>
            </w:pPr>
          </w:p>
        </w:tc>
        <w:tc>
          <w:tcPr>
            <w:tcW w:w="146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REPORTING</w:t>
            </w:r>
          </w:p>
        </w:tc>
        <w:tc>
          <w:tcPr>
            <w:tcW w:w="2120" w:type="dxa"/>
            <w:vAlign w:val="bottom"/>
            <w:tcBorders>
              <w:bottom w:val="single" w:sz="8" w:color="auto"/>
            </w:tcBorders>
            <w:vMerge w:val="continue"/>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2400" w:type="dxa"/>
            <w:vAlign w:val="bottom"/>
            <w:tcBorders>
              <w:bottom w:val="single" w:sz="8" w:color="auto"/>
            </w:tcBorders>
            <w:gridSpan w:val="2"/>
            <w:vMerge w:val="continue"/>
          </w:tcPr>
          <w:p>
            <w:pPr>
              <w:spacing w:after="0"/>
              <w:rPr>
                <w:sz w:val="12"/>
                <w:szCs w:val="12"/>
                <w:color w:val="auto"/>
              </w:rPr>
            </w:pPr>
          </w:p>
        </w:tc>
        <w:tc>
          <w:tcPr>
            <w:tcW w:w="1660" w:type="dxa"/>
            <w:vAlign w:val="bottom"/>
            <w:tcBorders>
              <w:bottom w:val="single" w:sz="8" w:color="auto"/>
            </w:tcBorders>
            <w:vMerge w:val="continue"/>
          </w:tcPr>
          <w:p>
            <w:pPr>
              <w:spacing w:after="0"/>
              <w:rPr>
                <w:sz w:val="12"/>
                <w:szCs w:val="12"/>
                <w:color w:val="auto"/>
              </w:rPr>
            </w:pPr>
          </w:p>
        </w:tc>
        <w:tc>
          <w:tcPr>
            <w:tcW w:w="2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60" w:type="dxa"/>
            <w:vAlign w:val="bottom"/>
            <w:tcBorders>
              <w:right w:val="single" w:sz="8" w:color="auto"/>
            </w:tcBorders>
            <w:shd w:val="clear" w:color="auto" w:fill="000000"/>
          </w:tcPr>
          <w:p>
            <w:pPr>
              <w:spacing w:after="0"/>
              <w:rPr>
                <w:sz w:val="4"/>
                <w:szCs w:val="4"/>
                <w:color w:val="auto"/>
              </w:rPr>
            </w:pPr>
          </w:p>
        </w:tc>
        <w:tc>
          <w:tcPr>
            <w:tcW w:w="1460" w:type="dxa"/>
            <w:vAlign w:val="bottom"/>
            <w:tcBorders>
              <w:right w:val="single" w:sz="8" w:color="auto"/>
            </w:tcBorders>
            <w:gridSpan w:val="2"/>
            <w:vMerge w:val="continue"/>
          </w:tcPr>
          <w:p>
            <w:pPr>
              <w:spacing w:after="0"/>
              <w:rPr>
                <w:sz w:val="4"/>
                <w:szCs w:val="4"/>
                <w:color w:val="auto"/>
              </w:rPr>
            </w:pPr>
          </w:p>
        </w:tc>
        <w:tc>
          <w:tcPr>
            <w:tcW w:w="2120" w:type="dxa"/>
            <w:vAlign w:val="bottom"/>
          </w:tcPr>
          <w:p>
            <w:pPr>
              <w:spacing w:after="0"/>
              <w:rPr>
                <w:sz w:val="4"/>
                <w:szCs w:val="4"/>
                <w:color w:val="auto"/>
              </w:rPr>
            </w:pPr>
          </w:p>
        </w:tc>
        <w:tc>
          <w:tcPr>
            <w:tcW w:w="980" w:type="dxa"/>
            <w:vAlign w:val="bottom"/>
            <w:tcBorders>
              <w:right w:val="single" w:sz="8" w:color="auto"/>
            </w:tcBorders>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60" w:type="dxa"/>
            <w:vAlign w:val="bottom"/>
            <w:tcBorders>
              <w:right w:val="single" w:sz="8" w:color="auto"/>
            </w:tcBorders>
            <w:shd w:val="clear" w:color="auto" w:fill="000000"/>
          </w:tcPr>
          <w:p>
            <w:pPr>
              <w:spacing w:after="0"/>
              <w:rPr>
                <w:sz w:val="19"/>
                <w:szCs w:val="19"/>
                <w:color w:val="auto"/>
              </w:rPr>
            </w:pPr>
          </w:p>
        </w:tc>
        <w:tc>
          <w:tcPr>
            <w:tcW w:w="14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PERSON WITH</w:t>
            </w:r>
          </w:p>
        </w:tc>
        <w:tc>
          <w:tcPr>
            <w:tcW w:w="2120" w:type="dxa"/>
            <w:vAlign w:val="bottom"/>
            <w:vMerge w:val="restart"/>
          </w:tcPr>
          <w:p>
            <w:pPr>
              <w:ind w:left="160"/>
              <w:spacing w:after="0"/>
              <w:rPr>
                <w:sz w:val="20"/>
                <w:szCs w:val="20"/>
                <w:color w:val="auto"/>
              </w:rPr>
            </w:pPr>
            <w:r>
              <w:rPr>
                <w:rFonts w:ascii="Arial" w:cs="Arial" w:eastAsia="Arial" w:hAnsi="Arial"/>
                <w:sz w:val="18"/>
                <w:szCs w:val="18"/>
                <w:color w:val="auto"/>
              </w:rPr>
              <w:t>10.</w:t>
            </w:r>
          </w:p>
        </w:tc>
        <w:tc>
          <w:tcPr>
            <w:tcW w:w="980" w:type="dxa"/>
            <w:vAlign w:val="bottom"/>
            <w:tcBorders>
              <w:right w:val="single" w:sz="8" w:color="auto"/>
            </w:tcBorders>
          </w:tcPr>
          <w:p>
            <w:pPr>
              <w:spacing w:after="0"/>
              <w:rPr>
                <w:sz w:val="19"/>
                <w:szCs w:val="19"/>
                <w:color w:val="auto"/>
              </w:rPr>
            </w:pPr>
          </w:p>
        </w:tc>
        <w:tc>
          <w:tcPr>
            <w:tcW w:w="4060" w:type="dxa"/>
            <w:vAlign w:val="bottom"/>
            <w:gridSpan w:val="3"/>
            <w:vMerge w:val="restart"/>
          </w:tcPr>
          <w:p>
            <w:pPr>
              <w:ind w:left="160"/>
              <w:spacing w:after="0"/>
              <w:rPr>
                <w:sz w:val="20"/>
                <w:szCs w:val="20"/>
                <w:color w:val="auto"/>
              </w:rPr>
            </w:pPr>
            <w:r>
              <w:rPr>
                <w:rFonts w:ascii="Arial" w:cs="Arial" w:eastAsia="Arial" w:hAnsi="Arial"/>
                <w:sz w:val="18"/>
                <w:szCs w:val="18"/>
                <w:color w:val="auto"/>
                <w:w w:val="98"/>
              </w:rPr>
              <w:t>SHARED DISPOSITIVE POWER  17,994,836 (1)</w:t>
            </w:r>
          </w:p>
        </w:tc>
        <w:tc>
          <w:tcPr>
            <w:tcW w:w="2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60" w:type="dxa"/>
            <w:vAlign w:val="bottom"/>
            <w:tcBorders>
              <w:bottom w:val="single" w:sz="8" w:color="auto"/>
              <w:right w:val="single" w:sz="8" w:color="auto"/>
            </w:tcBorders>
            <w:shd w:val="clear" w:color="auto" w:fill="000000"/>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212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c>
          <w:tcPr>
            <w:tcW w:w="4060" w:type="dxa"/>
            <w:vAlign w:val="bottom"/>
            <w:tcBorders>
              <w:bottom w:val="single" w:sz="8" w:color="auto"/>
            </w:tcBorders>
            <w:gridSpan w:val="3"/>
            <w:vMerge w:val="continue"/>
          </w:tcPr>
          <w:p>
            <w:pPr>
              <w:spacing w:after="0"/>
              <w:rPr>
                <w:sz w:val="13"/>
                <w:szCs w:val="13"/>
                <w:color w:val="auto"/>
              </w:rPr>
            </w:pPr>
          </w:p>
        </w:tc>
        <w:tc>
          <w:tcPr>
            <w:tcW w:w="2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7160" w:type="dxa"/>
            <w:vAlign w:val="bottom"/>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2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17,994,836 (1)</w:t>
            </w:r>
          </w:p>
        </w:tc>
        <w:tc>
          <w:tcPr>
            <w:tcW w:w="9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color w:val="auto"/>
                <w:w w:val="95"/>
              </w:rPr>
              <w:t>CHECK BOX IF THE AGGREGATE AMOUNT IN ROW (11) EXCLUDES CERTAIN SHARES</w:t>
            </w:r>
          </w:p>
        </w:tc>
        <w:tc>
          <w:tcPr>
            <w:tcW w:w="2740" w:type="dxa"/>
            <w:vAlign w:val="bottom"/>
            <w:tcBorders>
              <w:bottom w:val="single" w:sz="8" w:color="auto"/>
              <w:right w:val="single" w:sz="8" w:color="auto"/>
            </w:tcBorders>
          </w:tcPr>
          <w:p>
            <w:pPr>
              <w:ind w:left="10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4"/>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520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w:t>
            </w: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9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18.4% (2)</w:t>
            </w:r>
          </w:p>
        </w:tc>
        <w:tc>
          <w:tcPr>
            <w:tcW w:w="2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TYPE OF REPORTING PERSON</w:t>
            </w: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CO</w:t>
            </w:r>
          </w:p>
        </w:tc>
        <w:tc>
          <w:tcPr>
            <w:tcW w:w="2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40" w:firstLine="7"/>
        <w:spacing w:after="0" w:line="252" w:lineRule="auto"/>
        <w:tabs>
          <w:tab w:leader="none" w:pos="698" w:val="left"/>
        </w:tabs>
        <w:numPr>
          <w:ilvl w:val="0"/>
          <w:numId w:val="1"/>
        </w:numPr>
        <w:rPr>
          <w:rFonts w:ascii="Arial" w:cs="Arial" w:eastAsia="Arial" w:hAnsi="Arial"/>
          <w:sz w:val="18"/>
          <w:szCs w:val="18"/>
          <w:color w:val="auto"/>
        </w:rPr>
      </w:pPr>
      <w:r>
        <w:rPr>
          <w:rFonts w:ascii="Arial" w:cs="Arial" w:eastAsia="Arial" w:hAnsi="Arial"/>
          <w:sz w:val="18"/>
          <w:szCs w:val="18"/>
          <w:color w:val="auto"/>
        </w:rPr>
        <w:t>15,195,284 shares of Common Stock are held directly by sanofi-aventis Amérique du Nord (“</w:t>
      </w:r>
      <w:r>
        <w:rPr>
          <w:rFonts w:ascii="Arial" w:cs="Arial" w:eastAsia="Arial" w:hAnsi="Arial"/>
          <w:sz w:val="18"/>
          <w:szCs w:val="18"/>
          <w:u w:val="single" w:color="auto"/>
          <w:color w:val="auto"/>
        </w:rPr>
        <w:t>SAAN</w:t>
      </w:r>
      <w:r>
        <w:rPr>
          <w:rFonts w:ascii="Arial" w:cs="Arial" w:eastAsia="Arial" w:hAnsi="Arial"/>
          <w:sz w:val="18"/>
          <w:szCs w:val="18"/>
          <w:color w:val="auto"/>
        </w:rPr>
        <w:t>”) and 2,799,552 of the shares of Common Stock are held directly by Aventis Pharmaceuticals Inc. (“</w:t>
      </w:r>
      <w:r>
        <w:rPr>
          <w:rFonts w:ascii="Arial" w:cs="Arial" w:eastAsia="Arial" w:hAnsi="Arial"/>
          <w:sz w:val="18"/>
          <w:szCs w:val="18"/>
          <w:u w:val="single" w:color="auto"/>
          <w:color w:val="auto"/>
        </w:rPr>
        <w:t>Aventis</w:t>
      </w:r>
      <w:r>
        <w:rPr>
          <w:rFonts w:ascii="Arial" w:cs="Arial" w:eastAsia="Arial" w:hAnsi="Arial"/>
          <w:sz w:val="18"/>
          <w:szCs w:val="18"/>
          <w:color w:val="auto"/>
        </w:rPr>
        <w:t>”). SAAN is a direct, wholly-owned subsidiary of Sanofi. Aventis is an indirect, wholly-owned subsidiary of SAAN. See Item 5 of the Schedule 13D. Pursuant to the Amended and Restated Investor Agreement, dated as of January 11, 2014, by and among Sanofi, SAAN, sanofi-aventis US LLC, Aventis (collectively, the “</w:t>
      </w:r>
      <w:r>
        <w:rPr>
          <w:rFonts w:ascii="Arial" w:cs="Arial" w:eastAsia="Arial" w:hAnsi="Arial"/>
          <w:sz w:val="18"/>
          <w:szCs w:val="18"/>
          <w:u w:val="single" w:color="auto"/>
          <w:color w:val="auto"/>
        </w:rPr>
        <w:t>Sanofi Parties</w:t>
      </w:r>
      <w:r>
        <w:rPr>
          <w:rFonts w:ascii="Arial" w:cs="Arial" w:eastAsia="Arial" w:hAnsi="Arial"/>
          <w:sz w:val="18"/>
          <w:szCs w:val="18"/>
          <w:color w:val="auto"/>
        </w:rPr>
        <w:t>”) and Regeneron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the Sanofi Parties have agreed to vote their respective shares of the Company, subject to specified exceptions, in accordance with the recommendation of the Company’s Board of Directors.</w:t>
      </w:r>
    </w:p>
    <w:p>
      <w:pPr>
        <w:spacing w:after="0" w:line="221" w:lineRule="exact"/>
        <w:rPr>
          <w:rFonts w:ascii="Arial" w:cs="Arial" w:eastAsia="Arial" w:hAnsi="Arial"/>
          <w:sz w:val="18"/>
          <w:szCs w:val="18"/>
          <w:color w:val="auto"/>
        </w:rPr>
      </w:pPr>
    </w:p>
    <w:p>
      <w:pPr>
        <w:ind w:right="60" w:firstLine="7"/>
        <w:spacing w:after="0" w:line="271" w:lineRule="auto"/>
        <w:tabs>
          <w:tab w:leader="none" w:pos="698"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Calculation based on 97,907,887 shares of Common Stock outstanding as of February 6, 2014, as reported in the Company’s Annual Report on Form 10-K filed with the Securities and Exchange Commission on February 13,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 w:name="page3"/>
    <w:bookmarkEnd w:id="2"/>
    <w:p>
      <w:pPr>
        <w:spacing w:after="0" w:line="255" w:lineRule="auto"/>
        <w:rPr>
          <w:sz w:val="20"/>
          <w:szCs w:val="20"/>
          <w:color w:val="auto"/>
        </w:rPr>
      </w:pPr>
      <w:r>
        <w:rPr>
          <w:rFonts w:ascii="Arial" w:cs="Arial" w:eastAsia="Arial" w:hAnsi="Arial"/>
          <w:sz w:val="18"/>
          <w:szCs w:val="18"/>
          <w:color w:val="auto"/>
        </w:rPr>
        <w:t>This Amendment No. 3 (this “</w:t>
      </w:r>
      <w:r>
        <w:rPr>
          <w:rFonts w:ascii="Arial" w:cs="Arial" w:eastAsia="Arial" w:hAnsi="Arial"/>
          <w:sz w:val="18"/>
          <w:szCs w:val="18"/>
          <w:u w:val="single" w:color="auto"/>
          <w:color w:val="auto"/>
        </w:rPr>
        <w:t>Amendment No. 3</w:t>
      </w:r>
      <w:r>
        <w:rPr>
          <w:rFonts w:ascii="Arial" w:cs="Arial" w:eastAsia="Arial" w:hAnsi="Arial"/>
          <w:sz w:val="18"/>
          <w:szCs w:val="18"/>
          <w:color w:val="auto"/>
        </w:rPr>
        <w:t>”) amends the Statement on Schedule 13D first filed with the Securities and Exchange Commission on January 14, 2014, as amended (the “</w:t>
      </w:r>
      <w:r>
        <w:rPr>
          <w:rFonts w:ascii="Arial" w:cs="Arial" w:eastAsia="Arial" w:hAnsi="Arial"/>
          <w:sz w:val="18"/>
          <w:szCs w:val="18"/>
          <w:u w:val="single" w:color="auto"/>
          <w:color w:val="auto"/>
        </w:rPr>
        <w:t>Schedule 13D</w:t>
      </w:r>
      <w:r>
        <w:rPr>
          <w:rFonts w:ascii="Arial" w:cs="Arial" w:eastAsia="Arial" w:hAnsi="Arial"/>
          <w:sz w:val="18"/>
          <w:szCs w:val="18"/>
          <w:color w:val="auto"/>
        </w:rPr>
        <w:t>”), and is filed by Sanofi (“</w:t>
      </w:r>
      <w:r>
        <w:rPr>
          <w:rFonts w:ascii="Arial" w:cs="Arial" w:eastAsia="Arial" w:hAnsi="Arial"/>
          <w:sz w:val="18"/>
          <w:szCs w:val="18"/>
          <w:u w:val="single" w:color="auto"/>
          <w:color w:val="auto"/>
        </w:rPr>
        <w:t>Sanofi</w:t>
      </w:r>
      <w:r>
        <w:rPr>
          <w:rFonts w:ascii="Arial" w:cs="Arial" w:eastAsia="Arial" w:hAnsi="Arial"/>
          <w:sz w:val="18"/>
          <w:szCs w:val="18"/>
          <w:color w:val="auto"/>
        </w:rPr>
        <w:t>” or the “</w:t>
      </w:r>
      <w:r>
        <w:rPr>
          <w:rFonts w:ascii="Arial" w:cs="Arial" w:eastAsia="Arial" w:hAnsi="Arial"/>
          <w:sz w:val="18"/>
          <w:szCs w:val="18"/>
          <w:u w:val="single" w:color="auto"/>
          <w:color w:val="auto"/>
        </w:rPr>
        <w:t>Reporting Person</w:t>
      </w:r>
      <w:r>
        <w:rPr>
          <w:rFonts w:ascii="Arial" w:cs="Arial" w:eastAsia="Arial" w:hAnsi="Arial"/>
          <w:sz w:val="18"/>
          <w:szCs w:val="18"/>
          <w:color w:val="auto"/>
        </w:rPr>
        <w:t>”) with respect to the common stock, $0.001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Regeneron Pharmaceuticals, Inc. (the “</w:t>
      </w:r>
      <w:r>
        <w:rPr>
          <w:rFonts w:ascii="Arial" w:cs="Arial" w:eastAsia="Arial" w:hAnsi="Arial"/>
          <w:sz w:val="18"/>
          <w:szCs w:val="18"/>
          <w:u w:val="single" w:color="auto"/>
          <w:color w:val="auto"/>
        </w:rPr>
        <w:t>Issuer</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Capitalized terms used herein but not otherwise defined herein have the meanings given to them in the Schedule 13D.</w:t>
      </w:r>
    </w:p>
    <w:p>
      <w:pPr>
        <w:spacing w:after="0" w:line="21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3 of the Schedule 13D is supplemented as follows:</w:t>
      </w:r>
    </w:p>
    <w:p>
      <w:pPr>
        <w:spacing w:after="0" w:line="24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For the purchases it made as disclosed in Item 5(c) of this Amendment No. 3, SAAN paid an aggregate of $329,500,144.66, excluding brokerage commission and fees. The source of such funds was working capital.</w:t>
      </w:r>
    </w:p>
    <w:p>
      <w:pPr>
        <w:spacing w:after="0" w:line="19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color w:val="auto"/>
        </w:rPr>
        <w:t>Purpose of Transaction.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13D is supplemented as follows:</w:t>
      </w:r>
    </w:p>
    <w:p>
      <w:pPr>
        <w:spacing w:after="0" w:line="248"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Reporting Person purchased, through its subsidiary SAAN, an aggregate of 993,622 shares of Common Stock in market transactions, as disclosed in Item 5(c) of this Amendment No. 3.</w:t>
      </w:r>
    </w:p>
    <w:p>
      <w:pPr>
        <w:spacing w:after="0" w:line="19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4"/>
          <w:szCs w:val="14"/>
          <w:b w:val="1"/>
          <w:bCs w:val="1"/>
          <w:color w:val="auto"/>
        </w:rPr>
        <w:t>Interests in the Securities of the Issuer.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5 of the Schedule 13D is supplemented as follows:</w:t>
      </w:r>
    </w:p>
    <w:p>
      <w:pPr>
        <w:spacing w:after="0" w:line="248" w:lineRule="exact"/>
        <w:rPr>
          <w:sz w:val="20"/>
          <w:szCs w:val="20"/>
          <w:color w:val="auto"/>
        </w:rPr>
      </w:pPr>
    </w:p>
    <w:p>
      <w:pPr>
        <w:ind w:right="60" w:firstLine="970"/>
        <w:spacing w:after="0" w:line="252" w:lineRule="auto"/>
        <w:tabs>
          <w:tab w:leader="none" w:pos="1206" w:val="left"/>
        </w:tabs>
        <w:numPr>
          <w:ilvl w:val="0"/>
          <w:numId w:val="2"/>
        </w:numPr>
        <w:rPr>
          <w:rFonts w:ascii="Arial" w:cs="Arial" w:eastAsia="Arial" w:hAnsi="Arial"/>
          <w:sz w:val="18"/>
          <w:szCs w:val="18"/>
          <w:color w:val="auto"/>
        </w:rPr>
      </w:pPr>
      <w:r>
        <w:rPr>
          <w:rFonts w:ascii="Arial" w:cs="Arial" w:eastAsia="Arial" w:hAnsi="Arial"/>
          <w:sz w:val="18"/>
          <w:szCs w:val="18"/>
          <w:color w:val="auto"/>
        </w:rPr>
        <w:t>and (b) The responses of the Reporting Person to Rows (7) through (13) of the cover page of this Amendment No. 3 as of the close of business on March 12, 2014, are incorporated herein by reference. As of the close of business on March 12, 2014, the Reporting Person beneficially owned 17,994,836 shares of Common Stock, representing approximately 18.4% of the shares of Common Stock outstanding (based on 97,907,887 shares of Common Stock outstanding as of February 6, 2014, as reported in the Company’s Annual Report on Form 10-K filed with the Securities and Exchange Commission on February 13, 2014). The Reporting Person may be deemed to have shared voting and dispositive power with respect to the shares of Common Stock directly owned by SAAN and Aventis, its subsidiaries.</w:t>
      </w:r>
    </w:p>
    <w:p>
      <w:pPr>
        <w:spacing w:after="0" w:line="221" w:lineRule="exact"/>
        <w:rPr>
          <w:sz w:val="20"/>
          <w:szCs w:val="20"/>
          <w:color w:val="auto"/>
        </w:rPr>
      </w:pPr>
    </w:p>
    <w:p>
      <w:pPr>
        <w:ind w:right="280" w:firstLine="963"/>
        <w:spacing w:after="0" w:line="271" w:lineRule="auto"/>
        <w:rPr>
          <w:sz w:val="20"/>
          <w:szCs w:val="20"/>
          <w:color w:val="auto"/>
        </w:rPr>
      </w:pPr>
      <w:r>
        <w:rPr>
          <w:rFonts w:ascii="Arial" w:cs="Arial" w:eastAsia="Arial" w:hAnsi="Arial"/>
          <w:sz w:val="18"/>
          <w:szCs w:val="18"/>
          <w:color w:val="auto"/>
        </w:rPr>
        <w:t>To the Reporting Person’s knowledge, none of the directors or executive officers of the Reporting Persons listed on Schedule I to the Schedule 13D beneficially owns any shares of Common Stock as of March 12, 2014.</w:t>
      </w:r>
    </w:p>
    <w:p>
      <w:pPr>
        <w:spacing w:after="0" w:line="200" w:lineRule="exact"/>
        <w:rPr>
          <w:sz w:val="20"/>
          <w:szCs w:val="20"/>
          <w:color w:val="auto"/>
        </w:rPr>
      </w:pPr>
    </w:p>
    <w:p>
      <w:pPr>
        <w:spacing w:after="0" w:line="242" w:lineRule="exact"/>
        <w:rPr>
          <w:sz w:val="20"/>
          <w:szCs w:val="20"/>
          <w:color w:val="auto"/>
        </w:rPr>
      </w:pPr>
    </w:p>
    <w:p>
      <w:pPr>
        <w:ind w:right="220" w:firstLine="970"/>
        <w:spacing w:after="0" w:line="271" w:lineRule="auto"/>
        <w:tabs>
          <w:tab w:leader="none" w:pos="1251" w:val="left"/>
        </w:tabs>
        <w:numPr>
          <w:ilvl w:val="0"/>
          <w:numId w:val="3"/>
        </w:numPr>
        <w:rPr>
          <w:rFonts w:ascii="Arial" w:cs="Arial" w:eastAsia="Arial" w:hAnsi="Arial"/>
          <w:sz w:val="18"/>
          <w:szCs w:val="18"/>
          <w:color w:val="auto"/>
        </w:rPr>
      </w:pPr>
      <w:r>
        <w:rPr>
          <w:rFonts w:ascii="Arial" w:cs="Arial" w:eastAsia="Arial" w:hAnsi="Arial"/>
          <w:sz w:val="18"/>
          <w:szCs w:val="18"/>
          <w:color w:val="auto"/>
        </w:rPr>
        <w:t>Since the most recent filing of Schedule 13D and through and including March 12, 2014, market transactions were effected in the Common Stock as disclosed in Schedule A to this Amendment No. 3.</w:t>
      </w:r>
    </w:p>
    <w:p>
      <w:pPr>
        <w:spacing w:after="0" w:line="200" w:lineRule="exact"/>
        <w:rPr>
          <w:sz w:val="20"/>
          <w:szCs w:val="20"/>
          <w:color w:val="auto"/>
        </w:rPr>
      </w:pPr>
    </w:p>
    <w:p>
      <w:pPr>
        <w:spacing w:after="0" w:line="242" w:lineRule="exact"/>
        <w:rPr>
          <w:sz w:val="20"/>
          <w:szCs w:val="20"/>
          <w:color w:val="auto"/>
        </w:rPr>
      </w:pPr>
    </w:p>
    <w:p>
      <w:pPr>
        <w:ind w:firstLine="963"/>
        <w:spacing w:after="0" w:line="271" w:lineRule="auto"/>
        <w:rPr>
          <w:sz w:val="20"/>
          <w:szCs w:val="20"/>
          <w:color w:val="auto"/>
        </w:rPr>
      </w:pPr>
      <w:r>
        <w:rPr>
          <w:rFonts w:ascii="Arial" w:cs="Arial" w:eastAsia="Arial" w:hAnsi="Arial"/>
          <w:sz w:val="18"/>
          <w:szCs w:val="18"/>
          <w:color w:val="auto"/>
        </w:rPr>
        <w:t>To the Reporting Person’s knowledge, none of the directors or executive officers of the Reporting Person listed on Schedule I to the Schedule 13D effected transactions in the Common Stock during the period described above.</w:t>
      </w:r>
    </w:p>
    <w:p>
      <w:pPr>
        <w:spacing w:after="0" w:line="200" w:lineRule="exact"/>
        <w:rPr>
          <w:sz w:val="20"/>
          <w:szCs w:val="20"/>
          <w:color w:val="auto"/>
        </w:rPr>
      </w:pPr>
    </w:p>
    <w:p>
      <w:pPr>
        <w:spacing w:after="0" w:line="242" w:lineRule="exact"/>
        <w:rPr>
          <w:sz w:val="20"/>
          <w:szCs w:val="20"/>
          <w:color w:val="auto"/>
        </w:rPr>
      </w:pPr>
    </w:p>
    <w:p>
      <w:pPr>
        <w:ind w:left="1260" w:hanging="29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rFonts w:ascii="Arial" w:cs="Arial" w:eastAsia="Arial" w:hAnsi="Arial"/>
          <w:sz w:val="18"/>
          <w:szCs w:val="18"/>
          <w:color w:val="auto"/>
        </w:rPr>
      </w:pPr>
    </w:p>
    <w:p>
      <w:pPr>
        <w:spacing w:after="0" w:line="288" w:lineRule="exact"/>
        <w:rPr>
          <w:rFonts w:ascii="Arial" w:cs="Arial" w:eastAsia="Arial" w:hAnsi="Arial"/>
          <w:sz w:val="18"/>
          <w:szCs w:val="18"/>
          <w:color w:val="auto"/>
        </w:rPr>
      </w:pPr>
    </w:p>
    <w:p>
      <w:pPr>
        <w:ind w:left="1260" w:hanging="29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80"/>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March 14, 2014</w:t>
      </w:r>
    </w:p>
    <w:p>
      <w:pPr>
        <w:spacing w:after="0" w:line="244" w:lineRule="exact"/>
        <w:rPr>
          <w:sz w:val="20"/>
          <w:szCs w:val="20"/>
          <w:color w:val="auto"/>
        </w:rPr>
      </w:pPr>
    </w:p>
    <w:tbl>
      <w:tblPr>
        <w:tblLayout w:type="fixed"/>
        <w:tblInd w:w="6760" w:type="dxa"/>
        <w:tblCellMar>
          <w:top w:w="0" w:type="dxa"/>
          <w:left w:w="0" w:type="dxa"/>
          <w:bottom w:w="0" w:type="dxa"/>
          <w:right w:w="0" w:type="dxa"/>
        </w:tblCellMar>
      </w:tblPr>
      <w:tr>
        <w:trPr>
          <w:trHeight w:val="218"/>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SANOFI</w:t>
            </w:r>
          </w:p>
        </w:tc>
        <w:tc>
          <w:tcPr>
            <w:tcW w:w="3740" w:type="dxa"/>
            <w:vAlign w:val="bottom"/>
          </w:tcPr>
          <w:p>
            <w:pPr>
              <w:spacing w:after="0"/>
              <w:rPr>
                <w:sz w:val="18"/>
                <w:szCs w:val="18"/>
                <w:color w:val="auto"/>
              </w:rPr>
            </w:pPr>
          </w:p>
        </w:tc>
      </w:tr>
      <w:tr>
        <w:trPr>
          <w:trHeight w:val="235"/>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/s/ John Felitti</w:t>
            </w:r>
          </w:p>
        </w:tc>
      </w:tr>
      <w:tr>
        <w:trPr>
          <w:trHeight w:val="200"/>
        </w:trPr>
        <w:tc>
          <w:tcPr>
            <w:tcW w:w="340" w:type="dxa"/>
            <w:vAlign w:val="bottom"/>
          </w:tcPr>
          <w:p>
            <w:pPr>
              <w:spacing w:after="0"/>
              <w:rPr>
                <w:sz w:val="17"/>
                <w:szCs w:val="17"/>
                <w:color w:val="auto"/>
              </w:rPr>
            </w:pPr>
          </w:p>
        </w:tc>
        <w:tc>
          <w:tcPr>
            <w:tcW w:w="580" w:type="dxa"/>
            <w:vAlign w:val="bottom"/>
          </w:tcPr>
          <w:p>
            <w:pPr>
              <w:spacing w:after="0" w:line="200" w:lineRule="exact"/>
              <w:rPr>
                <w:sz w:val="20"/>
                <w:szCs w:val="20"/>
                <w:color w:val="auto"/>
              </w:rPr>
            </w:pPr>
            <w:r>
              <w:rPr>
                <w:rFonts w:ascii="Arial" w:cs="Arial" w:eastAsia="Arial" w:hAnsi="Arial"/>
                <w:sz w:val="18"/>
                <w:szCs w:val="18"/>
                <w:color w:val="auto"/>
              </w:rPr>
              <w:t>Name:</w:t>
            </w:r>
          </w:p>
        </w:tc>
        <w:tc>
          <w:tcPr>
            <w:tcW w:w="3740" w:type="dxa"/>
            <w:vAlign w:val="bottom"/>
          </w:tcPr>
          <w:p>
            <w:pPr>
              <w:ind w:left="100"/>
              <w:spacing w:after="0" w:line="200" w:lineRule="exact"/>
              <w:rPr>
                <w:sz w:val="20"/>
                <w:szCs w:val="20"/>
                <w:color w:val="auto"/>
              </w:rPr>
            </w:pPr>
            <w:r>
              <w:rPr>
                <w:rFonts w:ascii="Arial" w:cs="Arial" w:eastAsia="Arial" w:hAnsi="Arial"/>
                <w:sz w:val="18"/>
                <w:szCs w:val="18"/>
                <w:color w:val="auto"/>
              </w:rPr>
              <w:t>John Felitti</w:t>
            </w:r>
          </w:p>
        </w:tc>
      </w:tr>
      <w:tr>
        <w:trPr>
          <w:trHeight w:val="214"/>
        </w:trPr>
        <w:tc>
          <w:tcPr>
            <w:tcW w:w="3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100"/>
              <w:spacing w:after="0"/>
              <w:rPr>
                <w:sz w:val="20"/>
                <w:szCs w:val="20"/>
                <w:color w:val="auto"/>
              </w:rPr>
            </w:pPr>
            <w:r>
              <w:rPr>
                <w:rFonts w:ascii="Arial" w:cs="Arial" w:eastAsia="Arial" w:hAnsi="Arial"/>
                <w:sz w:val="18"/>
                <w:szCs w:val="18"/>
                <w:color w:val="auto"/>
              </w:rPr>
              <w:t>Associate Vice President, Corporate Law,</w:t>
            </w:r>
          </w:p>
        </w:tc>
      </w:tr>
      <w:tr>
        <w:trPr>
          <w:trHeight w:val="227"/>
        </w:trPr>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740" w:type="dxa"/>
            <w:vAlign w:val="bottom"/>
          </w:tcPr>
          <w:p>
            <w:pPr>
              <w:ind w:left="100"/>
              <w:spacing w:after="0"/>
              <w:rPr>
                <w:sz w:val="20"/>
                <w:szCs w:val="20"/>
                <w:color w:val="auto"/>
              </w:rPr>
            </w:pPr>
            <w:r>
              <w:rPr>
                <w:rFonts w:ascii="Arial" w:cs="Arial" w:eastAsia="Arial" w:hAnsi="Arial"/>
                <w:sz w:val="18"/>
                <w:szCs w:val="18"/>
                <w:color w:val="auto"/>
              </w:rPr>
              <w:t>Financial &amp; Securities Law</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500"/>
          </w:cols>
          <w:pgMar w:left="240" w:top="509" w:right="1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Schedule A</w:t>
            </w:r>
          </w:p>
        </w:tc>
        <w:tc>
          <w:tcPr>
            <w:tcW w:w="2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702"/>
        </w:trPr>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4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Number of</w:t>
            </w:r>
          </w:p>
        </w:tc>
        <w:tc>
          <w:tcPr>
            <w:tcW w:w="2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4"/>
        </w:trPr>
        <w:tc>
          <w:tcPr>
            <w:tcW w:w="10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40" w:type="dxa"/>
            <w:vAlign w:val="bottom"/>
            <w:gridSpan w:val="3"/>
          </w:tcPr>
          <w:p>
            <w:pPr>
              <w:jc w:val="center"/>
              <w:ind w:right="200"/>
              <w:spacing w:after="0"/>
              <w:rPr>
                <w:sz w:val="20"/>
                <w:szCs w:val="20"/>
                <w:color w:val="auto"/>
              </w:rPr>
            </w:pPr>
            <w:r>
              <w:rPr>
                <w:rFonts w:ascii="Arial" w:cs="Arial" w:eastAsia="Arial" w:hAnsi="Arial"/>
                <w:sz w:val="18"/>
                <w:szCs w:val="18"/>
                <w:color w:val="auto"/>
                <w:w w:val="85"/>
              </w:rPr>
              <w:t>Shares of</w:t>
            </w:r>
          </w:p>
        </w:tc>
        <w:tc>
          <w:tcPr>
            <w:tcW w:w="2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4"/>
        </w:trPr>
        <w:tc>
          <w:tcPr>
            <w:tcW w:w="10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6"/>
              </w:rPr>
              <w:t>Trade Date</w:t>
            </w:r>
          </w:p>
        </w:tc>
        <w:tc>
          <w:tcPr>
            <w:tcW w:w="1800" w:type="dxa"/>
            <w:vAlign w:val="bottom"/>
          </w:tcPr>
          <w:p>
            <w:pPr>
              <w:spacing w:after="0"/>
              <w:rPr>
                <w:sz w:val="18"/>
                <w:szCs w:val="18"/>
                <w:color w:val="auto"/>
              </w:rPr>
            </w:pPr>
          </w:p>
        </w:tc>
        <w:tc>
          <w:tcPr>
            <w:tcW w:w="214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Common</w:t>
            </w:r>
          </w:p>
        </w:tc>
        <w:tc>
          <w:tcPr>
            <w:tcW w:w="2160" w:type="dxa"/>
            <w:vAlign w:val="bottom"/>
          </w:tcPr>
          <w:p>
            <w:pPr>
              <w:jc w:val="right"/>
              <w:ind w:right="531"/>
              <w:spacing w:after="0"/>
              <w:rPr>
                <w:sz w:val="20"/>
                <w:szCs w:val="20"/>
                <w:color w:val="auto"/>
              </w:rPr>
            </w:pPr>
            <w:r>
              <w:rPr>
                <w:rFonts w:ascii="Arial" w:cs="Arial" w:eastAsia="Arial" w:hAnsi="Arial"/>
                <w:sz w:val="18"/>
                <w:szCs w:val="18"/>
                <w:color w:val="auto"/>
              </w:rPr>
              <w:t>Price per</w:t>
            </w:r>
          </w:p>
        </w:tc>
        <w:tc>
          <w:tcPr>
            <w:tcW w:w="18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4"/>
        </w:trPr>
        <w:tc>
          <w:tcPr>
            <w:tcW w:w="1080" w:type="dxa"/>
            <w:vAlign w:val="bottom"/>
          </w:tcPr>
          <w:p>
            <w:pPr>
              <w:ind w:left="200"/>
              <w:spacing w:after="0"/>
              <w:rPr>
                <w:sz w:val="20"/>
                <w:szCs w:val="20"/>
                <w:color w:val="auto"/>
              </w:rPr>
            </w:pPr>
            <w:r>
              <w:rPr>
                <w:rFonts w:ascii="Arial" w:cs="Arial" w:eastAsia="Arial" w:hAnsi="Arial"/>
                <w:sz w:val="18"/>
                <w:szCs w:val="18"/>
                <w:color w:val="auto"/>
              </w:rPr>
              <w:t>Entity</w:t>
            </w:r>
          </w:p>
        </w:tc>
        <w:tc>
          <w:tcPr>
            <w:tcW w:w="1620" w:type="dxa"/>
            <w:vAlign w:val="bottom"/>
          </w:tcPr>
          <w:p>
            <w:pPr>
              <w:jc w:val="center"/>
              <w:ind w:left="11"/>
              <w:spacing w:after="0"/>
              <w:rPr>
                <w:sz w:val="20"/>
                <w:szCs w:val="20"/>
                <w:color w:val="auto"/>
              </w:rPr>
            </w:pPr>
            <w:r>
              <w:rPr>
                <w:rFonts w:ascii="Arial" w:cs="Arial" w:eastAsia="Arial" w:hAnsi="Arial"/>
                <w:sz w:val="18"/>
                <w:szCs w:val="18"/>
                <w:color w:val="auto"/>
              </w:rPr>
              <w:t>(M/D/Y)</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9"/>
              </w:rPr>
              <w:t>Transaction</w:t>
            </w:r>
          </w:p>
        </w:tc>
        <w:tc>
          <w:tcPr>
            <w:tcW w:w="640" w:type="dxa"/>
            <w:vAlign w:val="bottom"/>
          </w:tcPr>
          <w:p>
            <w:pPr>
              <w:spacing w:after="0"/>
              <w:rPr>
                <w:sz w:val="18"/>
                <w:szCs w:val="18"/>
                <w:color w:val="auto"/>
              </w:rPr>
            </w:pPr>
          </w:p>
        </w:tc>
        <w:tc>
          <w:tcPr>
            <w:tcW w:w="1500" w:type="dxa"/>
            <w:vAlign w:val="bottom"/>
            <w:gridSpan w:val="2"/>
          </w:tcPr>
          <w:p>
            <w:pPr>
              <w:jc w:val="center"/>
              <w:ind w:right="840"/>
              <w:spacing w:after="0"/>
              <w:rPr>
                <w:sz w:val="20"/>
                <w:szCs w:val="20"/>
                <w:color w:val="auto"/>
              </w:rPr>
            </w:pPr>
            <w:r>
              <w:rPr>
                <w:rFonts w:ascii="Arial" w:cs="Arial" w:eastAsia="Arial" w:hAnsi="Arial"/>
                <w:sz w:val="18"/>
                <w:szCs w:val="18"/>
                <w:color w:val="auto"/>
                <w:w w:val="96"/>
              </w:rPr>
              <w:t>Stock*</w:t>
            </w:r>
          </w:p>
        </w:tc>
        <w:tc>
          <w:tcPr>
            <w:tcW w:w="2160" w:type="dxa"/>
            <w:vAlign w:val="bottom"/>
          </w:tcPr>
          <w:p>
            <w:pPr>
              <w:jc w:val="right"/>
              <w:ind w:right="571"/>
              <w:spacing w:after="0"/>
              <w:rPr>
                <w:sz w:val="20"/>
                <w:szCs w:val="20"/>
                <w:color w:val="auto"/>
              </w:rPr>
            </w:pPr>
            <w:r>
              <w:rPr>
                <w:rFonts w:ascii="Arial" w:cs="Arial" w:eastAsia="Arial" w:hAnsi="Arial"/>
                <w:sz w:val="18"/>
                <w:szCs w:val="18"/>
                <w:color w:val="auto"/>
              </w:rPr>
              <w:t>Share*</w:t>
            </w:r>
          </w:p>
        </w:tc>
        <w:tc>
          <w:tcPr>
            <w:tcW w:w="1840" w:type="dxa"/>
            <w:vAlign w:val="bottom"/>
          </w:tcPr>
          <w:p>
            <w:pPr>
              <w:jc w:val="right"/>
              <w:spacing w:after="0"/>
              <w:rPr>
                <w:sz w:val="20"/>
                <w:szCs w:val="20"/>
                <w:color w:val="auto"/>
              </w:rPr>
            </w:pPr>
            <w:r>
              <w:rPr>
                <w:rFonts w:ascii="Arial" w:cs="Arial" w:eastAsia="Arial" w:hAnsi="Arial"/>
                <w:sz w:val="18"/>
                <w:szCs w:val="18"/>
                <w:color w:val="auto"/>
              </w:rPr>
              <w:t>Price Range*</w:t>
            </w:r>
          </w:p>
        </w:tc>
        <w:tc>
          <w:tcPr>
            <w:tcW w:w="620" w:type="dxa"/>
            <w:vAlign w:val="bottom"/>
          </w:tcPr>
          <w:p>
            <w:pPr>
              <w:spacing w:after="0"/>
              <w:rPr>
                <w:sz w:val="18"/>
                <w:szCs w:val="18"/>
                <w:color w:val="auto"/>
              </w:rPr>
            </w:pP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3/6/2014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14,808</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$338.6414</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$338.05</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$339.04</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3/6/2014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65,596</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$339.8217</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$339.05</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$340.00</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3/7/2014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100</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$304.2100</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$304.21</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$304.21</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3/7/2014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1,000</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$307.0020</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$306.99</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$307.02</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3/7/2014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500</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$308.5023</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$308.01</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$308.82</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3/7/2014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3,600</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$309.8894</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$309.48</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$310.40</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3/7/2014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2,434</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$310.9834</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$310.49</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$311.46</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3/7/2014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4,295</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$312.1770</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$311.63</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$312.60</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3/7/2014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12,332</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$313.1113</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$312.64</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$313.60</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3/7/2014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9,206</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$314.1206</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$313.66</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$314.62</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3/7/2014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5,675</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$315.2149</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$314.70</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$315.69</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3/7/2014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4,398</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$316.0970</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$315.70</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$316.69</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3/7/2014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3,400</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$317.1797</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$316.95</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$317.63</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3/7/2014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2,884</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$318.2685</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$317.95</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$318.75</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3/7/2014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3,284</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$319.7587</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$319.21</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$320.14</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3/7/2014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2,116</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$320.8260</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$320.30</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$321.19</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3/7/2014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5,335</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$321.8937</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$321.32</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$322.26</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3/7/2014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2,615</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$322.9828</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$322.37</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$323.35</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3/7/2014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5,962</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$323.6836</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$323.40</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$324.12</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3/7/2014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496</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$324.6829</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$324.42</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$325.07</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3/7/2014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241</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$325.8246</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$325.75</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$325.92</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3/7/2014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195</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$327.7664</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$327.44</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$328.11</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3/7/2014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2,105</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$328.8519</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$328.45</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$329.43</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3/7/2014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6,219</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$330.1578</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$329.50</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$330.49</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3/7/2014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95,568</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$331.0137</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$330.50</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$331.49</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3/7/2014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48,025</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$332.0805</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$331.50</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$332.49</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3/7/2014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23,743</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$332.8379</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$332.50</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$333.48</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3/7/2014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23,881</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$334.0897</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$333.58</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$334.57</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3/7/2014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22,931</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$335.0597</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$334.58</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$335.56</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3/7/2014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8,951</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$335.8491</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$335.58</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$336.25</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3/7/2014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5,400</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$337.1554</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$336.83</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$337.64</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3/7/2014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4,700</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$338.0638</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$337.86</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$338.85</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3/7/2014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100</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$339.0600</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$339.06</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$339.06</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3/10/2014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12,338</w:t>
            </w:r>
          </w:p>
        </w:tc>
        <w:tc>
          <w:tcPr>
            <w:tcW w:w="680" w:type="dxa"/>
            <w:vAlign w:val="bottom"/>
          </w:tcPr>
          <w:p>
            <w:pPr>
              <w:spacing w:after="0"/>
              <w:rPr>
                <w:sz w:val="18"/>
                <w:szCs w:val="18"/>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$325.3374</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$324.70</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$325.52</w:t>
            </w:r>
          </w:p>
        </w:tc>
      </w:tr>
      <w:tr>
        <w:trPr>
          <w:trHeight w:val="227"/>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3/10/2014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1460" w:type="dxa"/>
            <w:vAlign w:val="bottom"/>
            <w:gridSpan w:val="2"/>
          </w:tcPr>
          <w:p>
            <w:pPr>
              <w:jc w:val="right"/>
              <w:ind w:right="171"/>
              <w:spacing w:after="0"/>
              <w:rPr>
                <w:sz w:val="20"/>
                <w:szCs w:val="20"/>
                <w:color w:val="auto"/>
              </w:rPr>
            </w:pPr>
            <w:r>
              <w:rPr>
                <w:rFonts w:ascii="Arial" w:cs="Arial" w:eastAsia="Arial" w:hAnsi="Arial"/>
                <w:sz w:val="18"/>
                <w:szCs w:val="18"/>
                <w:color w:val="auto"/>
              </w:rPr>
              <w:t>14,124</w:t>
            </w:r>
          </w:p>
        </w:tc>
        <w:tc>
          <w:tcPr>
            <w:tcW w:w="680" w:type="dxa"/>
            <w:vAlign w:val="bottom"/>
          </w:tcPr>
          <w:p>
            <w:pPr>
              <w:spacing w:after="0"/>
              <w:rPr>
                <w:sz w:val="19"/>
                <w:szCs w:val="19"/>
                <w:color w:val="auto"/>
              </w:rPr>
            </w:pPr>
          </w:p>
        </w:tc>
        <w:tc>
          <w:tcPr>
            <w:tcW w:w="2160" w:type="dxa"/>
            <w:vAlign w:val="bottom"/>
          </w:tcPr>
          <w:p>
            <w:pPr>
              <w:jc w:val="right"/>
              <w:ind w:right="631"/>
              <w:spacing w:after="0"/>
              <w:rPr>
                <w:sz w:val="20"/>
                <w:szCs w:val="20"/>
                <w:color w:val="auto"/>
              </w:rPr>
            </w:pPr>
            <w:r>
              <w:rPr>
                <w:rFonts w:ascii="Arial" w:cs="Arial" w:eastAsia="Arial" w:hAnsi="Arial"/>
                <w:sz w:val="18"/>
                <w:szCs w:val="18"/>
                <w:color w:val="auto"/>
              </w:rPr>
              <w:t>$326.4301</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$325.84</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$326.78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79375</wp:posOffset>
            </wp:positionV>
            <wp:extent cx="725233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260"/>
          </w:cols>
          <w:pgMar w:left="400" w:top="49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4"/>
        </w:trPr>
        <w:tc>
          <w:tcPr>
            <w:tcW w:w="10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00" w:type="dxa"/>
            <w:vAlign w:val="bottom"/>
          </w:tcPr>
          <w:p>
            <w:pPr>
              <w:jc w:val="center"/>
              <w:ind w:right="91"/>
              <w:spacing w:after="0"/>
              <w:rPr>
                <w:sz w:val="20"/>
                <w:szCs w:val="20"/>
                <w:color w:val="auto"/>
              </w:rPr>
            </w:pPr>
            <w:r>
              <w:rPr>
                <w:rFonts w:ascii="Arial" w:cs="Arial" w:eastAsia="Arial" w:hAnsi="Arial"/>
                <w:sz w:val="18"/>
                <w:szCs w:val="18"/>
                <w:color w:val="auto"/>
                <w:w w:val="90"/>
              </w:rPr>
              <w:t>Number of</w:t>
            </w:r>
          </w:p>
        </w:tc>
        <w:tc>
          <w:tcPr>
            <w:tcW w:w="2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4"/>
        </w:trPr>
        <w:tc>
          <w:tcPr>
            <w:tcW w:w="10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00" w:type="dxa"/>
            <w:vAlign w:val="bottom"/>
          </w:tcPr>
          <w:p>
            <w:pPr>
              <w:jc w:val="center"/>
              <w:ind w:right="91"/>
              <w:spacing w:after="0"/>
              <w:rPr>
                <w:sz w:val="20"/>
                <w:szCs w:val="20"/>
                <w:color w:val="auto"/>
              </w:rPr>
            </w:pPr>
            <w:r>
              <w:rPr>
                <w:rFonts w:ascii="Arial" w:cs="Arial" w:eastAsia="Arial" w:hAnsi="Arial"/>
                <w:sz w:val="18"/>
                <w:szCs w:val="18"/>
                <w:color w:val="auto"/>
                <w:w w:val="88"/>
              </w:rPr>
              <w:t>Shares of</w:t>
            </w:r>
          </w:p>
        </w:tc>
        <w:tc>
          <w:tcPr>
            <w:tcW w:w="2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4"/>
        </w:trPr>
        <w:tc>
          <w:tcPr>
            <w:tcW w:w="10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6"/>
              </w:rPr>
              <w:t>Trade Date</w:t>
            </w:r>
          </w:p>
        </w:tc>
        <w:tc>
          <w:tcPr>
            <w:tcW w:w="1800" w:type="dxa"/>
            <w:vAlign w:val="bottom"/>
          </w:tcPr>
          <w:p>
            <w:pPr>
              <w:spacing w:after="0"/>
              <w:rPr>
                <w:sz w:val="18"/>
                <w:szCs w:val="18"/>
                <w:color w:val="auto"/>
              </w:rPr>
            </w:pPr>
          </w:p>
        </w:tc>
        <w:tc>
          <w:tcPr>
            <w:tcW w:w="2100" w:type="dxa"/>
            <w:vAlign w:val="bottom"/>
          </w:tcPr>
          <w:p>
            <w:pPr>
              <w:jc w:val="center"/>
              <w:ind w:right="91"/>
              <w:spacing w:after="0"/>
              <w:rPr>
                <w:sz w:val="20"/>
                <w:szCs w:val="20"/>
                <w:color w:val="auto"/>
              </w:rPr>
            </w:pPr>
            <w:r>
              <w:rPr>
                <w:rFonts w:ascii="Arial" w:cs="Arial" w:eastAsia="Arial" w:hAnsi="Arial"/>
                <w:sz w:val="18"/>
                <w:szCs w:val="18"/>
                <w:color w:val="auto"/>
                <w:w w:val="93"/>
              </w:rPr>
              <w:t>Common</w:t>
            </w:r>
          </w:p>
        </w:tc>
        <w:tc>
          <w:tcPr>
            <w:tcW w:w="2200" w:type="dxa"/>
            <w:vAlign w:val="bottom"/>
          </w:tcPr>
          <w:p>
            <w:pPr>
              <w:jc w:val="right"/>
              <w:ind w:right="551"/>
              <w:spacing w:after="0"/>
              <w:rPr>
                <w:sz w:val="20"/>
                <w:szCs w:val="20"/>
                <w:color w:val="auto"/>
              </w:rPr>
            </w:pPr>
            <w:r>
              <w:rPr>
                <w:rFonts w:ascii="Arial" w:cs="Arial" w:eastAsia="Arial" w:hAnsi="Arial"/>
                <w:sz w:val="18"/>
                <w:szCs w:val="18"/>
                <w:color w:val="auto"/>
              </w:rPr>
              <w:t>Price per</w:t>
            </w:r>
          </w:p>
        </w:tc>
        <w:tc>
          <w:tcPr>
            <w:tcW w:w="18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4"/>
        </w:trPr>
        <w:tc>
          <w:tcPr>
            <w:tcW w:w="1080" w:type="dxa"/>
            <w:vAlign w:val="bottom"/>
          </w:tcPr>
          <w:p>
            <w:pPr>
              <w:ind w:left="200"/>
              <w:spacing w:after="0"/>
              <w:rPr>
                <w:sz w:val="20"/>
                <w:szCs w:val="20"/>
                <w:color w:val="auto"/>
              </w:rPr>
            </w:pPr>
            <w:r>
              <w:rPr>
                <w:rFonts w:ascii="Arial" w:cs="Arial" w:eastAsia="Arial" w:hAnsi="Arial"/>
                <w:sz w:val="18"/>
                <w:szCs w:val="18"/>
                <w:color w:val="auto"/>
              </w:rPr>
              <w:t>Entity</w:t>
            </w:r>
          </w:p>
        </w:tc>
        <w:tc>
          <w:tcPr>
            <w:tcW w:w="1620" w:type="dxa"/>
            <w:vAlign w:val="bottom"/>
          </w:tcPr>
          <w:p>
            <w:pPr>
              <w:jc w:val="center"/>
              <w:spacing w:after="0"/>
              <w:rPr>
                <w:sz w:val="20"/>
                <w:szCs w:val="20"/>
                <w:color w:val="auto"/>
              </w:rPr>
            </w:pPr>
            <w:r>
              <w:rPr>
                <w:rFonts w:ascii="Arial" w:cs="Arial" w:eastAsia="Arial" w:hAnsi="Arial"/>
                <w:sz w:val="18"/>
                <w:szCs w:val="18"/>
                <w:color w:val="auto"/>
              </w:rPr>
              <w:t>(M/D/Y)</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9"/>
              </w:rPr>
              <w:t>Transaction</w:t>
            </w:r>
          </w:p>
        </w:tc>
        <w:tc>
          <w:tcPr>
            <w:tcW w:w="2100" w:type="dxa"/>
            <w:vAlign w:val="bottom"/>
          </w:tcPr>
          <w:p>
            <w:pPr>
              <w:jc w:val="center"/>
              <w:ind w:right="91"/>
              <w:spacing w:after="0"/>
              <w:rPr>
                <w:sz w:val="20"/>
                <w:szCs w:val="20"/>
                <w:color w:val="auto"/>
              </w:rPr>
            </w:pPr>
            <w:r>
              <w:rPr>
                <w:rFonts w:ascii="Arial" w:cs="Arial" w:eastAsia="Arial" w:hAnsi="Arial"/>
                <w:sz w:val="18"/>
                <w:szCs w:val="18"/>
                <w:color w:val="auto"/>
                <w:w w:val="92"/>
              </w:rPr>
              <w:t>Stock*</w:t>
            </w:r>
          </w:p>
        </w:tc>
        <w:tc>
          <w:tcPr>
            <w:tcW w:w="2200" w:type="dxa"/>
            <w:vAlign w:val="bottom"/>
          </w:tcPr>
          <w:p>
            <w:pPr>
              <w:jc w:val="right"/>
              <w:ind w:right="611"/>
              <w:spacing w:after="0"/>
              <w:rPr>
                <w:sz w:val="20"/>
                <w:szCs w:val="20"/>
                <w:color w:val="auto"/>
              </w:rPr>
            </w:pPr>
            <w:r>
              <w:rPr>
                <w:rFonts w:ascii="Arial" w:cs="Arial" w:eastAsia="Arial" w:hAnsi="Arial"/>
                <w:sz w:val="18"/>
                <w:szCs w:val="18"/>
                <w:color w:val="auto"/>
              </w:rPr>
              <w:t>Share*</w:t>
            </w:r>
          </w:p>
        </w:tc>
        <w:tc>
          <w:tcPr>
            <w:tcW w:w="1840" w:type="dxa"/>
            <w:vAlign w:val="bottom"/>
          </w:tcPr>
          <w:p>
            <w:pPr>
              <w:jc w:val="right"/>
              <w:spacing w:after="0"/>
              <w:rPr>
                <w:sz w:val="20"/>
                <w:szCs w:val="20"/>
                <w:color w:val="auto"/>
              </w:rPr>
            </w:pPr>
            <w:r>
              <w:rPr>
                <w:rFonts w:ascii="Arial" w:cs="Arial" w:eastAsia="Arial" w:hAnsi="Arial"/>
                <w:sz w:val="18"/>
                <w:szCs w:val="18"/>
                <w:color w:val="auto"/>
              </w:rPr>
              <w:t>Price Range*</w:t>
            </w:r>
          </w:p>
        </w:tc>
        <w:tc>
          <w:tcPr>
            <w:tcW w:w="620" w:type="dxa"/>
            <w:vAlign w:val="bottom"/>
          </w:tcPr>
          <w:p>
            <w:pPr>
              <w:spacing w:after="0"/>
              <w:rPr>
                <w:sz w:val="18"/>
                <w:szCs w:val="18"/>
                <w:color w:val="auto"/>
              </w:rPr>
            </w:pP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3/10/2014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2100" w:type="dxa"/>
            <w:vAlign w:val="bottom"/>
          </w:tcPr>
          <w:p>
            <w:pPr>
              <w:jc w:val="right"/>
              <w:ind w:right="811"/>
              <w:spacing w:after="0"/>
              <w:rPr>
                <w:sz w:val="20"/>
                <w:szCs w:val="20"/>
                <w:color w:val="auto"/>
              </w:rPr>
            </w:pPr>
            <w:r>
              <w:rPr>
                <w:rFonts w:ascii="Arial" w:cs="Arial" w:eastAsia="Arial" w:hAnsi="Arial"/>
                <w:sz w:val="18"/>
                <w:szCs w:val="18"/>
                <w:color w:val="auto"/>
              </w:rPr>
              <w:t>22,731</w:t>
            </w:r>
          </w:p>
        </w:tc>
        <w:tc>
          <w:tcPr>
            <w:tcW w:w="2200" w:type="dxa"/>
            <w:vAlign w:val="bottom"/>
          </w:tcPr>
          <w:p>
            <w:pPr>
              <w:jc w:val="right"/>
              <w:ind w:right="631"/>
              <w:spacing w:after="0"/>
              <w:rPr>
                <w:sz w:val="20"/>
                <w:szCs w:val="20"/>
                <w:color w:val="auto"/>
              </w:rPr>
            </w:pPr>
            <w:r>
              <w:rPr>
                <w:rFonts w:ascii="Arial" w:cs="Arial" w:eastAsia="Arial" w:hAnsi="Arial"/>
                <w:sz w:val="18"/>
                <w:szCs w:val="18"/>
                <w:color w:val="auto"/>
              </w:rPr>
              <w:t>$327.5757</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$326.93</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$327.92</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3/10/2014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2100" w:type="dxa"/>
            <w:vAlign w:val="bottom"/>
          </w:tcPr>
          <w:p>
            <w:pPr>
              <w:jc w:val="right"/>
              <w:ind w:right="811"/>
              <w:spacing w:after="0"/>
              <w:rPr>
                <w:sz w:val="20"/>
                <w:szCs w:val="20"/>
                <w:color w:val="auto"/>
              </w:rPr>
            </w:pPr>
            <w:r>
              <w:rPr>
                <w:rFonts w:ascii="Arial" w:cs="Arial" w:eastAsia="Arial" w:hAnsi="Arial"/>
                <w:sz w:val="18"/>
                <w:szCs w:val="18"/>
                <w:color w:val="auto"/>
              </w:rPr>
              <w:t>48,518</w:t>
            </w:r>
          </w:p>
        </w:tc>
        <w:tc>
          <w:tcPr>
            <w:tcW w:w="2200" w:type="dxa"/>
            <w:vAlign w:val="bottom"/>
          </w:tcPr>
          <w:p>
            <w:pPr>
              <w:jc w:val="right"/>
              <w:ind w:right="631"/>
              <w:spacing w:after="0"/>
              <w:rPr>
                <w:sz w:val="20"/>
                <w:szCs w:val="20"/>
                <w:color w:val="auto"/>
              </w:rPr>
            </w:pPr>
            <w:r>
              <w:rPr>
                <w:rFonts w:ascii="Arial" w:cs="Arial" w:eastAsia="Arial" w:hAnsi="Arial"/>
                <w:sz w:val="18"/>
                <w:szCs w:val="18"/>
                <w:color w:val="auto"/>
              </w:rPr>
              <w:t>$328.3089</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$327.93</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$328.91</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3/10/2014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2100" w:type="dxa"/>
            <w:vAlign w:val="bottom"/>
          </w:tcPr>
          <w:p>
            <w:pPr>
              <w:jc w:val="right"/>
              <w:ind w:right="811"/>
              <w:spacing w:after="0"/>
              <w:rPr>
                <w:sz w:val="20"/>
                <w:szCs w:val="20"/>
                <w:color w:val="auto"/>
              </w:rPr>
            </w:pPr>
            <w:r>
              <w:rPr>
                <w:rFonts w:ascii="Arial" w:cs="Arial" w:eastAsia="Arial" w:hAnsi="Arial"/>
                <w:sz w:val="18"/>
                <w:szCs w:val="18"/>
                <w:color w:val="auto"/>
              </w:rPr>
              <w:t>51,909</w:t>
            </w:r>
          </w:p>
        </w:tc>
        <w:tc>
          <w:tcPr>
            <w:tcW w:w="2200" w:type="dxa"/>
            <w:vAlign w:val="bottom"/>
          </w:tcPr>
          <w:p>
            <w:pPr>
              <w:jc w:val="right"/>
              <w:ind w:right="631"/>
              <w:spacing w:after="0"/>
              <w:rPr>
                <w:sz w:val="20"/>
                <w:szCs w:val="20"/>
                <w:color w:val="auto"/>
              </w:rPr>
            </w:pPr>
            <w:r>
              <w:rPr>
                <w:rFonts w:ascii="Arial" w:cs="Arial" w:eastAsia="Arial" w:hAnsi="Arial"/>
                <w:sz w:val="18"/>
                <w:szCs w:val="18"/>
                <w:color w:val="auto"/>
              </w:rPr>
              <w:t>$329.2599</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$328.93</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$329.92</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3/10/2014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2100" w:type="dxa"/>
            <w:vAlign w:val="bottom"/>
          </w:tcPr>
          <w:p>
            <w:pPr>
              <w:jc w:val="right"/>
              <w:ind w:right="811"/>
              <w:spacing w:after="0"/>
              <w:rPr>
                <w:sz w:val="20"/>
                <w:szCs w:val="20"/>
                <w:color w:val="auto"/>
              </w:rPr>
            </w:pPr>
            <w:r>
              <w:rPr>
                <w:rFonts w:ascii="Arial" w:cs="Arial" w:eastAsia="Arial" w:hAnsi="Arial"/>
                <w:sz w:val="18"/>
                <w:szCs w:val="18"/>
                <w:color w:val="auto"/>
              </w:rPr>
              <w:t>44,105</w:t>
            </w:r>
          </w:p>
        </w:tc>
        <w:tc>
          <w:tcPr>
            <w:tcW w:w="2200" w:type="dxa"/>
            <w:vAlign w:val="bottom"/>
          </w:tcPr>
          <w:p>
            <w:pPr>
              <w:jc w:val="right"/>
              <w:ind w:right="631"/>
              <w:spacing w:after="0"/>
              <w:rPr>
                <w:sz w:val="20"/>
                <w:szCs w:val="20"/>
                <w:color w:val="auto"/>
              </w:rPr>
            </w:pPr>
            <w:r>
              <w:rPr>
                <w:rFonts w:ascii="Arial" w:cs="Arial" w:eastAsia="Arial" w:hAnsi="Arial"/>
                <w:sz w:val="18"/>
                <w:szCs w:val="18"/>
                <w:color w:val="auto"/>
              </w:rPr>
              <w:t>$330.4271</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$329.99</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$330.97</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3/10/2014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2100" w:type="dxa"/>
            <w:vAlign w:val="bottom"/>
          </w:tcPr>
          <w:p>
            <w:pPr>
              <w:jc w:val="right"/>
              <w:ind w:right="811"/>
              <w:spacing w:after="0"/>
              <w:rPr>
                <w:sz w:val="20"/>
                <w:szCs w:val="20"/>
                <w:color w:val="auto"/>
              </w:rPr>
            </w:pPr>
            <w:r>
              <w:rPr>
                <w:rFonts w:ascii="Arial" w:cs="Arial" w:eastAsia="Arial" w:hAnsi="Arial"/>
                <w:sz w:val="18"/>
                <w:szCs w:val="18"/>
                <w:color w:val="auto"/>
              </w:rPr>
              <w:t>3,808</w:t>
            </w:r>
          </w:p>
        </w:tc>
        <w:tc>
          <w:tcPr>
            <w:tcW w:w="2200" w:type="dxa"/>
            <w:vAlign w:val="bottom"/>
          </w:tcPr>
          <w:p>
            <w:pPr>
              <w:jc w:val="right"/>
              <w:ind w:right="631"/>
              <w:spacing w:after="0"/>
              <w:rPr>
                <w:sz w:val="20"/>
                <w:szCs w:val="20"/>
                <w:color w:val="auto"/>
              </w:rPr>
            </w:pPr>
            <w:r>
              <w:rPr>
                <w:rFonts w:ascii="Arial" w:cs="Arial" w:eastAsia="Arial" w:hAnsi="Arial"/>
                <w:sz w:val="18"/>
                <w:szCs w:val="18"/>
                <w:color w:val="auto"/>
              </w:rPr>
              <w:t>$331.4942</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$330.99</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$331.98</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3/10/2014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2100" w:type="dxa"/>
            <w:vAlign w:val="bottom"/>
          </w:tcPr>
          <w:p>
            <w:pPr>
              <w:jc w:val="right"/>
              <w:ind w:right="811"/>
              <w:spacing w:after="0"/>
              <w:rPr>
                <w:sz w:val="20"/>
                <w:szCs w:val="20"/>
                <w:color w:val="auto"/>
              </w:rPr>
            </w:pPr>
            <w:r>
              <w:rPr>
                <w:rFonts w:ascii="Arial" w:cs="Arial" w:eastAsia="Arial" w:hAnsi="Arial"/>
                <w:sz w:val="18"/>
                <w:szCs w:val="18"/>
                <w:color w:val="auto"/>
              </w:rPr>
              <w:t>2,289</w:t>
            </w:r>
          </w:p>
        </w:tc>
        <w:tc>
          <w:tcPr>
            <w:tcW w:w="2200" w:type="dxa"/>
            <w:vAlign w:val="bottom"/>
          </w:tcPr>
          <w:p>
            <w:pPr>
              <w:jc w:val="right"/>
              <w:ind w:right="631"/>
              <w:spacing w:after="0"/>
              <w:rPr>
                <w:sz w:val="20"/>
                <w:szCs w:val="20"/>
                <w:color w:val="auto"/>
              </w:rPr>
            </w:pPr>
            <w:r>
              <w:rPr>
                <w:rFonts w:ascii="Arial" w:cs="Arial" w:eastAsia="Arial" w:hAnsi="Arial"/>
                <w:sz w:val="18"/>
                <w:szCs w:val="18"/>
                <w:color w:val="auto"/>
              </w:rPr>
              <w:t>$332.2587</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$331.99</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$332.69</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3/11/2014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2100" w:type="dxa"/>
            <w:vAlign w:val="bottom"/>
          </w:tcPr>
          <w:p>
            <w:pPr>
              <w:jc w:val="right"/>
              <w:ind w:right="811"/>
              <w:spacing w:after="0"/>
              <w:rPr>
                <w:sz w:val="20"/>
                <w:szCs w:val="20"/>
                <w:color w:val="auto"/>
              </w:rPr>
            </w:pPr>
            <w:r>
              <w:rPr>
                <w:rFonts w:ascii="Arial" w:cs="Arial" w:eastAsia="Arial" w:hAnsi="Arial"/>
                <w:sz w:val="18"/>
                <w:szCs w:val="18"/>
                <w:color w:val="auto"/>
              </w:rPr>
              <w:t>3,688</w:t>
            </w:r>
          </w:p>
        </w:tc>
        <w:tc>
          <w:tcPr>
            <w:tcW w:w="2200" w:type="dxa"/>
            <w:vAlign w:val="bottom"/>
          </w:tcPr>
          <w:p>
            <w:pPr>
              <w:jc w:val="right"/>
              <w:ind w:right="631"/>
              <w:spacing w:after="0"/>
              <w:rPr>
                <w:sz w:val="20"/>
                <w:szCs w:val="20"/>
                <w:color w:val="auto"/>
              </w:rPr>
            </w:pPr>
            <w:r>
              <w:rPr>
                <w:rFonts w:ascii="Arial" w:cs="Arial" w:eastAsia="Arial" w:hAnsi="Arial"/>
                <w:sz w:val="18"/>
                <w:szCs w:val="18"/>
                <w:color w:val="auto"/>
              </w:rPr>
              <w:t>$328.8187</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$328.02</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$329.01</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3/11/2014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2100" w:type="dxa"/>
            <w:vAlign w:val="bottom"/>
          </w:tcPr>
          <w:p>
            <w:pPr>
              <w:jc w:val="right"/>
              <w:ind w:right="811"/>
              <w:spacing w:after="0"/>
              <w:rPr>
                <w:sz w:val="20"/>
                <w:szCs w:val="20"/>
                <w:color w:val="auto"/>
              </w:rPr>
            </w:pPr>
            <w:r>
              <w:rPr>
                <w:rFonts w:ascii="Arial" w:cs="Arial" w:eastAsia="Arial" w:hAnsi="Arial"/>
                <w:sz w:val="18"/>
                <w:szCs w:val="18"/>
                <w:color w:val="auto"/>
              </w:rPr>
              <w:t>32,976</w:t>
            </w:r>
          </w:p>
        </w:tc>
        <w:tc>
          <w:tcPr>
            <w:tcW w:w="2200" w:type="dxa"/>
            <w:vAlign w:val="bottom"/>
          </w:tcPr>
          <w:p>
            <w:pPr>
              <w:jc w:val="right"/>
              <w:ind w:right="631"/>
              <w:spacing w:after="0"/>
              <w:rPr>
                <w:sz w:val="20"/>
                <w:szCs w:val="20"/>
                <w:color w:val="auto"/>
              </w:rPr>
            </w:pPr>
            <w:r>
              <w:rPr>
                <w:rFonts w:ascii="Arial" w:cs="Arial" w:eastAsia="Arial" w:hAnsi="Arial"/>
                <w:sz w:val="18"/>
                <w:szCs w:val="18"/>
                <w:color w:val="auto"/>
              </w:rPr>
              <w:t>$329.6812</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$329.05</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$330.04</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3/11/2014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2100" w:type="dxa"/>
            <w:vAlign w:val="bottom"/>
          </w:tcPr>
          <w:p>
            <w:pPr>
              <w:jc w:val="right"/>
              <w:ind w:right="811"/>
              <w:spacing w:after="0"/>
              <w:rPr>
                <w:sz w:val="20"/>
                <w:szCs w:val="20"/>
                <w:color w:val="auto"/>
              </w:rPr>
            </w:pPr>
            <w:r>
              <w:rPr>
                <w:rFonts w:ascii="Arial" w:cs="Arial" w:eastAsia="Arial" w:hAnsi="Arial"/>
                <w:sz w:val="18"/>
                <w:szCs w:val="18"/>
                <w:color w:val="auto"/>
              </w:rPr>
              <w:t>31,792</w:t>
            </w:r>
          </w:p>
        </w:tc>
        <w:tc>
          <w:tcPr>
            <w:tcW w:w="2200" w:type="dxa"/>
            <w:vAlign w:val="bottom"/>
          </w:tcPr>
          <w:p>
            <w:pPr>
              <w:jc w:val="right"/>
              <w:ind w:right="631"/>
              <w:spacing w:after="0"/>
              <w:rPr>
                <w:sz w:val="20"/>
                <w:szCs w:val="20"/>
                <w:color w:val="auto"/>
              </w:rPr>
            </w:pPr>
            <w:r>
              <w:rPr>
                <w:rFonts w:ascii="Arial" w:cs="Arial" w:eastAsia="Arial" w:hAnsi="Arial"/>
                <w:sz w:val="18"/>
                <w:szCs w:val="18"/>
                <w:color w:val="auto"/>
              </w:rPr>
              <w:t>$330.4600</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$330.05</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$331.02</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3/11/2014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2100" w:type="dxa"/>
            <w:vAlign w:val="bottom"/>
          </w:tcPr>
          <w:p>
            <w:pPr>
              <w:jc w:val="right"/>
              <w:ind w:right="811"/>
              <w:spacing w:after="0"/>
              <w:rPr>
                <w:sz w:val="20"/>
                <w:szCs w:val="20"/>
                <w:color w:val="auto"/>
              </w:rPr>
            </w:pPr>
            <w:r>
              <w:rPr>
                <w:rFonts w:ascii="Arial" w:cs="Arial" w:eastAsia="Arial" w:hAnsi="Arial"/>
                <w:sz w:val="18"/>
                <w:szCs w:val="18"/>
                <w:color w:val="auto"/>
              </w:rPr>
              <w:t>18,019</w:t>
            </w:r>
          </w:p>
        </w:tc>
        <w:tc>
          <w:tcPr>
            <w:tcW w:w="2200" w:type="dxa"/>
            <w:vAlign w:val="bottom"/>
          </w:tcPr>
          <w:p>
            <w:pPr>
              <w:jc w:val="right"/>
              <w:ind w:right="631"/>
              <w:spacing w:after="0"/>
              <w:rPr>
                <w:sz w:val="20"/>
                <w:szCs w:val="20"/>
                <w:color w:val="auto"/>
              </w:rPr>
            </w:pPr>
            <w:r>
              <w:rPr>
                <w:rFonts w:ascii="Arial" w:cs="Arial" w:eastAsia="Arial" w:hAnsi="Arial"/>
                <w:sz w:val="18"/>
                <w:szCs w:val="18"/>
                <w:color w:val="auto"/>
              </w:rPr>
              <w:t>$331.6104</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$331.06</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$332.01</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3/11/2014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2100" w:type="dxa"/>
            <w:vAlign w:val="bottom"/>
          </w:tcPr>
          <w:p>
            <w:pPr>
              <w:jc w:val="right"/>
              <w:ind w:right="811"/>
              <w:spacing w:after="0"/>
              <w:rPr>
                <w:sz w:val="20"/>
                <w:szCs w:val="20"/>
                <w:color w:val="auto"/>
              </w:rPr>
            </w:pPr>
            <w:r>
              <w:rPr>
                <w:rFonts w:ascii="Arial" w:cs="Arial" w:eastAsia="Arial" w:hAnsi="Arial"/>
                <w:sz w:val="18"/>
                <w:szCs w:val="18"/>
                <w:color w:val="auto"/>
              </w:rPr>
              <w:t>31,603</w:t>
            </w:r>
          </w:p>
        </w:tc>
        <w:tc>
          <w:tcPr>
            <w:tcW w:w="2200" w:type="dxa"/>
            <w:vAlign w:val="bottom"/>
          </w:tcPr>
          <w:p>
            <w:pPr>
              <w:jc w:val="right"/>
              <w:ind w:right="631"/>
              <w:spacing w:after="0"/>
              <w:rPr>
                <w:sz w:val="20"/>
                <w:szCs w:val="20"/>
                <w:color w:val="auto"/>
              </w:rPr>
            </w:pPr>
            <w:r>
              <w:rPr>
                <w:rFonts w:ascii="Arial" w:cs="Arial" w:eastAsia="Arial" w:hAnsi="Arial"/>
                <w:sz w:val="18"/>
                <w:szCs w:val="18"/>
                <w:color w:val="auto"/>
              </w:rPr>
              <w:t>$332.4979</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$332.11</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$333.08</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3/11/2014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2100" w:type="dxa"/>
            <w:vAlign w:val="bottom"/>
          </w:tcPr>
          <w:p>
            <w:pPr>
              <w:jc w:val="right"/>
              <w:ind w:right="811"/>
              <w:spacing w:after="0"/>
              <w:rPr>
                <w:sz w:val="20"/>
                <w:szCs w:val="20"/>
                <w:color w:val="auto"/>
              </w:rPr>
            </w:pPr>
            <w:r>
              <w:rPr>
                <w:rFonts w:ascii="Arial" w:cs="Arial" w:eastAsia="Arial" w:hAnsi="Arial"/>
                <w:sz w:val="18"/>
                <w:szCs w:val="18"/>
                <w:color w:val="auto"/>
              </w:rPr>
              <w:t>19,967</w:t>
            </w:r>
          </w:p>
        </w:tc>
        <w:tc>
          <w:tcPr>
            <w:tcW w:w="2200" w:type="dxa"/>
            <w:vAlign w:val="bottom"/>
          </w:tcPr>
          <w:p>
            <w:pPr>
              <w:jc w:val="right"/>
              <w:ind w:right="631"/>
              <w:spacing w:after="0"/>
              <w:rPr>
                <w:sz w:val="20"/>
                <w:szCs w:val="20"/>
                <w:color w:val="auto"/>
              </w:rPr>
            </w:pPr>
            <w:r>
              <w:rPr>
                <w:rFonts w:ascii="Arial" w:cs="Arial" w:eastAsia="Arial" w:hAnsi="Arial"/>
                <w:sz w:val="18"/>
                <w:szCs w:val="18"/>
                <w:color w:val="auto"/>
              </w:rPr>
              <w:t>$333.5873</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$333.12</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$334.09</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3/11/2014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2100" w:type="dxa"/>
            <w:vAlign w:val="bottom"/>
          </w:tcPr>
          <w:p>
            <w:pPr>
              <w:jc w:val="right"/>
              <w:ind w:right="811"/>
              <w:spacing w:after="0"/>
              <w:rPr>
                <w:sz w:val="20"/>
                <w:szCs w:val="20"/>
                <w:color w:val="auto"/>
              </w:rPr>
            </w:pPr>
            <w:r>
              <w:rPr>
                <w:rFonts w:ascii="Arial" w:cs="Arial" w:eastAsia="Arial" w:hAnsi="Arial"/>
                <w:sz w:val="18"/>
                <w:szCs w:val="18"/>
                <w:color w:val="auto"/>
              </w:rPr>
              <w:t>15,835</w:t>
            </w:r>
          </w:p>
        </w:tc>
        <w:tc>
          <w:tcPr>
            <w:tcW w:w="2200" w:type="dxa"/>
            <w:vAlign w:val="bottom"/>
          </w:tcPr>
          <w:p>
            <w:pPr>
              <w:jc w:val="right"/>
              <w:ind w:right="631"/>
              <w:spacing w:after="0"/>
              <w:rPr>
                <w:sz w:val="20"/>
                <w:szCs w:val="20"/>
                <w:color w:val="auto"/>
              </w:rPr>
            </w:pPr>
            <w:r>
              <w:rPr>
                <w:rFonts w:ascii="Arial" w:cs="Arial" w:eastAsia="Arial" w:hAnsi="Arial"/>
                <w:sz w:val="18"/>
                <w:szCs w:val="18"/>
                <w:color w:val="auto"/>
              </w:rPr>
              <w:t>$334.8897</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$334.22</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$335.21</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3/11/2014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2100" w:type="dxa"/>
            <w:vAlign w:val="bottom"/>
          </w:tcPr>
          <w:p>
            <w:pPr>
              <w:jc w:val="right"/>
              <w:ind w:right="811"/>
              <w:spacing w:after="0"/>
              <w:rPr>
                <w:sz w:val="20"/>
                <w:szCs w:val="20"/>
                <w:color w:val="auto"/>
              </w:rPr>
            </w:pPr>
            <w:r>
              <w:rPr>
                <w:rFonts w:ascii="Arial" w:cs="Arial" w:eastAsia="Arial" w:hAnsi="Arial"/>
                <w:sz w:val="18"/>
                <w:szCs w:val="18"/>
                <w:color w:val="auto"/>
              </w:rPr>
              <w:t>26,830</w:t>
            </w:r>
          </w:p>
        </w:tc>
        <w:tc>
          <w:tcPr>
            <w:tcW w:w="2200" w:type="dxa"/>
            <w:vAlign w:val="bottom"/>
          </w:tcPr>
          <w:p>
            <w:pPr>
              <w:jc w:val="right"/>
              <w:ind w:right="631"/>
              <w:spacing w:after="0"/>
              <w:rPr>
                <w:sz w:val="20"/>
                <w:szCs w:val="20"/>
                <w:color w:val="auto"/>
              </w:rPr>
            </w:pPr>
            <w:r>
              <w:rPr>
                <w:rFonts w:ascii="Arial" w:cs="Arial" w:eastAsia="Arial" w:hAnsi="Arial"/>
                <w:sz w:val="18"/>
                <w:szCs w:val="18"/>
                <w:color w:val="auto"/>
              </w:rPr>
              <w:t>$335.6752</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$335.26</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$336.19</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3/12/2014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2100" w:type="dxa"/>
            <w:vAlign w:val="bottom"/>
          </w:tcPr>
          <w:p>
            <w:pPr>
              <w:jc w:val="right"/>
              <w:ind w:right="811"/>
              <w:spacing w:after="0"/>
              <w:rPr>
                <w:sz w:val="20"/>
                <w:szCs w:val="20"/>
                <w:color w:val="auto"/>
              </w:rPr>
            </w:pPr>
            <w:r>
              <w:rPr>
                <w:rFonts w:ascii="Arial" w:cs="Arial" w:eastAsia="Arial" w:hAnsi="Arial"/>
                <w:sz w:val="18"/>
                <w:szCs w:val="18"/>
                <w:color w:val="auto"/>
              </w:rPr>
              <w:t>4,783</w:t>
            </w:r>
          </w:p>
        </w:tc>
        <w:tc>
          <w:tcPr>
            <w:tcW w:w="2200" w:type="dxa"/>
            <w:vAlign w:val="bottom"/>
          </w:tcPr>
          <w:p>
            <w:pPr>
              <w:jc w:val="right"/>
              <w:ind w:right="631"/>
              <w:spacing w:after="0"/>
              <w:rPr>
                <w:sz w:val="20"/>
                <w:szCs w:val="20"/>
                <w:color w:val="auto"/>
              </w:rPr>
            </w:pPr>
            <w:r>
              <w:rPr>
                <w:rFonts w:ascii="Arial" w:cs="Arial" w:eastAsia="Arial" w:hAnsi="Arial"/>
                <w:sz w:val="18"/>
                <w:szCs w:val="18"/>
                <w:color w:val="auto"/>
              </w:rPr>
              <w:t>$325.4015</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$325.00</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$325.98</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3/12/2014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2100" w:type="dxa"/>
            <w:vAlign w:val="bottom"/>
          </w:tcPr>
          <w:p>
            <w:pPr>
              <w:jc w:val="right"/>
              <w:ind w:right="811"/>
              <w:spacing w:after="0"/>
              <w:rPr>
                <w:sz w:val="20"/>
                <w:szCs w:val="20"/>
                <w:color w:val="auto"/>
              </w:rPr>
            </w:pPr>
            <w:r>
              <w:rPr>
                <w:rFonts w:ascii="Arial" w:cs="Arial" w:eastAsia="Arial" w:hAnsi="Arial"/>
                <w:sz w:val="18"/>
                <w:szCs w:val="18"/>
                <w:color w:val="auto"/>
              </w:rPr>
              <w:t>15,296</w:t>
            </w:r>
          </w:p>
        </w:tc>
        <w:tc>
          <w:tcPr>
            <w:tcW w:w="2200" w:type="dxa"/>
            <w:vAlign w:val="bottom"/>
          </w:tcPr>
          <w:p>
            <w:pPr>
              <w:jc w:val="right"/>
              <w:ind w:right="631"/>
              <w:spacing w:after="0"/>
              <w:rPr>
                <w:sz w:val="20"/>
                <w:szCs w:val="20"/>
                <w:color w:val="auto"/>
              </w:rPr>
            </w:pPr>
            <w:r>
              <w:rPr>
                <w:rFonts w:ascii="Arial" w:cs="Arial" w:eastAsia="Arial" w:hAnsi="Arial"/>
                <w:sz w:val="18"/>
                <w:szCs w:val="18"/>
                <w:color w:val="auto"/>
              </w:rPr>
              <w:t>$326.5160</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$326.01</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$327.00</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3/12/2014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2100" w:type="dxa"/>
            <w:vAlign w:val="bottom"/>
          </w:tcPr>
          <w:p>
            <w:pPr>
              <w:jc w:val="right"/>
              <w:ind w:right="811"/>
              <w:spacing w:after="0"/>
              <w:rPr>
                <w:sz w:val="20"/>
                <w:szCs w:val="20"/>
                <w:color w:val="auto"/>
              </w:rPr>
            </w:pPr>
            <w:r>
              <w:rPr>
                <w:rFonts w:ascii="Arial" w:cs="Arial" w:eastAsia="Arial" w:hAnsi="Arial"/>
                <w:sz w:val="18"/>
                <w:szCs w:val="18"/>
                <w:color w:val="auto"/>
              </w:rPr>
              <w:t>9,819</w:t>
            </w:r>
          </w:p>
        </w:tc>
        <w:tc>
          <w:tcPr>
            <w:tcW w:w="2200" w:type="dxa"/>
            <w:vAlign w:val="bottom"/>
          </w:tcPr>
          <w:p>
            <w:pPr>
              <w:jc w:val="right"/>
              <w:ind w:right="631"/>
              <w:spacing w:after="0"/>
              <w:rPr>
                <w:sz w:val="20"/>
                <w:szCs w:val="20"/>
                <w:color w:val="auto"/>
              </w:rPr>
            </w:pPr>
            <w:r>
              <w:rPr>
                <w:rFonts w:ascii="Arial" w:cs="Arial" w:eastAsia="Arial" w:hAnsi="Arial"/>
                <w:sz w:val="18"/>
                <w:szCs w:val="18"/>
                <w:color w:val="auto"/>
              </w:rPr>
              <w:t>$327.4930</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$327.01</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$327.94</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3/12/2014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2100" w:type="dxa"/>
            <w:vAlign w:val="bottom"/>
          </w:tcPr>
          <w:p>
            <w:pPr>
              <w:jc w:val="right"/>
              <w:ind w:right="811"/>
              <w:spacing w:after="0"/>
              <w:rPr>
                <w:sz w:val="20"/>
                <w:szCs w:val="20"/>
                <w:color w:val="auto"/>
              </w:rPr>
            </w:pPr>
            <w:r>
              <w:rPr>
                <w:rFonts w:ascii="Arial" w:cs="Arial" w:eastAsia="Arial" w:hAnsi="Arial"/>
                <w:sz w:val="18"/>
                <w:szCs w:val="18"/>
                <w:color w:val="auto"/>
              </w:rPr>
              <w:t>11,822</w:t>
            </w:r>
          </w:p>
        </w:tc>
        <w:tc>
          <w:tcPr>
            <w:tcW w:w="2200" w:type="dxa"/>
            <w:vAlign w:val="bottom"/>
          </w:tcPr>
          <w:p>
            <w:pPr>
              <w:jc w:val="right"/>
              <w:ind w:right="631"/>
              <w:spacing w:after="0"/>
              <w:rPr>
                <w:sz w:val="20"/>
                <w:szCs w:val="20"/>
                <w:color w:val="auto"/>
              </w:rPr>
            </w:pPr>
            <w:r>
              <w:rPr>
                <w:rFonts w:ascii="Arial" w:cs="Arial" w:eastAsia="Arial" w:hAnsi="Arial"/>
                <w:sz w:val="18"/>
                <w:szCs w:val="18"/>
                <w:color w:val="auto"/>
              </w:rPr>
              <w:t>$328.2163</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$328.03</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$328.74</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3/12/2014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2100" w:type="dxa"/>
            <w:vAlign w:val="bottom"/>
          </w:tcPr>
          <w:p>
            <w:pPr>
              <w:jc w:val="right"/>
              <w:ind w:right="811"/>
              <w:spacing w:after="0"/>
              <w:rPr>
                <w:sz w:val="20"/>
                <w:szCs w:val="20"/>
                <w:color w:val="auto"/>
              </w:rPr>
            </w:pPr>
            <w:r>
              <w:rPr>
                <w:rFonts w:ascii="Arial" w:cs="Arial" w:eastAsia="Arial" w:hAnsi="Arial"/>
                <w:sz w:val="18"/>
                <w:szCs w:val="18"/>
                <w:color w:val="auto"/>
              </w:rPr>
              <w:t>2,600</w:t>
            </w:r>
          </w:p>
        </w:tc>
        <w:tc>
          <w:tcPr>
            <w:tcW w:w="2200" w:type="dxa"/>
            <w:vAlign w:val="bottom"/>
          </w:tcPr>
          <w:p>
            <w:pPr>
              <w:jc w:val="right"/>
              <w:ind w:right="631"/>
              <w:spacing w:after="0"/>
              <w:rPr>
                <w:sz w:val="20"/>
                <w:szCs w:val="20"/>
                <w:color w:val="auto"/>
              </w:rPr>
            </w:pPr>
            <w:r>
              <w:rPr>
                <w:rFonts w:ascii="Arial" w:cs="Arial" w:eastAsia="Arial" w:hAnsi="Arial"/>
                <w:sz w:val="18"/>
                <w:szCs w:val="18"/>
                <w:color w:val="auto"/>
              </w:rPr>
              <w:t>$329.3254</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$329.10</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$329.95</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3/12/2014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2100" w:type="dxa"/>
            <w:vAlign w:val="bottom"/>
          </w:tcPr>
          <w:p>
            <w:pPr>
              <w:jc w:val="right"/>
              <w:ind w:right="811"/>
              <w:spacing w:after="0"/>
              <w:rPr>
                <w:sz w:val="20"/>
                <w:szCs w:val="20"/>
                <w:color w:val="auto"/>
              </w:rPr>
            </w:pPr>
            <w:r>
              <w:rPr>
                <w:rFonts w:ascii="Arial" w:cs="Arial" w:eastAsia="Arial" w:hAnsi="Arial"/>
                <w:sz w:val="18"/>
                <w:szCs w:val="18"/>
                <w:color w:val="auto"/>
              </w:rPr>
              <w:t>20,851</w:t>
            </w:r>
          </w:p>
        </w:tc>
        <w:tc>
          <w:tcPr>
            <w:tcW w:w="2200" w:type="dxa"/>
            <w:vAlign w:val="bottom"/>
          </w:tcPr>
          <w:p>
            <w:pPr>
              <w:jc w:val="right"/>
              <w:ind w:right="631"/>
              <w:spacing w:after="0"/>
              <w:rPr>
                <w:sz w:val="20"/>
                <w:szCs w:val="20"/>
                <w:color w:val="auto"/>
              </w:rPr>
            </w:pPr>
            <w:r>
              <w:rPr>
                <w:rFonts w:ascii="Arial" w:cs="Arial" w:eastAsia="Arial" w:hAnsi="Arial"/>
                <w:sz w:val="18"/>
                <w:szCs w:val="18"/>
                <w:color w:val="auto"/>
              </w:rPr>
              <w:t>$330.7382</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$330.42</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$331.38</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3/12/2014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2100" w:type="dxa"/>
            <w:vAlign w:val="bottom"/>
          </w:tcPr>
          <w:p>
            <w:pPr>
              <w:jc w:val="right"/>
              <w:ind w:right="811"/>
              <w:spacing w:after="0"/>
              <w:rPr>
                <w:sz w:val="20"/>
                <w:szCs w:val="20"/>
                <w:color w:val="auto"/>
              </w:rPr>
            </w:pPr>
            <w:r>
              <w:rPr>
                <w:rFonts w:ascii="Arial" w:cs="Arial" w:eastAsia="Arial" w:hAnsi="Arial"/>
                <w:sz w:val="18"/>
                <w:szCs w:val="18"/>
                <w:color w:val="auto"/>
              </w:rPr>
              <w:t>6,129</w:t>
            </w:r>
          </w:p>
        </w:tc>
        <w:tc>
          <w:tcPr>
            <w:tcW w:w="2200" w:type="dxa"/>
            <w:vAlign w:val="bottom"/>
          </w:tcPr>
          <w:p>
            <w:pPr>
              <w:jc w:val="right"/>
              <w:ind w:right="631"/>
              <w:spacing w:after="0"/>
              <w:rPr>
                <w:sz w:val="20"/>
                <w:szCs w:val="20"/>
                <w:color w:val="auto"/>
              </w:rPr>
            </w:pPr>
            <w:r>
              <w:rPr>
                <w:rFonts w:ascii="Arial" w:cs="Arial" w:eastAsia="Arial" w:hAnsi="Arial"/>
                <w:sz w:val="18"/>
                <w:szCs w:val="18"/>
                <w:color w:val="auto"/>
              </w:rPr>
              <w:t>$331.6995</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$331.44</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$332.39</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3/12/2014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2100" w:type="dxa"/>
            <w:vAlign w:val="bottom"/>
          </w:tcPr>
          <w:p>
            <w:pPr>
              <w:jc w:val="right"/>
              <w:ind w:right="811"/>
              <w:spacing w:after="0"/>
              <w:rPr>
                <w:sz w:val="20"/>
                <w:szCs w:val="20"/>
                <w:color w:val="auto"/>
              </w:rPr>
            </w:pPr>
            <w:r>
              <w:rPr>
                <w:rFonts w:ascii="Arial" w:cs="Arial" w:eastAsia="Arial" w:hAnsi="Arial"/>
                <w:sz w:val="18"/>
                <w:szCs w:val="18"/>
                <w:color w:val="auto"/>
              </w:rPr>
              <w:t>12,594</w:t>
            </w:r>
          </w:p>
        </w:tc>
        <w:tc>
          <w:tcPr>
            <w:tcW w:w="2200" w:type="dxa"/>
            <w:vAlign w:val="bottom"/>
          </w:tcPr>
          <w:p>
            <w:pPr>
              <w:jc w:val="right"/>
              <w:ind w:right="631"/>
              <w:spacing w:after="0"/>
              <w:rPr>
                <w:sz w:val="20"/>
                <w:szCs w:val="20"/>
                <w:color w:val="auto"/>
              </w:rPr>
            </w:pPr>
            <w:r>
              <w:rPr>
                <w:rFonts w:ascii="Arial" w:cs="Arial" w:eastAsia="Arial" w:hAnsi="Arial"/>
                <w:sz w:val="18"/>
                <w:szCs w:val="18"/>
                <w:color w:val="auto"/>
              </w:rPr>
              <w:t>$333.8408</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$333.43</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$334.26</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3/12/2014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2100" w:type="dxa"/>
            <w:vAlign w:val="bottom"/>
          </w:tcPr>
          <w:p>
            <w:pPr>
              <w:jc w:val="right"/>
              <w:ind w:right="811"/>
              <w:spacing w:after="0"/>
              <w:rPr>
                <w:sz w:val="20"/>
                <w:szCs w:val="20"/>
                <w:color w:val="auto"/>
              </w:rPr>
            </w:pPr>
            <w:r>
              <w:rPr>
                <w:rFonts w:ascii="Arial" w:cs="Arial" w:eastAsia="Arial" w:hAnsi="Arial"/>
                <w:sz w:val="18"/>
                <w:szCs w:val="18"/>
                <w:color w:val="auto"/>
              </w:rPr>
              <w:t>10,334</w:t>
            </w:r>
          </w:p>
        </w:tc>
        <w:tc>
          <w:tcPr>
            <w:tcW w:w="2200" w:type="dxa"/>
            <w:vAlign w:val="bottom"/>
          </w:tcPr>
          <w:p>
            <w:pPr>
              <w:jc w:val="right"/>
              <w:ind w:right="631"/>
              <w:spacing w:after="0"/>
              <w:rPr>
                <w:sz w:val="20"/>
                <w:szCs w:val="20"/>
                <w:color w:val="auto"/>
              </w:rPr>
            </w:pPr>
            <w:r>
              <w:rPr>
                <w:rFonts w:ascii="Arial" w:cs="Arial" w:eastAsia="Arial" w:hAnsi="Arial"/>
                <w:sz w:val="18"/>
                <w:szCs w:val="18"/>
                <w:color w:val="auto"/>
              </w:rPr>
              <w:t>$335.3940</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$334.89</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$335.88</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3/12/2014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2100" w:type="dxa"/>
            <w:vAlign w:val="bottom"/>
          </w:tcPr>
          <w:p>
            <w:pPr>
              <w:jc w:val="right"/>
              <w:ind w:right="811"/>
              <w:spacing w:after="0"/>
              <w:rPr>
                <w:sz w:val="20"/>
                <w:szCs w:val="20"/>
                <w:color w:val="auto"/>
              </w:rPr>
            </w:pPr>
            <w:r>
              <w:rPr>
                <w:rFonts w:ascii="Arial" w:cs="Arial" w:eastAsia="Arial" w:hAnsi="Arial"/>
                <w:sz w:val="18"/>
                <w:szCs w:val="18"/>
                <w:color w:val="auto"/>
              </w:rPr>
              <w:t>18,859</w:t>
            </w:r>
          </w:p>
        </w:tc>
        <w:tc>
          <w:tcPr>
            <w:tcW w:w="2200" w:type="dxa"/>
            <w:vAlign w:val="bottom"/>
          </w:tcPr>
          <w:p>
            <w:pPr>
              <w:jc w:val="right"/>
              <w:ind w:right="631"/>
              <w:spacing w:after="0"/>
              <w:rPr>
                <w:sz w:val="20"/>
                <w:szCs w:val="20"/>
                <w:color w:val="auto"/>
              </w:rPr>
            </w:pPr>
            <w:r>
              <w:rPr>
                <w:rFonts w:ascii="Arial" w:cs="Arial" w:eastAsia="Arial" w:hAnsi="Arial"/>
                <w:sz w:val="18"/>
                <w:szCs w:val="18"/>
                <w:color w:val="auto"/>
              </w:rPr>
              <w:t>$336.7096</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$335.95</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$336.91</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3/12/2014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2100" w:type="dxa"/>
            <w:vAlign w:val="bottom"/>
          </w:tcPr>
          <w:p>
            <w:pPr>
              <w:jc w:val="right"/>
              <w:ind w:right="811"/>
              <w:spacing w:after="0"/>
              <w:rPr>
                <w:sz w:val="20"/>
                <w:szCs w:val="20"/>
                <w:color w:val="auto"/>
              </w:rPr>
            </w:pPr>
            <w:r>
              <w:rPr>
                <w:rFonts w:ascii="Arial" w:cs="Arial" w:eastAsia="Arial" w:hAnsi="Arial"/>
                <w:sz w:val="18"/>
                <w:szCs w:val="18"/>
                <w:color w:val="auto"/>
              </w:rPr>
              <w:t>32,539</w:t>
            </w:r>
          </w:p>
        </w:tc>
        <w:tc>
          <w:tcPr>
            <w:tcW w:w="2200" w:type="dxa"/>
            <w:vAlign w:val="bottom"/>
          </w:tcPr>
          <w:p>
            <w:pPr>
              <w:jc w:val="right"/>
              <w:ind w:right="631"/>
              <w:spacing w:after="0"/>
              <w:rPr>
                <w:sz w:val="20"/>
                <w:szCs w:val="20"/>
                <w:color w:val="auto"/>
              </w:rPr>
            </w:pPr>
            <w:r>
              <w:rPr>
                <w:rFonts w:ascii="Arial" w:cs="Arial" w:eastAsia="Arial" w:hAnsi="Arial"/>
                <w:sz w:val="18"/>
                <w:szCs w:val="18"/>
                <w:color w:val="auto"/>
              </w:rPr>
              <w:t>$337.4142</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$336.96</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$337.91</w:t>
            </w:r>
          </w:p>
        </w:tc>
      </w:tr>
      <w:tr>
        <w:trPr>
          <w:trHeight w:val="214"/>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3/12/2014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2100" w:type="dxa"/>
            <w:vAlign w:val="bottom"/>
          </w:tcPr>
          <w:p>
            <w:pPr>
              <w:jc w:val="right"/>
              <w:ind w:right="811"/>
              <w:spacing w:after="0"/>
              <w:rPr>
                <w:sz w:val="20"/>
                <w:szCs w:val="20"/>
                <w:color w:val="auto"/>
              </w:rPr>
            </w:pPr>
            <w:r>
              <w:rPr>
                <w:rFonts w:ascii="Arial" w:cs="Arial" w:eastAsia="Arial" w:hAnsi="Arial"/>
                <w:sz w:val="18"/>
                <w:szCs w:val="18"/>
                <w:color w:val="auto"/>
              </w:rPr>
              <w:t>40,535</w:t>
            </w:r>
          </w:p>
        </w:tc>
        <w:tc>
          <w:tcPr>
            <w:tcW w:w="2200" w:type="dxa"/>
            <w:vAlign w:val="bottom"/>
          </w:tcPr>
          <w:p>
            <w:pPr>
              <w:jc w:val="right"/>
              <w:ind w:right="631"/>
              <w:spacing w:after="0"/>
              <w:rPr>
                <w:sz w:val="20"/>
                <w:szCs w:val="20"/>
                <w:color w:val="auto"/>
              </w:rPr>
            </w:pPr>
            <w:r>
              <w:rPr>
                <w:rFonts w:ascii="Arial" w:cs="Arial" w:eastAsia="Arial" w:hAnsi="Arial"/>
                <w:sz w:val="18"/>
                <w:szCs w:val="18"/>
                <w:color w:val="auto"/>
              </w:rPr>
              <w:t>$338.3464</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$337.96</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$338.94</w:t>
            </w:r>
          </w:p>
        </w:tc>
      </w:tr>
      <w:tr>
        <w:trPr>
          <w:trHeight w:val="227"/>
        </w:trPr>
        <w:tc>
          <w:tcPr>
            <w:tcW w:w="1080" w:type="dxa"/>
            <w:vAlign w:val="bottom"/>
          </w:tcPr>
          <w:p>
            <w:pPr>
              <w:spacing w:after="0"/>
              <w:rPr>
                <w:sz w:val="20"/>
                <w:szCs w:val="20"/>
                <w:color w:val="auto"/>
              </w:rPr>
            </w:pPr>
            <w:r>
              <w:rPr>
                <w:rFonts w:ascii="Arial" w:cs="Arial" w:eastAsia="Arial" w:hAnsi="Arial"/>
                <w:sz w:val="18"/>
                <w:szCs w:val="18"/>
                <w:color w:val="auto"/>
              </w:rPr>
              <w:t>SAAN</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3/12/2014</w:t>
            </w:r>
          </w:p>
        </w:tc>
        <w:tc>
          <w:tcPr>
            <w:tcW w:w="1800" w:type="dxa"/>
            <w:vAlign w:val="bottom"/>
          </w:tcPr>
          <w:p>
            <w:pPr>
              <w:jc w:val="center"/>
              <w:ind w:right="71"/>
              <w:spacing w:after="0"/>
              <w:rPr>
                <w:sz w:val="20"/>
                <w:szCs w:val="20"/>
                <w:color w:val="auto"/>
              </w:rPr>
            </w:pPr>
            <w:r>
              <w:rPr>
                <w:rFonts w:ascii="Arial" w:cs="Arial" w:eastAsia="Arial" w:hAnsi="Arial"/>
                <w:sz w:val="18"/>
                <w:szCs w:val="18"/>
                <w:color w:val="auto"/>
                <w:w w:val="84"/>
              </w:rPr>
              <w:t>Purchase</w:t>
            </w:r>
          </w:p>
        </w:tc>
        <w:tc>
          <w:tcPr>
            <w:tcW w:w="2100" w:type="dxa"/>
            <w:vAlign w:val="bottom"/>
          </w:tcPr>
          <w:p>
            <w:pPr>
              <w:jc w:val="right"/>
              <w:ind w:right="811"/>
              <w:spacing w:after="0"/>
              <w:rPr>
                <w:sz w:val="20"/>
                <w:szCs w:val="20"/>
                <w:color w:val="auto"/>
              </w:rPr>
            </w:pPr>
            <w:r>
              <w:rPr>
                <w:rFonts w:ascii="Arial" w:cs="Arial" w:eastAsia="Arial" w:hAnsi="Arial"/>
                <w:sz w:val="18"/>
                <w:szCs w:val="18"/>
                <w:color w:val="auto"/>
              </w:rPr>
              <w:t>34,834</w:t>
            </w:r>
          </w:p>
        </w:tc>
        <w:tc>
          <w:tcPr>
            <w:tcW w:w="2200" w:type="dxa"/>
            <w:vAlign w:val="bottom"/>
          </w:tcPr>
          <w:p>
            <w:pPr>
              <w:jc w:val="right"/>
              <w:ind w:right="631"/>
              <w:spacing w:after="0"/>
              <w:rPr>
                <w:sz w:val="20"/>
                <w:szCs w:val="20"/>
                <w:color w:val="auto"/>
              </w:rPr>
            </w:pPr>
            <w:r>
              <w:rPr>
                <w:rFonts w:ascii="Arial" w:cs="Arial" w:eastAsia="Arial" w:hAnsi="Arial"/>
                <w:sz w:val="18"/>
                <w:szCs w:val="18"/>
                <w:color w:val="auto"/>
              </w:rPr>
              <w:t>$339.2661</w:t>
            </w:r>
          </w:p>
        </w:tc>
        <w:tc>
          <w:tcPr>
            <w:tcW w:w="1840" w:type="dxa"/>
            <w:vAlign w:val="bottom"/>
          </w:tcPr>
          <w:p>
            <w:pPr>
              <w:jc w:val="right"/>
              <w:ind w:right="531"/>
              <w:spacing w:after="0"/>
              <w:rPr>
                <w:sz w:val="20"/>
                <w:szCs w:val="20"/>
                <w:color w:val="auto"/>
              </w:rPr>
            </w:pPr>
            <w:r>
              <w:rPr>
                <w:rFonts w:ascii="Arial" w:cs="Arial" w:eastAsia="Arial" w:hAnsi="Arial"/>
                <w:sz w:val="18"/>
                <w:szCs w:val="18"/>
                <w:color w:val="auto"/>
              </w:rPr>
              <w:t>$338.97</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$339.70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340"/>
        <w:spacing w:after="0" w:line="368" w:lineRule="auto"/>
        <w:rPr>
          <w:sz w:val="20"/>
          <w:szCs w:val="20"/>
          <w:color w:val="auto"/>
        </w:rPr>
      </w:pPr>
      <w:r>
        <w:rPr>
          <w:rFonts w:ascii="Arial" w:cs="Arial" w:eastAsia="Arial" w:hAnsi="Arial"/>
          <w:sz w:val="14"/>
          <w:szCs w:val="14"/>
          <w:color w:val="auto"/>
        </w:rPr>
        <w:t>*The number of securities reported represents an aggregate number of shares executed by a broker-dealer in multiple market transactions over a range of prices. The price per share reported represents the weighted average price (without regard to brokerage commissions and fees). The Reporting Person undertakes to provide the staff of the SEC upon request, the number of shares executed by such Reporting Person at each separate price within the range.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w:t>
      </w:r>
    </w:p>
    <w:sectPr>
      <w:pgSz w:w="11900" w:h="16838" w:orient="portrait"/>
      <w:cols w:equalWidth="0" w:num="1">
        <w:col w:w="11260"/>
      </w:cols>
      <w:pgMar w:left="400" w:top="7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2019-12-06T04:49:59Z</dcterms:created>
  <dcterms:modified xsi:type="dcterms:W3CDTF">2019-12-06T04:49:59Z</dcterms:modified>
</cp:coreProperties>
</file>