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4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SCHEDULE 13G</w:t>
      </w:r>
    </w:p>
    <w:p>
      <w:pPr>
        <w:spacing w:after="0" w:line="30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28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(Amendment No. 5 )</w:t>
      </w:r>
      <w:r>
        <w:rPr>
          <w:rFonts w:ascii="Times New Roman" w:cs="Times New Roman" w:eastAsia="Times New Roman" w:hAnsi="Times New Roman"/>
          <w:sz w:val="35"/>
          <w:szCs w:val="35"/>
          <w:b w:val="1"/>
          <w:bCs w:val="1"/>
          <w:color w:val="auto"/>
          <w:vertAlign w:val="superscript"/>
        </w:rPr>
        <w:t>*</w:t>
      </w:r>
    </w:p>
    <w:p>
      <w:pPr>
        <w:spacing w:after="0" w:line="200" w:lineRule="exact"/>
        <w:rPr>
          <w:sz w:val="24"/>
          <w:szCs w:val="24"/>
          <w:color w:val="auto"/>
        </w:rPr>
      </w:pPr>
    </w:p>
    <w:p>
      <w:pPr>
        <w:spacing w:after="0" w:line="39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Regeneron Pharmaceuticals,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0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900"/>
        <w:spacing w:after="0"/>
        <w:rPr>
          <w:sz w:val="20"/>
          <w:szCs w:val="20"/>
          <w:color w:val="auto"/>
        </w:rPr>
      </w:pPr>
      <w:r>
        <w:rPr>
          <w:rFonts w:ascii="Times New Roman" w:cs="Times New Roman" w:eastAsia="Times New Roman" w:hAnsi="Times New Roman"/>
          <w:sz w:val="22"/>
          <w:szCs w:val="22"/>
          <w:color w:val="auto"/>
        </w:rPr>
        <w:t>(Name of Issuer)</w:t>
      </w:r>
    </w:p>
    <w:p>
      <w:pPr>
        <w:spacing w:after="0" w:line="206" w:lineRule="exact"/>
        <w:rPr>
          <w:sz w:val="24"/>
          <w:szCs w:val="24"/>
          <w:color w:val="auto"/>
        </w:rPr>
      </w:pPr>
    </w:p>
    <w:p>
      <w:pPr>
        <w:ind w:left="4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0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06"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75886F107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860"/>
        <w:spacing w:after="0"/>
        <w:rPr>
          <w:sz w:val="20"/>
          <w:szCs w:val="20"/>
          <w:color w:val="auto"/>
        </w:rPr>
      </w:pPr>
      <w:r>
        <w:rPr>
          <w:rFonts w:ascii="Times New Roman" w:cs="Times New Roman" w:eastAsia="Times New Roman" w:hAnsi="Times New Roman"/>
          <w:sz w:val="22"/>
          <w:szCs w:val="22"/>
          <w:color w:val="auto"/>
        </w:rPr>
        <w:t>(CUSIP Number)</w:t>
      </w:r>
    </w:p>
    <w:p>
      <w:pPr>
        <w:spacing w:after="0" w:line="206" w:lineRule="exact"/>
        <w:rPr>
          <w:sz w:val="24"/>
          <w:szCs w:val="24"/>
          <w:color w:val="auto"/>
        </w:rPr>
      </w:pPr>
    </w:p>
    <w:p>
      <w:pPr>
        <w:ind w:left="4740"/>
        <w:spacing w:after="0"/>
        <w:rPr>
          <w:sz w:val="20"/>
          <w:szCs w:val="20"/>
          <w:color w:val="auto"/>
        </w:rPr>
      </w:pPr>
      <w:r>
        <w:rPr>
          <w:rFonts w:ascii="Times New Roman" w:cs="Times New Roman" w:eastAsia="Times New Roman" w:hAnsi="Times New Roman"/>
          <w:sz w:val="22"/>
          <w:szCs w:val="22"/>
          <w:color w:val="auto"/>
        </w:rPr>
        <w:t>December 29,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30240" cy="21590"/>
                    </a:xfrm>
                    <a:prstGeom prst="rect">
                      <a:avLst/>
                    </a:prstGeom>
                    <a:noFill/>
                  </pic:spPr>
                </pic:pic>
              </a:graphicData>
            </a:graphic>
          </wp:anchor>
        </w:drawing>
      </w:r>
    </w:p>
    <w:p>
      <w:pPr>
        <w:spacing w:after="0" w:line="321" w:lineRule="exact"/>
        <w:rPr>
          <w:sz w:val="24"/>
          <w:szCs w:val="24"/>
          <w:color w:val="auto"/>
        </w:rPr>
      </w:pPr>
    </w:p>
    <w:p>
      <w:pPr>
        <w:ind w:left="3180"/>
        <w:spacing w:after="0"/>
        <w:rPr>
          <w:sz w:val="20"/>
          <w:szCs w:val="20"/>
          <w:color w:val="auto"/>
        </w:rPr>
      </w:pPr>
      <w:r>
        <w:rPr>
          <w:rFonts w:ascii="Times New Roman" w:cs="Times New Roman" w:eastAsia="Times New Roman" w:hAnsi="Times New Roman"/>
          <w:sz w:val="22"/>
          <w:szCs w:val="22"/>
          <w:color w:val="auto"/>
        </w:rPr>
        <w:t>(Date of Event Which Requires Filing of this Statement)</w:t>
      </w:r>
    </w:p>
    <w:p>
      <w:pPr>
        <w:spacing w:after="0" w:line="20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287" w:lineRule="exact"/>
        <w:rPr>
          <w:sz w:val="24"/>
          <w:szCs w:val="24"/>
          <w:color w:val="auto"/>
        </w:rPr>
      </w:pPr>
    </w:p>
    <w:p>
      <w:pPr>
        <w:jc w:val="both"/>
        <w:ind w:left="60" w:right="9420" w:firstLine="2"/>
        <w:spacing w:after="0" w:line="348" w:lineRule="auto"/>
        <w:tabs>
          <w:tab w:leader="none" w:pos="478" w:val="left"/>
        </w:tabs>
        <w:numPr>
          <w:ilvl w:val="1"/>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Rule 13d-1(b) [ ] Rule 13d-1(c)</w:t>
      </w:r>
    </w:p>
    <w:p>
      <w:pPr>
        <w:spacing w:after="0" w:line="1" w:lineRule="exact"/>
        <w:rPr>
          <w:rFonts w:ascii="Times New Roman" w:cs="Times New Roman" w:eastAsia="Times New Roman" w:hAnsi="Times New Roman"/>
          <w:sz w:val="21"/>
          <w:szCs w:val="21"/>
          <w:color w:val="auto"/>
        </w:rPr>
      </w:pPr>
    </w:p>
    <w:p>
      <w:pPr>
        <w:ind w:left="6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 ]  Rule 13d-1(d)</w:t>
      </w:r>
    </w:p>
    <w:p>
      <w:pPr>
        <w:spacing w:after="0" w:line="269" w:lineRule="exact"/>
        <w:rPr>
          <w:rFonts w:ascii="Times New Roman" w:cs="Times New Roman" w:eastAsia="Times New Roman" w:hAnsi="Times New Roman"/>
          <w:sz w:val="21"/>
          <w:szCs w:val="21"/>
          <w:color w:val="auto"/>
        </w:rPr>
      </w:pPr>
    </w:p>
    <w:p>
      <w:pPr>
        <w:spacing w:after="0" w:line="214" w:lineRule="auto"/>
        <w:rPr>
          <w:rFonts w:ascii="Times New Roman" w:cs="Times New Roman" w:eastAsia="Times New Roman" w:hAnsi="Times New Roman"/>
          <w:sz w:val="21"/>
          <w:szCs w:val="21"/>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22"/>
          <w:szCs w:val="22"/>
          <w:color w:val="auto"/>
        </w:rPr>
        <w:t xml:space="preserve">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0" w:lineRule="exact"/>
        <w:rPr>
          <w:sz w:val="24"/>
          <w:szCs w:val="24"/>
          <w:color w:val="auto"/>
        </w:rPr>
      </w:pPr>
    </w:p>
    <w:p>
      <w:pPr>
        <w:ind w:right="180"/>
        <w:spacing w:after="0" w:line="244" w:lineRule="auto"/>
        <w:rPr>
          <w:sz w:val="20"/>
          <w:szCs w:val="20"/>
          <w:color w:val="auto"/>
        </w:rPr>
      </w:pPr>
      <w:r>
        <w:rPr>
          <w:rFonts w:ascii="Times New Roman" w:cs="Times New Roman" w:eastAsia="Times New Roman" w:hAnsi="Times New Roman"/>
          <w:sz w:val="22"/>
          <w:szCs w:val="22"/>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ectPr>
          <w:pgSz w:w="11900" w:h="16838" w:orient="portrait"/>
          <w:cols w:equalWidth="0" w:num="1">
            <w:col w:w="11120"/>
          </w:cols>
          <w:pgMar w:left="320" w:top="216" w:right="459" w:bottom="144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9465" cy="8890"/>
                    </a:xfrm>
                    <a:prstGeom prst="rect">
                      <a:avLst/>
                    </a:prstGeom>
                    <a:noFill/>
                  </pic:spPr>
                </pic:pic>
              </a:graphicData>
            </a:graphic>
          </wp:anchor>
        </w:drawing>
        <w:t>CUSIP No. 75886F107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w:t>
            </w: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NAMES OF REPORTING PERSONS</w:t>
            </w:r>
          </w:p>
        </w:tc>
        <w:tc>
          <w:tcPr>
            <w:tcW w:w="5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2"/>
        </w:trPr>
        <w:tc>
          <w:tcPr>
            <w:tcW w:w="1720" w:type="dxa"/>
            <w:vAlign w:val="bottom"/>
          </w:tcPr>
          <w:p>
            <w:pPr>
              <w:spacing w:after="0"/>
              <w:rPr>
                <w:sz w:val="24"/>
                <w:szCs w:val="24"/>
                <w:color w:val="auto"/>
              </w:rPr>
            </w:pP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I.R.S. IDENTIFICATION NO. OF ABOVE PERSONS (ENTITIES ONLY)</w:t>
            </w:r>
          </w:p>
        </w:tc>
        <w:tc>
          <w:tcPr>
            <w:tcW w:w="0" w:type="dxa"/>
            <w:vAlign w:val="bottom"/>
          </w:tcPr>
          <w:p>
            <w:pPr>
              <w:spacing w:after="0"/>
              <w:rPr>
                <w:sz w:val="1"/>
                <w:szCs w:val="1"/>
                <w:color w:val="auto"/>
              </w:rPr>
            </w:pPr>
          </w:p>
        </w:tc>
      </w:tr>
      <w:tr>
        <w:trPr>
          <w:trHeight w:val="447"/>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Capital World Investors</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95-1411037</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2.</w:t>
            </w: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CHECK THE APPROPRIATE BOX IF A MEMBER OF A GROUP*</w:t>
            </w:r>
          </w:p>
        </w:tc>
        <w:tc>
          <w:tcPr>
            <w:tcW w:w="0" w:type="dxa"/>
            <w:vAlign w:val="bottom"/>
          </w:tcPr>
          <w:p>
            <w:pPr>
              <w:spacing w:after="0"/>
              <w:rPr>
                <w:sz w:val="1"/>
                <w:szCs w:val="1"/>
                <w:color w:val="auto"/>
              </w:rPr>
            </w:pPr>
          </w:p>
        </w:tc>
      </w:tr>
      <w:tr>
        <w:trPr>
          <w:trHeight w:val="447"/>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(a) [ ]</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(b) [ ]</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3.</w:t>
            </w: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SEC USE ONLY</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4.</w:t>
            </w: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Delaware</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0"/>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NUMBER OF</w:t>
            </w:r>
          </w:p>
        </w:tc>
        <w:tc>
          <w:tcPr>
            <w:tcW w:w="37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5. SOLE VOTING POWER</w:t>
            </w:r>
          </w:p>
        </w:tc>
        <w:tc>
          <w:tcPr>
            <w:tcW w:w="576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5,176,828</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760" w:type="dxa"/>
            <w:vAlign w:val="bottom"/>
          </w:tcPr>
          <w:p>
            <w:pPr>
              <w:spacing w:after="0"/>
              <w:rPr>
                <w:sz w:val="21"/>
                <w:szCs w:val="21"/>
                <w:color w:val="auto"/>
              </w:rPr>
            </w:pPr>
          </w:p>
        </w:tc>
        <w:tc>
          <w:tcPr>
            <w:tcW w:w="5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376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6. SHARED VOTING POWER</w:t>
            </w:r>
          </w:p>
        </w:tc>
        <w:tc>
          <w:tcPr>
            <w:tcW w:w="576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OWNED BY</w:t>
            </w:r>
          </w:p>
        </w:tc>
        <w:tc>
          <w:tcPr>
            <w:tcW w:w="37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7. SOLE DISPOSITIVE POWER</w:t>
            </w:r>
          </w:p>
        </w:tc>
        <w:tc>
          <w:tcPr>
            <w:tcW w:w="576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rPr>
              <w:t>5,194,729</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760" w:type="dxa"/>
            <w:vAlign w:val="bottom"/>
            <w:vMerge w:val="continue"/>
          </w:tcPr>
          <w:p>
            <w:pPr>
              <w:spacing w:after="0"/>
              <w:rPr>
                <w:sz w:val="21"/>
                <w:szCs w:val="21"/>
                <w:color w:val="auto"/>
              </w:rPr>
            </w:pPr>
          </w:p>
        </w:tc>
        <w:tc>
          <w:tcPr>
            <w:tcW w:w="57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7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8. SHARED DISPOSITIVE POWER</w:t>
            </w:r>
          </w:p>
        </w:tc>
        <w:tc>
          <w:tcPr>
            <w:tcW w:w="576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282"/>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PERSON WITH</w:t>
            </w:r>
          </w:p>
        </w:tc>
        <w:tc>
          <w:tcPr>
            <w:tcW w:w="3760" w:type="dxa"/>
            <w:vAlign w:val="bottom"/>
            <w:vMerge w:val="continue"/>
          </w:tcPr>
          <w:p>
            <w:pPr>
              <w:spacing w:after="0"/>
              <w:rPr>
                <w:sz w:val="24"/>
                <w:szCs w:val="24"/>
                <w:color w:val="auto"/>
              </w:rPr>
            </w:pPr>
          </w:p>
        </w:tc>
        <w:tc>
          <w:tcPr>
            <w:tcW w:w="57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9.</w:t>
            </w: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5,194,729 Beneficial ownership disclaimed pursuant to Rule 13d-4</w:t>
            </w: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10.</w:t>
            </w: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 ]</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11.</w:t>
            </w: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4.8%</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12.</w:t>
            </w: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TYPE OF REPORTING PERSON</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IA</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1720" w:type="dxa"/>
            <w:vAlign w:val="bottom"/>
            <w:tcBorders>
              <w:bottom w:val="single" w:sz="8" w:color="808080"/>
            </w:tcBorders>
          </w:tcPr>
          <w:p>
            <w:pPr>
              <w:spacing w:after="0"/>
              <w:rPr>
                <w:sz w:val="8"/>
                <w:szCs w:val="8"/>
                <w:color w:val="auto"/>
              </w:rPr>
            </w:pPr>
          </w:p>
        </w:tc>
        <w:tc>
          <w:tcPr>
            <w:tcW w:w="3760" w:type="dxa"/>
            <w:vAlign w:val="bottom"/>
            <w:tcBorders>
              <w:bottom w:val="single" w:sz="8" w:color="808080"/>
            </w:tcBorders>
          </w:tcPr>
          <w:p>
            <w:pPr>
              <w:spacing w:after="0"/>
              <w:rPr>
                <w:sz w:val="8"/>
                <w:szCs w:val="8"/>
                <w:color w:val="auto"/>
              </w:rPr>
            </w:pPr>
          </w:p>
        </w:tc>
        <w:tc>
          <w:tcPr>
            <w:tcW w:w="57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82"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9465" cy="8255"/>
                    </a:xfrm>
                    <a:prstGeom prst="rect">
                      <a:avLst/>
                    </a:prstGeom>
                    <a:noFill/>
                  </pic:spPr>
                </pic:pic>
              </a:graphicData>
            </a:graphic>
          </wp:anchor>
        </w:drawing>
        <w:t>Item 1.</w:t>
      </w:r>
    </w:p>
    <w:p>
      <w:pPr>
        <w:spacing w:after="0" w:line="125" w:lineRule="exact"/>
        <w:rPr>
          <w:sz w:val="20"/>
          <w:szCs w:val="20"/>
          <w:color w:val="auto"/>
        </w:rPr>
      </w:pPr>
    </w:p>
    <w:p>
      <w:pPr>
        <w:ind w:left="1620" w:hanging="707"/>
        <w:spacing w:after="0"/>
        <w:tabs>
          <w:tab w:leader="none" w:pos="1620"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Name of Issuer</w:t>
      </w:r>
    </w:p>
    <w:p>
      <w:pPr>
        <w:spacing w:after="0" w:line="18" w:lineRule="exact"/>
        <w:rPr>
          <w:rFonts w:ascii="Times New Roman" w:cs="Times New Roman" w:eastAsia="Times New Roman" w:hAnsi="Times New Roman"/>
          <w:sz w:val="22"/>
          <w:szCs w:val="22"/>
          <w:b w:val="1"/>
          <w:bCs w:val="1"/>
          <w:color w:val="auto"/>
        </w:rPr>
      </w:pPr>
    </w:p>
    <w:p>
      <w:pPr>
        <w:ind w:left="162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Regeneron Pharmaceuticals, Inc.</w:t>
      </w:r>
    </w:p>
    <w:p>
      <w:pPr>
        <w:spacing w:after="0" w:line="97" w:lineRule="exact"/>
        <w:rPr>
          <w:rFonts w:ascii="Times New Roman" w:cs="Times New Roman" w:eastAsia="Times New Roman" w:hAnsi="Times New Roman"/>
          <w:sz w:val="22"/>
          <w:szCs w:val="22"/>
          <w:b w:val="1"/>
          <w:bCs w:val="1"/>
          <w:color w:val="auto"/>
        </w:rPr>
      </w:pPr>
    </w:p>
    <w:p>
      <w:pPr>
        <w:ind w:left="1620" w:right="4780" w:hanging="707"/>
        <w:spacing w:after="0" w:line="286" w:lineRule="auto"/>
        <w:tabs>
          <w:tab w:leader="none" w:pos="1620" w:val="left"/>
        </w:tabs>
        <w:numPr>
          <w:ilvl w:val="0"/>
          <w:numId w:val="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Address of Issuer's Principal Executive Offices </w:t>
      </w:r>
      <w:r>
        <w:rPr>
          <w:rFonts w:ascii="Times New Roman" w:cs="Times New Roman" w:eastAsia="Times New Roman" w:hAnsi="Times New Roman"/>
          <w:sz w:val="21"/>
          <w:szCs w:val="21"/>
          <w:color w:val="auto"/>
        </w:rPr>
        <w:t>777 Old Saw Mill River Road, Tarrytown, NY 10591</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2.</w:t>
      </w:r>
    </w:p>
    <w:p>
      <w:pPr>
        <w:spacing w:after="0" w:line="125" w:lineRule="exact"/>
        <w:rPr>
          <w:sz w:val="20"/>
          <w:szCs w:val="20"/>
          <w:color w:val="auto"/>
        </w:rPr>
      </w:pPr>
    </w:p>
    <w:p>
      <w:pPr>
        <w:jc w:val="both"/>
        <w:ind w:left="1620" w:right="7340" w:hanging="707"/>
        <w:spacing w:after="0" w:line="286" w:lineRule="auto"/>
        <w:tabs>
          <w:tab w:leader="none" w:pos="1620" w:val="left"/>
        </w:tabs>
        <w:numPr>
          <w:ilvl w:val="0"/>
          <w:numId w:val="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Name of Person Filing </w:t>
      </w:r>
      <w:r>
        <w:rPr>
          <w:rFonts w:ascii="Times New Roman" w:cs="Times New Roman" w:eastAsia="Times New Roman" w:hAnsi="Times New Roman"/>
          <w:sz w:val="21"/>
          <w:szCs w:val="21"/>
          <w:color w:val="auto"/>
        </w:rPr>
        <w:t>Capital World Investors</w:t>
      </w:r>
    </w:p>
    <w:p>
      <w:pPr>
        <w:spacing w:after="0" w:line="45" w:lineRule="exact"/>
        <w:rPr>
          <w:rFonts w:ascii="Times New Roman" w:cs="Times New Roman" w:eastAsia="Times New Roman" w:hAnsi="Times New Roman"/>
          <w:sz w:val="21"/>
          <w:szCs w:val="21"/>
          <w:b w:val="1"/>
          <w:bCs w:val="1"/>
          <w:color w:val="auto"/>
        </w:rPr>
      </w:pPr>
    </w:p>
    <w:p>
      <w:pPr>
        <w:ind w:left="1620" w:hanging="707"/>
        <w:spacing w:after="0"/>
        <w:tabs>
          <w:tab w:leader="none" w:pos="1620" w:val="left"/>
        </w:tabs>
        <w:numPr>
          <w:ilvl w:val="0"/>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Address of Principal Business Office or, if None, Residence</w:t>
      </w:r>
    </w:p>
    <w:p>
      <w:pPr>
        <w:spacing w:after="0" w:line="18" w:lineRule="exact"/>
        <w:rPr>
          <w:rFonts w:ascii="Times New Roman" w:cs="Times New Roman" w:eastAsia="Times New Roman" w:hAnsi="Times New Roman"/>
          <w:sz w:val="22"/>
          <w:szCs w:val="22"/>
          <w:b w:val="1"/>
          <w:bCs w:val="1"/>
          <w:color w:val="auto"/>
        </w:rPr>
      </w:pPr>
    </w:p>
    <w:p>
      <w:pPr>
        <w:ind w:left="162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333 SOUTH HOPE STREET, 55TH FLOOR, LOS ANGELES, CALIFORNIA 90071</w:t>
      </w:r>
    </w:p>
    <w:p>
      <w:pPr>
        <w:spacing w:after="0" w:line="97" w:lineRule="exact"/>
        <w:rPr>
          <w:rFonts w:ascii="Times New Roman" w:cs="Times New Roman" w:eastAsia="Times New Roman" w:hAnsi="Times New Roman"/>
          <w:sz w:val="22"/>
          <w:szCs w:val="22"/>
          <w:b w:val="1"/>
          <w:bCs w:val="1"/>
          <w:color w:val="auto"/>
        </w:rPr>
      </w:pPr>
    </w:p>
    <w:p>
      <w:pPr>
        <w:ind w:left="1620" w:right="8360" w:hanging="707"/>
        <w:spacing w:after="0" w:line="286" w:lineRule="auto"/>
        <w:tabs>
          <w:tab w:leader="none" w:pos="1620" w:val="left"/>
        </w:tabs>
        <w:numPr>
          <w:ilvl w:val="0"/>
          <w:numId w:val="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Citizenship </w:t>
      </w:r>
      <w:r>
        <w:rPr>
          <w:rFonts w:ascii="Times New Roman" w:cs="Times New Roman" w:eastAsia="Times New Roman" w:hAnsi="Times New Roman"/>
          <w:sz w:val="21"/>
          <w:szCs w:val="21"/>
          <w:color w:val="auto"/>
        </w:rPr>
        <w:t>N/A</w:t>
      </w:r>
    </w:p>
    <w:p>
      <w:pPr>
        <w:spacing w:after="0" w:line="45" w:lineRule="exact"/>
        <w:rPr>
          <w:rFonts w:ascii="Times New Roman" w:cs="Times New Roman" w:eastAsia="Times New Roman" w:hAnsi="Times New Roman"/>
          <w:sz w:val="21"/>
          <w:szCs w:val="21"/>
          <w:b w:val="1"/>
          <w:bCs w:val="1"/>
          <w:color w:val="auto"/>
        </w:rPr>
      </w:pPr>
    </w:p>
    <w:p>
      <w:pPr>
        <w:ind w:left="1620" w:right="7000" w:hanging="707"/>
        <w:spacing w:after="0" w:line="262" w:lineRule="auto"/>
        <w:tabs>
          <w:tab w:leader="none" w:pos="1620" w:val="left"/>
        </w:tabs>
        <w:numPr>
          <w:ilvl w:val="0"/>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Title of Class of Securities </w:t>
      </w:r>
      <w:r>
        <w:rPr>
          <w:rFonts w:ascii="Times New Roman" w:cs="Times New Roman" w:eastAsia="Times New Roman" w:hAnsi="Times New Roman"/>
          <w:sz w:val="22"/>
          <w:szCs w:val="22"/>
          <w:color w:val="auto"/>
        </w:rPr>
        <w:t>Common Stock</w:t>
      </w:r>
    </w:p>
    <w:p>
      <w:pPr>
        <w:spacing w:after="0" w:line="68" w:lineRule="exact"/>
        <w:rPr>
          <w:rFonts w:ascii="Times New Roman" w:cs="Times New Roman" w:eastAsia="Times New Roman" w:hAnsi="Times New Roman"/>
          <w:sz w:val="22"/>
          <w:szCs w:val="22"/>
          <w:b w:val="1"/>
          <w:bCs w:val="1"/>
          <w:color w:val="auto"/>
        </w:rPr>
      </w:pPr>
    </w:p>
    <w:p>
      <w:pPr>
        <w:ind w:left="1620" w:right="7940" w:hanging="707"/>
        <w:spacing w:after="0" w:line="286" w:lineRule="auto"/>
        <w:tabs>
          <w:tab w:leader="none" w:pos="1620" w:val="left"/>
        </w:tabs>
        <w:numPr>
          <w:ilvl w:val="0"/>
          <w:numId w:val="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CUSIP Number </w:t>
      </w:r>
      <w:r>
        <w:rPr>
          <w:rFonts w:ascii="Times New Roman" w:cs="Times New Roman" w:eastAsia="Times New Roman" w:hAnsi="Times New Roman"/>
          <w:sz w:val="21"/>
          <w:szCs w:val="21"/>
          <w:color w:val="auto"/>
        </w:rPr>
        <w:t>75886F107</w:t>
      </w:r>
    </w:p>
    <w:p>
      <w:pPr>
        <w:spacing w:after="0" w:line="45"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3.</w:t>
      </w:r>
      <w:r>
        <w:rPr>
          <w:sz w:val="20"/>
          <w:szCs w:val="20"/>
          <w:color w:val="auto"/>
        </w:rPr>
        <w:tab/>
      </w:r>
      <w:r>
        <w:rPr>
          <w:rFonts w:ascii="Times New Roman" w:cs="Times New Roman" w:eastAsia="Times New Roman" w:hAnsi="Times New Roman"/>
          <w:sz w:val="21"/>
          <w:szCs w:val="21"/>
          <w:b w:val="1"/>
          <w:bCs w:val="1"/>
          <w:color w:val="auto"/>
        </w:rPr>
        <w:t>If This Statement is Filed Pursuant to Rule 13d-1(b), or 13d-2(b) or (c), Check Whether the Person Filing is a:</w:t>
      </w:r>
    </w:p>
    <w:p>
      <w:pPr>
        <w:sectPr>
          <w:pgSz w:w="11900" w:h="16838" w:orient="portrait"/>
          <w:cols w:equalWidth="0" w:num="1">
            <w:col w:w="11020"/>
          </w:cols>
          <w:pgMar w:left="400" w:top="419" w:right="479" w:bottom="0" w:gutter="0" w:footer="0" w:header="0"/>
        </w:sectPr>
      </w:pPr>
    </w:p>
    <w:p>
      <w:pPr>
        <w:spacing w:after="0" w:line="129" w:lineRule="exact"/>
        <w:rPr>
          <w:sz w:val="20"/>
          <w:szCs w:val="20"/>
          <w:color w:val="auto"/>
        </w:rPr>
      </w:pPr>
    </w:p>
    <w:p>
      <w:pPr>
        <w:ind w:left="920"/>
        <w:spacing w:after="0"/>
        <w:tabs>
          <w:tab w:leader="none" w:pos="1600" w:val="left"/>
        </w:tabs>
        <w:rPr>
          <w:sz w:val="20"/>
          <w:szCs w:val="20"/>
          <w:color w:val="auto"/>
        </w:rPr>
      </w:pPr>
      <w:r>
        <w:rPr>
          <w:rFonts w:ascii="Times New Roman" w:cs="Times New Roman" w:eastAsia="Times New Roman" w:hAnsi="Times New Roman"/>
          <w:sz w:val="22"/>
          <w:szCs w:val="22"/>
          <w:color w:val="auto"/>
        </w:rPr>
        <w:t>(a)</w:t>
      </w:r>
      <w:r>
        <w:rPr>
          <w:sz w:val="20"/>
          <w:szCs w:val="20"/>
          <w:color w:val="auto"/>
        </w:rPr>
        <w:tab/>
      </w:r>
      <w:r>
        <w:rPr>
          <w:rFonts w:ascii="Times New Roman" w:cs="Times New Roman" w:eastAsia="Times New Roman" w:hAnsi="Times New Roman"/>
          <w:sz w:val="22"/>
          <w:szCs w:val="22"/>
          <w:color w:val="auto"/>
        </w:rPr>
        <w:t>[ ]</w:t>
      </w:r>
    </w:p>
    <w:p>
      <w:pPr>
        <w:spacing w:after="0" w:line="125" w:lineRule="exact"/>
        <w:rPr>
          <w:sz w:val="20"/>
          <w:szCs w:val="20"/>
          <w:color w:val="auto"/>
        </w:rPr>
      </w:pPr>
    </w:p>
    <w:p>
      <w:pPr>
        <w:ind w:left="920"/>
        <w:spacing w:after="0"/>
        <w:tabs>
          <w:tab w:leader="none" w:pos="1600" w:val="left"/>
        </w:tabs>
        <w:rPr>
          <w:sz w:val="20"/>
          <w:szCs w:val="20"/>
          <w:color w:val="auto"/>
        </w:rPr>
      </w:pPr>
      <w:r>
        <w:rPr>
          <w:rFonts w:ascii="Times New Roman" w:cs="Times New Roman" w:eastAsia="Times New Roman" w:hAnsi="Times New Roman"/>
          <w:sz w:val="22"/>
          <w:szCs w:val="22"/>
          <w:color w:val="auto"/>
        </w:rPr>
        <w:t>(b)</w:t>
      </w:r>
      <w:r>
        <w:rPr>
          <w:sz w:val="20"/>
          <w:szCs w:val="20"/>
          <w:color w:val="auto"/>
        </w:rPr>
        <w:tab/>
      </w:r>
      <w:r>
        <w:rPr>
          <w:rFonts w:ascii="Times New Roman" w:cs="Times New Roman" w:eastAsia="Times New Roman" w:hAnsi="Times New Roman"/>
          <w:sz w:val="22"/>
          <w:szCs w:val="22"/>
          <w:color w:val="auto"/>
        </w:rPr>
        <w:t>[ ]</w:t>
      </w:r>
    </w:p>
    <w:p>
      <w:pPr>
        <w:spacing w:after="0" w:line="125" w:lineRule="exact"/>
        <w:rPr>
          <w:sz w:val="20"/>
          <w:szCs w:val="20"/>
          <w:color w:val="auto"/>
        </w:rPr>
      </w:pPr>
    </w:p>
    <w:p>
      <w:pPr>
        <w:ind w:left="920"/>
        <w:spacing w:after="0"/>
        <w:tabs>
          <w:tab w:leader="none" w:pos="1600" w:val="left"/>
        </w:tabs>
        <w:rPr>
          <w:sz w:val="20"/>
          <w:szCs w:val="20"/>
          <w:color w:val="auto"/>
        </w:rPr>
      </w:pPr>
      <w:r>
        <w:rPr>
          <w:rFonts w:ascii="Times New Roman" w:cs="Times New Roman" w:eastAsia="Times New Roman" w:hAnsi="Times New Roman"/>
          <w:sz w:val="22"/>
          <w:szCs w:val="22"/>
          <w:color w:val="auto"/>
        </w:rPr>
        <w:t>(c)</w:t>
      </w:r>
      <w:r>
        <w:rPr>
          <w:sz w:val="20"/>
          <w:szCs w:val="20"/>
          <w:color w:val="auto"/>
        </w:rPr>
        <w:tab/>
      </w:r>
      <w:r>
        <w:rPr>
          <w:rFonts w:ascii="Times New Roman" w:cs="Times New Roman" w:eastAsia="Times New Roman" w:hAnsi="Times New Roman"/>
          <w:sz w:val="22"/>
          <w:szCs w:val="22"/>
          <w:color w:val="auto"/>
        </w:rPr>
        <w:t>[ ]</w:t>
      </w:r>
    </w:p>
    <w:p>
      <w:pPr>
        <w:spacing w:after="0" w:line="247" w:lineRule="exact"/>
        <w:rPr>
          <w:sz w:val="20"/>
          <w:szCs w:val="20"/>
          <w:color w:val="auto"/>
        </w:rPr>
      </w:pPr>
    </w:p>
    <w:p>
      <w:pPr>
        <w:ind w:left="920"/>
        <w:spacing w:after="0"/>
        <w:tabs>
          <w:tab w:leader="none" w:pos="1600" w:val="left"/>
        </w:tabs>
        <w:rPr>
          <w:sz w:val="20"/>
          <w:szCs w:val="20"/>
          <w:color w:val="auto"/>
        </w:rPr>
      </w:pPr>
      <w:r>
        <w:rPr>
          <w:rFonts w:ascii="Times New Roman" w:cs="Times New Roman" w:eastAsia="Times New Roman" w:hAnsi="Times New Roman"/>
          <w:sz w:val="22"/>
          <w:szCs w:val="22"/>
          <w:color w:val="auto"/>
        </w:rPr>
        <w:t>(d)</w:t>
      </w:r>
      <w:r>
        <w:rPr>
          <w:sz w:val="20"/>
          <w:szCs w:val="20"/>
          <w:color w:val="auto"/>
        </w:rPr>
        <w:tab/>
      </w:r>
      <w:r>
        <w:rPr>
          <w:rFonts w:ascii="Times New Roman" w:cs="Times New Roman" w:eastAsia="Times New Roman" w:hAnsi="Times New Roman"/>
          <w:sz w:val="22"/>
          <w:szCs w:val="22"/>
          <w:color w:val="auto"/>
        </w:rPr>
        <w:t>[ ]</w:t>
      </w:r>
    </w:p>
    <w:p>
      <w:pPr>
        <w:spacing w:after="0" w:line="247" w:lineRule="exact"/>
        <w:rPr>
          <w:sz w:val="20"/>
          <w:szCs w:val="20"/>
          <w:color w:val="auto"/>
        </w:rPr>
      </w:pPr>
    </w:p>
    <w:p>
      <w:pPr>
        <w:ind w:left="920"/>
        <w:spacing w:after="0"/>
        <w:tabs>
          <w:tab w:leader="none" w:pos="1600" w:val="left"/>
        </w:tabs>
        <w:rPr>
          <w:sz w:val="20"/>
          <w:szCs w:val="20"/>
          <w:color w:val="auto"/>
        </w:rPr>
      </w:pPr>
      <w:r>
        <w:rPr>
          <w:rFonts w:ascii="Times New Roman" w:cs="Times New Roman" w:eastAsia="Times New Roman" w:hAnsi="Times New Roman"/>
          <w:sz w:val="22"/>
          <w:szCs w:val="22"/>
          <w:color w:val="auto"/>
        </w:rPr>
        <w:t>(e)</w:t>
      </w:r>
      <w:r>
        <w:rPr>
          <w:sz w:val="20"/>
          <w:szCs w:val="20"/>
          <w:color w:val="auto"/>
        </w:rPr>
        <w:tab/>
      </w:r>
      <w:r>
        <w:rPr>
          <w:rFonts w:ascii="Times New Roman" w:cs="Times New Roman" w:eastAsia="Times New Roman" w:hAnsi="Times New Roman"/>
          <w:sz w:val="22"/>
          <w:szCs w:val="22"/>
          <w:color w:val="auto"/>
        </w:rPr>
        <w:t>[X]</w:t>
      </w:r>
    </w:p>
    <w:p>
      <w:pPr>
        <w:spacing w:after="0" w:line="125" w:lineRule="exact"/>
        <w:rPr>
          <w:sz w:val="20"/>
          <w:szCs w:val="20"/>
          <w:color w:val="auto"/>
        </w:rPr>
      </w:pPr>
    </w:p>
    <w:p>
      <w:pPr>
        <w:ind w:left="920"/>
        <w:spacing w:after="0"/>
        <w:tabs>
          <w:tab w:leader="none" w:pos="1600" w:val="left"/>
        </w:tabs>
        <w:rPr>
          <w:sz w:val="20"/>
          <w:szCs w:val="20"/>
          <w:color w:val="auto"/>
        </w:rPr>
      </w:pPr>
      <w:r>
        <w:rPr>
          <w:rFonts w:ascii="Times New Roman" w:cs="Times New Roman" w:eastAsia="Times New Roman" w:hAnsi="Times New Roman"/>
          <w:sz w:val="22"/>
          <w:szCs w:val="22"/>
          <w:color w:val="auto"/>
        </w:rPr>
        <w:t>(f)</w:t>
      </w:r>
      <w:r>
        <w:rPr>
          <w:sz w:val="20"/>
          <w:szCs w:val="20"/>
          <w:color w:val="auto"/>
        </w:rPr>
        <w:tab/>
      </w:r>
      <w:r>
        <w:rPr>
          <w:rFonts w:ascii="Times New Roman" w:cs="Times New Roman" w:eastAsia="Times New Roman" w:hAnsi="Times New Roman"/>
          <w:sz w:val="22"/>
          <w:szCs w:val="22"/>
          <w:color w:val="auto"/>
        </w:rPr>
        <w:t>[ ]</w:t>
      </w:r>
    </w:p>
    <w:p>
      <w:pPr>
        <w:spacing w:after="0" w:line="125" w:lineRule="exact"/>
        <w:rPr>
          <w:sz w:val="20"/>
          <w:szCs w:val="20"/>
          <w:color w:val="auto"/>
        </w:rPr>
      </w:pPr>
    </w:p>
    <w:p>
      <w:pPr>
        <w:ind w:left="920"/>
        <w:spacing w:after="0"/>
        <w:tabs>
          <w:tab w:leader="none" w:pos="1600" w:val="left"/>
        </w:tabs>
        <w:rPr>
          <w:sz w:val="20"/>
          <w:szCs w:val="20"/>
          <w:color w:val="auto"/>
        </w:rPr>
      </w:pPr>
      <w:r>
        <w:rPr>
          <w:rFonts w:ascii="Times New Roman" w:cs="Times New Roman" w:eastAsia="Times New Roman" w:hAnsi="Times New Roman"/>
          <w:sz w:val="22"/>
          <w:szCs w:val="22"/>
          <w:color w:val="auto"/>
        </w:rPr>
        <w:t>(g)</w:t>
      </w:r>
      <w:r>
        <w:rPr>
          <w:sz w:val="20"/>
          <w:szCs w:val="20"/>
          <w:color w:val="auto"/>
        </w:rPr>
        <w:tab/>
      </w:r>
      <w:r>
        <w:rPr>
          <w:rFonts w:ascii="Times New Roman" w:cs="Times New Roman" w:eastAsia="Times New Roman" w:hAnsi="Times New Roman"/>
          <w:sz w:val="22"/>
          <w:szCs w:val="22"/>
          <w:color w:val="auto"/>
        </w:rPr>
        <w:t>[ ]</w:t>
      </w:r>
    </w:p>
    <w:p>
      <w:pPr>
        <w:spacing w:after="0" w:line="247" w:lineRule="exact"/>
        <w:rPr>
          <w:sz w:val="20"/>
          <w:szCs w:val="20"/>
          <w:color w:val="auto"/>
        </w:rPr>
      </w:pPr>
    </w:p>
    <w:p>
      <w:pPr>
        <w:ind w:left="920"/>
        <w:spacing w:after="0"/>
        <w:tabs>
          <w:tab w:leader="none" w:pos="1600" w:val="left"/>
        </w:tabs>
        <w:rPr>
          <w:sz w:val="20"/>
          <w:szCs w:val="20"/>
          <w:color w:val="auto"/>
        </w:rPr>
      </w:pPr>
      <w:r>
        <w:rPr>
          <w:rFonts w:ascii="Times New Roman" w:cs="Times New Roman" w:eastAsia="Times New Roman" w:hAnsi="Times New Roman"/>
          <w:sz w:val="22"/>
          <w:szCs w:val="22"/>
          <w:color w:val="auto"/>
        </w:rPr>
        <w:t>(h)</w:t>
      </w:r>
      <w:r>
        <w:rPr>
          <w:sz w:val="20"/>
          <w:szCs w:val="20"/>
          <w:color w:val="auto"/>
        </w:rPr>
        <w:tab/>
      </w:r>
      <w:r>
        <w:rPr>
          <w:rFonts w:ascii="Times New Roman" w:cs="Times New Roman" w:eastAsia="Times New Roman" w:hAnsi="Times New Roman"/>
          <w:sz w:val="22"/>
          <w:szCs w:val="22"/>
          <w:color w:val="auto"/>
        </w:rPr>
        <w:t>[ ]</w:t>
      </w:r>
    </w:p>
    <w:p>
      <w:pPr>
        <w:spacing w:after="0" w:line="368" w:lineRule="exact"/>
        <w:rPr>
          <w:sz w:val="20"/>
          <w:szCs w:val="20"/>
          <w:color w:val="auto"/>
        </w:rPr>
      </w:pPr>
    </w:p>
    <w:p>
      <w:pPr>
        <w:ind w:left="920"/>
        <w:spacing w:after="0"/>
        <w:tabs>
          <w:tab w:leader="none" w:pos="1600" w:val="left"/>
        </w:tabs>
        <w:rPr>
          <w:sz w:val="20"/>
          <w:szCs w:val="20"/>
          <w:color w:val="auto"/>
        </w:rPr>
      </w:pPr>
      <w:r>
        <w:rPr>
          <w:rFonts w:ascii="Times New Roman" w:cs="Times New Roman" w:eastAsia="Times New Roman" w:hAnsi="Times New Roman"/>
          <w:sz w:val="22"/>
          <w:szCs w:val="22"/>
          <w:color w:val="auto"/>
        </w:rPr>
        <w:t>(i)</w:t>
      </w:r>
      <w:r>
        <w:rPr>
          <w:sz w:val="20"/>
          <w:szCs w:val="20"/>
          <w:color w:val="auto"/>
        </w:rPr>
        <w:tab/>
      </w:r>
      <w:r>
        <w:rPr>
          <w:rFonts w:ascii="Times New Roman" w:cs="Times New Roman" w:eastAsia="Times New Roman" w:hAnsi="Times New Roman"/>
          <w:sz w:val="22"/>
          <w:szCs w:val="22"/>
          <w:color w:val="auto"/>
        </w:rPr>
        <w:t>[ ]</w:t>
      </w:r>
    </w:p>
    <w:p>
      <w:pPr>
        <w:spacing w:after="0" w:line="247" w:lineRule="exact"/>
        <w:rPr>
          <w:sz w:val="20"/>
          <w:szCs w:val="20"/>
          <w:color w:val="auto"/>
        </w:rPr>
      </w:pPr>
    </w:p>
    <w:p>
      <w:pPr>
        <w:ind w:left="920"/>
        <w:spacing w:after="0"/>
        <w:tabs>
          <w:tab w:leader="none" w:pos="1600" w:val="left"/>
        </w:tabs>
        <w:rPr>
          <w:sz w:val="20"/>
          <w:szCs w:val="20"/>
          <w:color w:val="auto"/>
        </w:rPr>
      </w:pPr>
      <w:r>
        <w:rPr>
          <w:rFonts w:ascii="Times New Roman" w:cs="Times New Roman" w:eastAsia="Times New Roman" w:hAnsi="Times New Roman"/>
          <w:sz w:val="22"/>
          <w:szCs w:val="22"/>
          <w:color w:val="auto"/>
        </w:rPr>
        <w:t>(j)</w:t>
      </w:r>
      <w:r>
        <w:rPr>
          <w:sz w:val="20"/>
          <w:szCs w:val="20"/>
          <w:color w:val="auto"/>
        </w:rPr>
        <w:tab/>
      </w:r>
      <w:r>
        <w:rPr>
          <w:rFonts w:ascii="Times New Roman" w:cs="Times New Roman" w:eastAsia="Times New Roman" w:hAnsi="Times New Roman"/>
          <w:sz w:val="22"/>
          <w:szCs w:val="22"/>
          <w:color w:val="auto"/>
        </w:rPr>
        <w:t>[ ]</w:t>
      </w:r>
    </w:p>
    <w:p>
      <w:pPr>
        <w:spacing w:after="0" w:line="12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4.</w:t>
      </w:r>
      <w:r>
        <w:rPr>
          <w:sz w:val="20"/>
          <w:szCs w:val="20"/>
          <w:color w:val="auto"/>
        </w:rPr>
        <w:tab/>
      </w:r>
      <w:r>
        <w:rPr>
          <w:rFonts w:ascii="Times New Roman" w:cs="Times New Roman" w:eastAsia="Times New Roman" w:hAnsi="Times New Roman"/>
          <w:sz w:val="21"/>
          <w:szCs w:val="21"/>
          <w:b w:val="1"/>
          <w:bCs w:val="1"/>
          <w:color w:val="auto"/>
        </w:rPr>
        <w:t>Ownership.</w:t>
      </w:r>
    </w:p>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ind w:left="8"/>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125" w:lineRule="exact"/>
        <w:rPr>
          <w:sz w:val="20"/>
          <w:szCs w:val="20"/>
          <w:color w:val="auto"/>
        </w:rPr>
      </w:pPr>
    </w:p>
    <w:p>
      <w:pPr>
        <w:ind w:left="8"/>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125" w:lineRule="exact"/>
        <w:rPr>
          <w:sz w:val="20"/>
          <w:szCs w:val="20"/>
          <w:color w:val="auto"/>
        </w:rPr>
      </w:pPr>
    </w:p>
    <w:p>
      <w:pPr>
        <w:ind w:left="8"/>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125" w:lineRule="exact"/>
        <w:rPr>
          <w:sz w:val="20"/>
          <w:szCs w:val="20"/>
          <w:color w:val="auto"/>
        </w:rPr>
      </w:pPr>
    </w:p>
    <w:p>
      <w:pPr>
        <w:ind w:left="8" w:right="560"/>
        <w:spacing w:after="0" w:line="258" w:lineRule="auto"/>
        <w:rPr>
          <w:sz w:val="20"/>
          <w:szCs w:val="20"/>
          <w:color w:val="auto"/>
        </w:rPr>
      </w:pPr>
      <w:r>
        <w:rPr>
          <w:rFonts w:ascii="Times New Roman" w:cs="Times New Roman" w:eastAsia="Times New Roman" w:hAnsi="Times New Roman"/>
          <w:sz w:val="22"/>
          <w:szCs w:val="22"/>
          <w:color w:val="auto"/>
        </w:rPr>
        <w:t>Investment Company registered under Section 8 of the Investment Company Act of 1940 (15 U.S.C. 80a-8).</w:t>
      </w:r>
    </w:p>
    <w:p>
      <w:pPr>
        <w:spacing w:after="0" w:line="77" w:lineRule="exact"/>
        <w:rPr>
          <w:sz w:val="20"/>
          <w:szCs w:val="20"/>
          <w:color w:val="auto"/>
        </w:rPr>
      </w:pPr>
    </w:p>
    <w:p>
      <w:pPr>
        <w:ind w:left="8"/>
        <w:spacing w:after="0"/>
        <w:rPr>
          <w:sz w:val="20"/>
          <w:szCs w:val="20"/>
          <w:color w:val="auto"/>
        </w:rPr>
      </w:pPr>
      <w:r>
        <w:rPr>
          <w:rFonts w:ascii="Times New Roman" w:cs="Times New Roman" w:eastAsia="Times New Roman" w:hAnsi="Times New Roman"/>
          <w:sz w:val="22"/>
          <w:szCs w:val="22"/>
          <w:color w:val="auto"/>
        </w:rPr>
        <w:t>An investment adviser in accordance with Rule 240.13d-1(b)(1)(ii)(E);</w:t>
      </w:r>
    </w:p>
    <w:p>
      <w:pPr>
        <w:spacing w:after="0" w:line="125" w:lineRule="exact"/>
        <w:rPr>
          <w:sz w:val="20"/>
          <w:szCs w:val="20"/>
          <w:color w:val="auto"/>
        </w:rPr>
      </w:pPr>
    </w:p>
    <w:p>
      <w:pPr>
        <w:ind w:left="8" w:right="440"/>
        <w:spacing w:after="0" w:line="375" w:lineRule="auto"/>
        <w:rPr>
          <w:sz w:val="20"/>
          <w:szCs w:val="20"/>
          <w:color w:val="auto"/>
        </w:rPr>
      </w:pPr>
      <w:r>
        <w:rPr>
          <w:rFonts w:ascii="Times New Roman" w:cs="Times New Roman" w:eastAsia="Times New Roman" w:hAnsi="Times New Roman"/>
          <w:sz w:val="21"/>
          <w:szCs w:val="21"/>
          <w:color w:val="auto"/>
        </w:rPr>
        <w:t>An employee benefit plan or endowment fund in accordance with Rule 240.13d-1(b)(1)(ii)(F); A parent holding company or control person in accordance with Rule 240.13d-1(b)(1)(ii)(G);</w:t>
      </w:r>
    </w:p>
    <w:p>
      <w:pPr>
        <w:spacing w:after="0" w:line="1" w:lineRule="exact"/>
        <w:rPr>
          <w:sz w:val="20"/>
          <w:szCs w:val="20"/>
          <w:color w:val="auto"/>
        </w:rPr>
      </w:pPr>
    </w:p>
    <w:p>
      <w:pPr>
        <w:ind w:left="8" w:right="240"/>
        <w:spacing w:after="0" w:line="258" w:lineRule="auto"/>
        <w:rPr>
          <w:sz w:val="20"/>
          <w:szCs w:val="20"/>
          <w:color w:val="auto"/>
        </w:rPr>
      </w:pPr>
      <w:r>
        <w:rPr>
          <w:rFonts w:ascii="Times New Roman" w:cs="Times New Roman" w:eastAsia="Times New Roman" w:hAnsi="Times New Roman"/>
          <w:sz w:val="22"/>
          <w:szCs w:val="22"/>
          <w:color w:val="auto"/>
        </w:rPr>
        <w:t>A savings association as defined in Section 3(b) of the Federal Deposit Insurance Act (12 U.S.C. 1813);</w:t>
      </w:r>
    </w:p>
    <w:p>
      <w:pPr>
        <w:spacing w:after="0" w:line="77" w:lineRule="exact"/>
        <w:rPr>
          <w:sz w:val="20"/>
          <w:szCs w:val="20"/>
          <w:color w:val="auto"/>
        </w:rPr>
      </w:pPr>
    </w:p>
    <w:p>
      <w:pPr>
        <w:ind w:left="8"/>
        <w:spacing w:after="0"/>
        <w:rPr>
          <w:sz w:val="20"/>
          <w:szCs w:val="20"/>
          <w:color w:val="auto"/>
        </w:rPr>
      </w:pPr>
      <w:r>
        <w:rPr>
          <w:rFonts w:ascii="Times New Roman" w:cs="Times New Roman" w:eastAsia="Times New Roman" w:hAnsi="Times New Roman"/>
          <w:sz w:val="21"/>
          <w:szCs w:val="21"/>
          <w:color w:val="auto"/>
        </w:rPr>
        <w:t>A church plan that is excluded from the definition of an investment company under Section 3(c)</w:t>
      </w:r>
    </w:p>
    <w:p>
      <w:pPr>
        <w:spacing w:after="0" w:line="26" w:lineRule="exact"/>
        <w:rPr>
          <w:sz w:val="20"/>
          <w:szCs w:val="20"/>
          <w:color w:val="auto"/>
        </w:rPr>
      </w:pPr>
    </w:p>
    <w:p>
      <w:pPr>
        <w:ind w:left="8" w:right="3040" w:hanging="8"/>
        <w:spacing w:after="0" w:line="363" w:lineRule="auto"/>
        <w:tabs>
          <w:tab w:leader="none" w:pos="422"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of the Investment Company Act of 1940 (15 U.S.C. 80a-3); Group, in accordance with Rule 240.13d-1(b)(1)(ii)(J).</w:t>
      </w:r>
    </w:p>
    <w:p>
      <w:pPr>
        <w:spacing w:after="0" w:line="344" w:lineRule="exact"/>
        <w:rPr>
          <w:sz w:val="20"/>
          <w:szCs w:val="20"/>
          <w:color w:val="auto"/>
        </w:rPr>
      </w:pPr>
    </w:p>
    <w:p>
      <w:pPr>
        <w:sectPr>
          <w:pgSz w:w="11900" w:h="16838" w:orient="portrait"/>
          <w:cols w:equalWidth="0" w:num="2">
            <w:col w:w="1980" w:space="432"/>
            <w:col w:w="8608"/>
          </w:cols>
          <w:pgMar w:left="400" w:top="419" w:right="479" w:bottom="0" w:gutter="0" w:footer="0" w:header="0"/>
          <w:type w:val="continuous"/>
        </w:sectPr>
      </w:pPr>
    </w:p>
    <w:p>
      <w:pPr>
        <w:ind w:right="660"/>
        <w:spacing w:after="0" w:line="258" w:lineRule="auto"/>
        <w:rPr>
          <w:sz w:val="20"/>
          <w:szCs w:val="20"/>
          <w:color w:val="auto"/>
        </w:rPr>
      </w:pPr>
      <w:r>
        <w:rPr>
          <w:rFonts w:ascii="Times New Roman" w:cs="Times New Roman" w:eastAsia="Times New Roman" w:hAnsi="Times New Roman"/>
          <w:sz w:val="22"/>
          <w:szCs w:val="22"/>
          <w:color w:val="auto"/>
        </w:rPr>
        <w:t>Provide the following information regarding the aggregate number and percentage of the class of securities of the issuer identified in Item 1.</w:t>
      </w:r>
    </w:p>
    <w:p>
      <w:pPr>
        <w:sectPr>
          <w:pgSz w:w="11900" w:h="16838" w:orient="portrait"/>
          <w:cols w:equalWidth="0" w:num="1">
            <w:col w:w="11020"/>
          </w:cols>
          <w:pgMar w:left="400" w:top="419" w:right="479" w:bottom="0" w:gutter="0" w:footer="0" w:header="0"/>
          <w:type w:val="continuous"/>
        </w:sectPr>
      </w:pPr>
    </w:p>
    <w:p>
      <w:pPr>
        <w:spacing w:after="0" w:line="77" w:lineRule="exact"/>
        <w:rPr>
          <w:sz w:val="20"/>
          <w:szCs w:val="20"/>
          <w:color w:val="auto"/>
        </w:rPr>
      </w:pPr>
    </w:p>
    <w:p>
      <w:pPr>
        <w:ind w:left="1620" w:hanging="707"/>
        <w:spacing w:after="0"/>
        <w:tabs>
          <w:tab w:leader="none" w:pos="16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Amount Beneficially Owned:</w:t>
      </w:r>
    </w:p>
    <w:p>
      <w:pPr>
        <w:spacing w:after="0" w:line="125" w:lineRule="exact"/>
        <w:rPr>
          <w:rFonts w:ascii="Times New Roman" w:cs="Times New Roman" w:eastAsia="Times New Roman" w:hAnsi="Times New Roman"/>
          <w:sz w:val="22"/>
          <w:szCs w:val="22"/>
          <w:color w:val="auto"/>
        </w:rPr>
      </w:pPr>
    </w:p>
    <w:p>
      <w:pPr>
        <w:ind w:left="16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5,194,729 **</w:t>
      </w:r>
    </w:p>
    <w:p>
      <w:pPr>
        <w:spacing w:after="0" w:line="125" w:lineRule="exact"/>
        <w:rPr>
          <w:rFonts w:ascii="Times New Roman" w:cs="Times New Roman" w:eastAsia="Times New Roman" w:hAnsi="Times New Roman"/>
          <w:sz w:val="22"/>
          <w:szCs w:val="22"/>
          <w:color w:val="auto"/>
        </w:rPr>
      </w:pPr>
    </w:p>
    <w:p>
      <w:pPr>
        <w:ind w:left="1620" w:hanging="707"/>
        <w:spacing w:after="0"/>
        <w:tabs>
          <w:tab w:leader="none" w:pos="16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w:t>
      </w:r>
    </w:p>
    <w:p>
      <w:pPr>
        <w:spacing w:after="0" w:line="125" w:lineRule="exact"/>
        <w:rPr>
          <w:rFonts w:ascii="Times New Roman" w:cs="Times New Roman" w:eastAsia="Times New Roman" w:hAnsi="Times New Roman"/>
          <w:sz w:val="22"/>
          <w:szCs w:val="22"/>
          <w:color w:val="auto"/>
        </w:rPr>
      </w:pPr>
    </w:p>
    <w:p>
      <w:pPr>
        <w:ind w:left="16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4.8%</w:t>
      </w:r>
    </w:p>
    <w:p>
      <w:pPr>
        <w:spacing w:after="0" w:line="125" w:lineRule="exact"/>
        <w:rPr>
          <w:rFonts w:ascii="Times New Roman" w:cs="Times New Roman" w:eastAsia="Times New Roman" w:hAnsi="Times New Roman"/>
          <w:sz w:val="22"/>
          <w:szCs w:val="22"/>
          <w:color w:val="auto"/>
        </w:rPr>
      </w:pPr>
    </w:p>
    <w:p>
      <w:pPr>
        <w:ind w:left="1620" w:hanging="707"/>
        <w:spacing w:after="0"/>
        <w:tabs>
          <w:tab w:leader="none" w:pos="16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such person has:</w:t>
      </w:r>
    </w:p>
    <w:p>
      <w:pPr>
        <w:spacing w:after="0" w:line="125" w:lineRule="exact"/>
        <w:rPr>
          <w:rFonts w:ascii="Times New Roman" w:cs="Times New Roman" w:eastAsia="Times New Roman" w:hAnsi="Times New Roman"/>
          <w:sz w:val="22"/>
          <w:szCs w:val="22"/>
          <w:color w:val="auto"/>
        </w:rPr>
      </w:pPr>
    </w:p>
    <w:p>
      <w:pPr>
        <w:ind w:left="2420" w:hanging="805"/>
        <w:spacing w:after="0"/>
        <w:tabs>
          <w:tab w:leader="none" w:pos="2420" w:val="left"/>
        </w:tabs>
        <w:numPr>
          <w:ilvl w:val="1"/>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125" w:lineRule="exact"/>
        <w:rPr>
          <w:rFonts w:ascii="Times New Roman" w:cs="Times New Roman" w:eastAsia="Times New Roman" w:hAnsi="Times New Roman"/>
          <w:sz w:val="22"/>
          <w:szCs w:val="22"/>
          <w:color w:val="auto"/>
        </w:rPr>
      </w:pPr>
    </w:p>
    <w:p>
      <w:pPr>
        <w:ind w:left="2420" w:hanging="805"/>
        <w:spacing w:after="0"/>
        <w:tabs>
          <w:tab w:leader="none" w:pos="2420" w:val="left"/>
        </w:tabs>
        <w:numPr>
          <w:ilvl w:val="1"/>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125" w:lineRule="exact"/>
        <w:rPr>
          <w:rFonts w:ascii="Times New Roman" w:cs="Times New Roman" w:eastAsia="Times New Roman" w:hAnsi="Times New Roman"/>
          <w:sz w:val="22"/>
          <w:szCs w:val="22"/>
          <w:color w:val="auto"/>
        </w:rPr>
      </w:pPr>
    </w:p>
    <w:p>
      <w:pPr>
        <w:ind w:left="2420" w:hanging="805"/>
        <w:spacing w:after="0"/>
        <w:tabs>
          <w:tab w:leader="none" w:pos="2420" w:val="left"/>
        </w:tabs>
        <w:numPr>
          <w:ilvl w:val="1"/>
          <w:numId w:val="5"/>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sole power to dispose or to direct the disposition of</w:t>
      </w:r>
    </w:p>
    <w:p>
      <w:pPr>
        <w:spacing w:after="0" w:line="172" w:lineRule="exact"/>
        <w:rPr>
          <w:rFonts w:ascii="Times New Roman" w:cs="Times New Roman" w:eastAsia="Times New Roman" w:hAnsi="Times New Roman"/>
          <w:sz w:val="39"/>
          <w:szCs w:val="39"/>
          <w:color w:val="auto"/>
          <w:vertAlign w:val="subscript"/>
        </w:rPr>
      </w:pPr>
    </w:p>
    <w:p>
      <w:pPr>
        <w:ind w:left="2420" w:right="780" w:hanging="805"/>
        <w:spacing w:after="0" w:line="185" w:lineRule="auto"/>
        <w:tabs>
          <w:tab w:leader="none" w:pos="2420" w:val="left"/>
        </w:tabs>
        <w:numPr>
          <w:ilvl w:val="1"/>
          <w:numId w:val="5"/>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shared power to dispose or to direct the disposition of</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5,176,828</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5,194,729</w:t>
      </w: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w:t>
      </w:r>
    </w:p>
    <w:p>
      <w:pPr>
        <w:spacing w:after="0" w:line="246" w:lineRule="exact"/>
        <w:rPr>
          <w:sz w:val="20"/>
          <w:szCs w:val="20"/>
          <w:color w:val="auto"/>
        </w:rPr>
      </w:pPr>
    </w:p>
    <w:p>
      <w:pPr>
        <w:sectPr>
          <w:pgSz w:w="11900" w:h="16838" w:orient="portrait"/>
          <w:cols w:equalWidth="0" w:num="2">
            <w:col w:w="6600" w:space="260"/>
            <w:col w:w="4160"/>
          </w:cols>
          <w:pgMar w:left="400" w:top="419" w:right="479" w:bottom="0" w:gutter="0" w:footer="0" w:header="0"/>
          <w:type w:val="continuous"/>
        </w:sectPr>
      </w:pPr>
    </w:p>
    <w:p>
      <w:pPr>
        <w:ind w:right="80"/>
        <w:spacing w:after="0" w:line="251" w:lineRule="auto"/>
        <w:rPr>
          <w:sz w:val="20"/>
          <w:szCs w:val="20"/>
          <w:color w:val="auto"/>
        </w:rPr>
      </w:pPr>
      <w:r>
        <w:rPr>
          <w:rFonts w:ascii="Times New Roman" w:cs="Times New Roman" w:eastAsia="Times New Roman" w:hAnsi="Times New Roman"/>
          <w:sz w:val="21"/>
          <w:szCs w:val="21"/>
          <w:color w:val="auto"/>
        </w:rPr>
        <w:t>**Capital World Investors ("CWI") is a division of Capital Research and Management Company ("CRMC"), as well as its investment management subsidiaries and affiliates Capital Bank and Trust Company, Capital International, Inc., Capital International Limited, Capital International Sarl, Capital International K.K., Capital Group Private Client Services, Inc., and Capital Group Investment Management Private Limited (together with CRMC, the "investment management entities"). CWI's divisions of each of the investment management entities collectively provide investment management services under the name</w:t>
      </w:r>
    </w:p>
    <w:p>
      <w:pPr>
        <w:sectPr>
          <w:pgSz w:w="11900" w:h="16838" w:orient="portrait"/>
          <w:cols w:equalWidth="0" w:num="1">
            <w:col w:w="11020"/>
          </w:cols>
          <w:pgMar w:left="400" w:top="419" w:right="479" w:bottom="0" w:gutter="0" w:footer="0" w:header="0"/>
          <w:type w:val="continuous"/>
        </w:sectPr>
      </w:pPr>
    </w:p>
    <w:bookmarkStart w:id="3" w:name="page4"/>
    <w:bookmarkEnd w:id="3"/>
    <w:p>
      <w:pPr>
        <w:ind w:right="240"/>
        <w:spacing w:after="0" w:line="259" w:lineRule="auto"/>
        <w:rPr>
          <w:sz w:val="20"/>
          <w:szCs w:val="20"/>
          <w:color w:val="auto"/>
        </w:rPr>
      </w:pPr>
      <w:r>
        <w:rPr>
          <w:rFonts w:ascii="Times New Roman" w:cs="Times New Roman" w:eastAsia="Times New Roman" w:hAnsi="Times New Roman"/>
          <w:sz w:val="22"/>
          <w:szCs w:val="22"/>
          <w:color w:val="auto"/>
        </w:rPr>
        <w:t>"Capital World Investors." CWI is deemed to be the beneficial owner of 5,194,729 shares or 4.8% of the 107,128,838 shares believed to be outstanding.</w:t>
      </w:r>
    </w:p>
    <w:p>
      <w:pPr>
        <w:spacing w:after="0" w:line="72"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5.</w:t>
      </w:r>
      <w:r>
        <w:rPr>
          <w:sz w:val="20"/>
          <w:szCs w:val="20"/>
          <w:color w:val="auto"/>
        </w:rPr>
        <w:tab/>
      </w:r>
      <w:r>
        <w:rPr>
          <w:rFonts w:ascii="Times New Roman" w:cs="Times New Roman" w:eastAsia="Times New Roman" w:hAnsi="Times New Roman"/>
          <w:sz w:val="21"/>
          <w:szCs w:val="21"/>
          <w:b w:val="1"/>
          <w:bCs w:val="1"/>
          <w:color w:val="auto"/>
        </w:rPr>
        <w:t>Ownership of Five Percent or Less of Class.</w:t>
      </w:r>
    </w:p>
    <w:p>
      <w:pPr>
        <w:spacing w:after="0" w:line="129" w:lineRule="exact"/>
        <w:rPr>
          <w:sz w:val="20"/>
          <w:szCs w:val="20"/>
          <w:color w:val="auto"/>
        </w:rPr>
      </w:pPr>
    </w:p>
    <w:p>
      <w:pPr>
        <w:ind w:left="920" w:right="280"/>
        <w:spacing w:after="0" w:line="258" w:lineRule="auto"/>
        <w:rPr>
          <w:sz w:val="20"/>
          <w:szCs w:val="20"/>
          <w:color w:val="auto"/>
        </w:rPr>
      </w:pPr>
      <w:r>
        <w:rPr>
          <w:rFonts w:ascii="Times New Roman" w:cs="Times New Roman" w:eastAsia="Times New Roman" w:hAnsi="Times New Roman"/>
          <w:sz w:val="22"/>
          <w:szCs w:val="22"/>
          <w:color w:val="auto"/>
        </w:rPr>
        <w:t>If this statement is being filed to report the fact that as of the date hereof the reporting person has ceased to be the beneficial owner of more than five percent of the class of securities, check the following: [ X ]</w:t>
      </w:r>
    </w:p>
    <w:p>
      <w:pPr>
        <w:spacing w:after="0" w:line="73"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6.</w:t>
      </w:r>
      <w:r>
        <w:rPr>
          <w:sz w:val="20"/>
          <w:szCs w:val="20"/>
          <w:color w:val="auto"/>
        </w:rPr>
        <w:tab/>
      </w:r>
      <w:r>
        <w:rPr>
          <w:rFonts w:ascii="Times New Roman" w:cs="Times New Roman" w:eastAsia="Times New Roman" w:hAnsi="Times New Roman"/>
          <w:sz w:val="21"/>
          <w:szCs w:val="21"/>
          <w:b w:val="1"/>
          <w:bCs w:val="1"/>
          <w:color w:val="auto"/>
        </w:rPr>
        <w:t>Ownership of More than Five Percent on Behalf of Another Person.</w:t>
      </w:r>
    </w:p>
    <w:p>
      <w:pPr>
        <w:spacing w:after="0" w:line="12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121" w:lineRule="exact"/>
        <w:rPr>
          <w:sz w:val="20"/>
          <w:szCs w:val="20"/>
          <w:color w:val="auto"/>
        </w:rPr>
      </w:pPr>
    </w:p>
    <w:p>
      <w:pPr>
        <w:ind w:left="920" w:right="360" w:hanging="903"/>
        <w:spacing w:after="0" w:line="262" w:lineRule="auto"/>
        <w:tabs>
          <w:tab w:leader="none" w:pos="900" w:val="left"/>
        </w:tabs>
        <w:rPr>
          <w:sz w:val="20"/>
          <w:szCs w:val="20"/>
          <w:color w:val="auto"/>
        </w:rPr>
      </w:pPr>
      <w:r>
        <w:rPr>
          <w:rFonts w:ascii="Times New Roman" w:cs="Times New Roman" w:eastAsia="Times New Roman" w:hAnsi="Times New Roman"/>
          <w:sz w:val="22"/>
          <w:szCs w:val="22"/>
          <w:b w:val="1"/>
          <w:bCs w:val="1"/>
          <w:color w:val="auto"/>
        </w:rPr>
        <w:t>Item 7.</w:t>
        <w:tab/>
        <w:t>Identification and Classification of the Subsidiary Which Acquired the Security Being Reported on by the Parent Holding Company.</w:t>
      </w:r>
    </w:p>
    <w:p>
      <w:pPr>
        <w:spacing w:after="0" w:line="7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12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8.</w:t>
      </w:r>
      <w:r>
        <w:rPr>
          <w:sz w:val="20"/>
          <w:szCs w:val="20"/>
          <w:color w:val="auto"/>
        </w:rPr>
        <w:tab/>
      </w:r>
      <w:r>
        <w:rPr>
          <w:rFonts w:ascii="Times New Roman" w:cs="Times New Roman" w:eastAsia="Times New Roman" w:hAnsi="Times New Roman"/>
          <w:sz w:val="21"/>
          <w:szCs w:val="21"/>
          <w:b w:val="1"/>
          <w:bCs w:val="1"/>
          <w:color w:val="auto"/>
        </w:rPr>
        <w:t>Identification and Classification of Members of the Group.</w:t>
      </w:r>
    </w:p>
    <w:p>
      <w:pPr>
        <w:spacing w:after="0" w:line="23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 This schedule is not being filed pursuant to Rule 13d-1(b)(1)(ii)(J) or Rule 13d-1(d).</w:t>
      </w:r>
    </w:p>
    <w:p>
      <w:pPr>
        <w:spacing w:after="0" w:line="12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9.</w:t>
      </w:r>
      <w:r>
        <w:rPr>
          <w:sz w:val="20"/>
          <w:szCs w:val="20"/>
          <w:color w:val="auto"/>
        </w:rPr>
        <w:tab/>
      </w:r>
      <w:r>
        <w:rPr>
          <w:rFonts w:ascii="Times New Roman" w:cs="Times New Roman" w:eastAsia="Times New Roman" w:hAnsi="Times New Roman"/>
          <w:sz w:val="21"/>
          <w:szCs w:val="21"/>
          <w:b w:val="1"/>
          <w:bCs w:val="1"/>
          <w:color w:val="auto"/>
        </w:rPr>
        <w:t>Notice of Dissolution of Group.</w:t>
      </w:r>
    </w:p>
    <w:p>
      <w:pPr>
        <w:spacing w:after="0" w:line="23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10.  Certification.</w:t>
      </w:r>
    </w:p>
    <w:p>
      <w:pPr>
        <w:spacing w:after="0" w:line="237" w:lineRule="exact"/>
        <w:rPr>
          <w:sz w:val="20"/>
          <w:szCs w:val="20"/>
          <w:color w:val="auto"/>
        </w:rPr>
      </w:pPr>
    </w:p>
    <w:p>
      <w:pPr>
        <w:ind w:left="92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000"/>
          </w:cols>
          <w:pgMar w:left="400" w:top="112" w:right="499" w:bottom="1440" w:gutter="0" w:footer="0" w:header="0"/>
        </w:sectPr>
      </w:pPr>
    </w:p>
    <w:bookmarkStart w:id="4" w:name="page5"/>
    <w:bookmarkEnd w:id="4"/>
    <w:p>
      <w:pPr>
        <w:ind w:left="3880"/>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8890"/>
                    </a:xfrm>
                    <a:prstGeom prst="rect">
                      <a:avLst/>
                    </a:prstGeom>
                    <a:noFill/>
                  </pic:spPr>
                </pic:pic>
              </a:graphicData>
            </a:graphic>
          </wp:anchor>
        </w:drawing>
        <w:t>SIGNATURE</w:t>
      </w:r>
    </w:p>
    <w:p>
      <w:pPr>
        <w:spacing w:after="0" w:line="332" w:lineRule="exact"/>
        <w:rPr>
          <w:sz w:val="20"/>
          <w:szCs w:val="20"/>
          <w:color w:val="auto"/>
        </w:rPr>
      </w:pPr>
    </w:p>
    <w:p>
      <w:pPr>
        <w:ind w:left="60" w:right="102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23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2"/>
          <w:szCs w:val="22"/>
          <w:color w:val="auto"/>
        </w:rPr>
        <w:t>Capital World Investors</w:t>
      </w:r>
    </w:p>
    <w:p>
      <w:pPr>
        <w:spacing w:after="0" w:line="4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Erik A. Vayntrub</w:t>
      </w:r>
    </w:p>
    <w:p>
      <w:pPr>
        <w:spacing w:after="0" w:line="4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2"/>
          <w:szCs w:val="22"/>
          <w:color w:val="auto"/>
        </w:rPr>
        <w:t>Date: February 07, 2024</w:t>
      </w:r>
    </w:p>
    <w:p>
      <w:pPr>
        <w:spacing w:after="0" w:line="4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2"/>
          <w:szCs w:val="22"/>
          <w:color w:val="auto"/>
        </w:rPr>
        <w:t>Name: Erik A. Vayntrub</w:t>
      </w:r>
    </w:p>
    <w:p>
      <w:pPr>
        <w:spacing w:after="0" w:line="44" w:lineRule="exact"/>
        <w:rPr>
          <w:sz w:val="20"/>
          <w:szCs w:val="20"/>
          <w:color w:val="auto"/>
        </w:rPr>
      </w:pPr>
    </w:p>
    <w:p>
      <w:pPr>
        <w:ind w:left="600"/>
        <w:spacing w:after="0" w:line="258" w:lineRule="auto"/>
        <w:rPr>
          <w:sz w:val="20"/>
          <w:szCs w:val="20"/>
          <w:color w:val="auto"/>
        </w:rPr>
      </w:pPr>
      <w:r>
        <w:rPr>
          <w:rFonts w:ascii="Times New Roman" w:cs="Times New Roman" w:eastAsia="Times New Roman" w:hAnsi="Times New Roman"/>
          <w:sz w:val="22"/>
          <w:szCs w:val="22"/>
          <w:color w:val="auto"/>
        </w:rPr>
        <w:t>Title: Senior Vice President and Senior Counsel, Fund Business Management Group, Capital Research and Management Company</w:t>
      </w:r>
    </w:p>
    <w:sectPr>
      <w:pgSz w:w="11900" w:h="16838" w:orient="portrait"/>
      <w:cols w:equalWidth="0" w:num="1">
        <w:col w:w="9840"/>
      </w:cols>
      <w:pgMar w:left="1440" w:top="405" w:right="6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lvl w:ilvl="1">
      <w:lvlJc w:val="left"/>
      <w:lvlText w:val="[%2]"/>
      <w:numFmt w:val="upperLetter"/>
      <w:start w:val="24"/>
    </w:lvl>
  </w:abstractNum>
  <w:abstractNum w:abstractNumId="1">
    <w:nsid w:val="2AE8944A"/>
    <w:multiLevelType w:val="hybridMultilevel"/>
    <w:lvl w:ilvl="0">
      <w:lvlJc w:val="left"/>
      <w:lvlText w:val="(%1)"/>
      <w:numFmt w:val="lowerLetter"/>
      <w:start w:val="1"/>
    </w:lvl>
  </w:abstractNum>
  <w:abstractNum w:abstractNumId="2">
    <w:nsid w:val="625558EC"/>
    <w:multiLevelType w:val="hybridMultilevel"/>
    <w:lvl w:ilvl="0">
      <w:lvlJc w:val="left"/>
      <w:lvlText w:val="(%1)"/>
      <w:numFmt w:val="lowerLetter"/>
      <w:start w:val="1"/>
    </w:lvl>
  </w:abstractNum>
  <w:abstractNum w:abstractNumId="3">
    <w:nsid w:val="238E1F29"/>
    <w:multiLevelType w:val="hybridMultilevel"/>
    <w:lvl w:ilvl="0">
      <w:lvlJc w:val="left"/>
      <w:lvlText w:val="(%1)"/>
      <w:numFmt w:val="decimal"/>
      <w:start w:val="14"/>
    </w:lvl>
  </w:abstractNum>
  <w:abstractNum w:abstractNumId="4">
    <w:nsid w:val="46E87CCD"/>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2024-02-09T17:27:44Z</dcterms:created>
  <dcterms:modified xsi:type="dcterms:W3CDTF">2024-02-09T17:27:44Z</dcterms:modified>
</cp:coreProperties>
</file>