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7555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755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9" w:lineRule="exact"/>
        <w:rPr>
          <w:sz w:val="24"/>
          <w:szCs w:val="24"/>
          <w:color w:val="auto"/>
        </w:rPr>
      </w:pPr>
    </w:p>
    <w:p>
      <w:pPr>
        <w:sectPr>
          <w:pgSz w:w="11900" w:h="16876" w:orient="portrait"/>
          <w:cols w:equalWidth="0" w:num="2">
            <w:col w:w="2300" w:space="300"/>
            <w:col w:w="848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YANCOPOULOS GEORGE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21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339,030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772.09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310,460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71,487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5,962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401(k)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Trust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8420" w:right="240" w:hanging="10181"/>
        <w:spacing w:after="0"/>
        <w:tabs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180,000 I for Chldn.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101,988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28,570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595,077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-1993900</wp:posOffset>
            </wp:positionV>
            <wp:extent cx="29210" cy="1998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9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1"/>
        <w:spacing w:after="0" w:line="29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 restricted stock unit ("PSU") represents a contingent right to receive one share of Company stock. These PSUs were earned during the applicable five-year performance period and vested on December 31, 2025 but remain subject to a mandatory holding period of three years after vesting, which ends early upon the reporting person's death or disability or a change in control of the Company.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Richard Gluckselig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111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George D.  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-17145</wp:posOffset>
            </wp:positionV>
            <wp:extent cx="1878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Yancopoulos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-17145</wp:posOffset>
            </wp:positionV>
            <wp:extent cx="546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76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79" w:firstLine="1"/>
        <w:spacing w:after="0" w:line="333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669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2026-01-05T17:56:04Z</dcterms:created>
  <dcterms:modified xsi:type="dcterms:W3CDTF">2026-01-05T17:56:04Z</dcterms:modified>
</cp:coreProperties>
</file>