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2014 (May 13,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REGENERON PHARMACEUTICALS,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15" w:lineRule="exact"/>
        <w:rPr>
          <w:sz w:val="24"/>
          <w:szCs w:val="24"/>
          <w:color w:val="auto"/>
        </w:rPr>
      </w:pPr>
    </w:p>
    <w:tbl>
      <w:tblPr>
        <w:tblLayout w:type="fixed"/>
        <w:tblInd w:w="880" w:type="dxa"/>
        <w:tblCellMar>
          <w:top w:w="0" w:type="dxa"/>
          <w:left w:w="0" w:type="dxa"/>
          <w:bottom w:w="0" w:type="dxa"/>
          <w:right w:w="0" w:type="dxa"/>
        </w:tblCellMar>
      </w:tblPr>
      <w:tr>
        <w:trPr>
          <w:trHeight w:val="214"/>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2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777 Old Saw Mill River Road, Tarrytown, New York</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190"/>
        </w:trPr>
        <w:tc>
          <w:tcPr>
            <w:tcW w:w="562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13, May 14, May 15, and May 16, 2014,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amendments (collectively,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to the Master Terms and Conditions for Warrants, each dated as of October 18, 2011, and each as supplemented by a confirmation dated October 18, 2011 (collectively, the “</w:t>
      </w:r>
      <w:r>
        <w:rPr>
          <w:rFonts w:ascii="Times New Roman" w:cs="Times New Roman" w:eastAsia="Times New Roman" w:hAnsi="Times New Roman"/>
          <w:sz w:val="18"/>
          <w:szCs w:val="18"/>
          <w:u w:val="single" w:color="auto"/>
          <w:color w:val="auto"/>
        </w:rPr>
        <w:t>Original Warrant Agreements</w:t>
      </w:r>
      <w:r>
        <w:rPr>
          <w:rFonts w:ascii="Times New Roman" w:cs="Times New Roman" w:eastAsia="Times New Roman" w:hAnsi="Times New Roman"/>
          <w:sz w:val="18"/>
          <w:szCs w:val="18"/>
          <w:color w:val="auto"/>
        </w:rPr>
        <w:t>” and, as amended by the Amendments, the “</w:t>
      </w:r>
      <w:r>
        <w:rPr>
          <w:rFonts w:ascii="Times New Roman" w:cs="Times New Roman" w:eastAsia="Times New Roman" w:hAnsi="Times New Roman"/>
          <w:sz w:val="18"/>
          <w:szCs w:val="18"/>
          <w:u w:val="single" w:color="auto"/>
          <w:color w:val="auto"/>
        </w:rPr>
        <w:t>Warrant Agreements</w:t>
      </w:r>
      <w:r>
        <w:rPr>
          <w:rFonts w:ascii="Times New Roman" w:cs="Times New Roman" w:eastAsia="Times New Roman" w:hAnsi="Times New Roman"/>
          <w:sz w:val="18"/>
          <w:szCs w:val="18"/>
          <w:color w:val="auto"/>
        </w:rPr>
        <w:t>”), with Citibank, N.A., Credit Suisse Capital LLC (as assignee of Credit Suisse International), Goldman, Sachs &amp; Co., and Morgan Stanley &amp; Co. International plc, respectively (collectively, the “</w:t>
      </w:r>
      <w:r>
        <w:rPr>
          <w:rFonts w:ascii="Times New Roman" w:cs="Times New Roman" w:eastAsia="Times New Roman" w:hAnsi="Times New Roman"/>
          <w:sz w:val="18"/>
          <w:szCs w:val="18"/>
          <w:u w:val="single" w:color="auto"/>
          <w:color w:val="auto"/>
        </w:rPr>
        <w:t>Warrant Holders</w:t>
      </w:r>
      <w:r>
        <w:rPr>
          <w:rFonts w:ascii="Times New Roman" w:cs="Times New Roman" w:eastAsia="Times New Roman" w:hAnsi="Times New Roman"/>
          <w:sz w:val="18"/>
          <w:szCs w:val="18"/>
          <w:color w:val="auto"/>
        </w:rPr>
        <w:t>”). The Original Warrant Agreements governed the warrants issued by the Company in 2011 in connection with the issuance of its 1.875% convertible senior notes and the related hedging transactions, and were filed respectively as Exhibits 10.2, 10.4, 10.6, and 10.8 to the Company’s Current Report on Form 8-K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24, 2011.</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the Amendments, the number of warrants held by each of the Warrant Holders has been reduced by 15.3%, resulting in 1,008,331 warrants being held by each of the Warrant Holders in accordance with the Warrant Agreements. After giving effect to the Amendments, up to a total of 4,033,324 shares of Regeneron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(subject to adjustment from time to time as provided in the Warrant Agreements), are issuable upon conversion of the warrants pursuant to the Warrant Agreements. Before giving effect to the Amendments, the maximum total number of shares of Common Stock issuable upon exercise of the warrants was 4,760,840 (subject to adjustment from time to time as provided in the Original Warrant Agreements). The aggregate amount paid or payable by the Company to the Warrant Holders in consideration of entering into the Amendments is $143.0 million.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Amendments contain customary representations and warranties of the Company and the Warrant Holders, respectively.</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is qualified in its entirety by reference to the full text of the Amendments, copies of which will be filed with the SEC as exhibits to the Company’s Quarterly Report on Form 10-Q for the quarterly period ending June 30, 2014.</w:t>
      </w:r>
    </w:p>
    <w:p>
      <w:pPr>
        <w:sectPr>
          <w:pgSz w:w="11900" w:h="16838" w:orient="portrait"/>
          <w:cols w:equalWidth="0" w:num="1">
            <w:col w:w="11420"/>
          </w:cols>
          <w:pgMar w:left="240" w:top="266" w:right="23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Senior Vice President, General Counsel and Secretary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2014</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2019-12-06T04:32:06Z</dcterms:created>
  <dcterms:modified xsi:type="dcterms:W3CDTF">2019-12-06T04:32:06Z</dcterms:modified>
</cp:coreProperties>
</file>