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$.001 PAR VALUE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Steven M. Odre, Esq.</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tabs>
          <w:tab w:leader="none" w:pos="198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91320-1789</w:t>
      </w:r>
    </w:p>
    <w:p>
      <w:pPr>
        <w:spacing w:after="0" w:line="237" w:lineRule="auto"/>
        <w:rPr>
          <w:sz w:val="20"/>
          <w:szCs w:val="20"/>
          <w:color w:val="auto"/>
        </w:rPr>
      </w:pPr>
      <w:r>
        <w:rPr>
          <w:rFonts w:ascii="Courier New" w:cs="Courier New" w:eastAsia="Courier New" w:hAnsi="Courier New"/>
          <w:sz w:val="18"/>
          <w:szCs w:val="18"/>
          <w:color w:val="auto"/>
        </w:rPr>
        <w:t>(805) 447-1000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38" w:lineRule="auto"/>
        <w:rPr>
          <w:sz w:val="20"/>
          <w:szCs w:val="20"/>
          <w:color w:val="auto"/>
        </w:rPr>
      </w:pPr>
      <w:r>
        <w:rPr>
          <w:rFonts w:ascii="Courier New" w:cs="Courier New" w:eastAsia="Courier New" w:hAnsi="Courier New"/>
          <w:sz w:val="18"/>
          <w:szCs w:val="18"/>
          <w:color w:val="auto"/>
        </w:rPr>
        <w:t>Gary Olson, Esq.</w:t>
      </w:r>
    </w:p>
    <w:p>
      <w:pPr>
        <w:spacing w:after="0"/>
        <w:rPr>
          <w:sz w:val="20"/>
          <w:szCs w:val="20"/>
          <w:color w:val="auto"/>
        </w:rPr>
      </w:pPr>
      <w:r>
        <w:rPr>
          <w:rFonts w:ascii="Courier New" w:cs="Courier New" w:eastAsia="Courier New" w:hAnsi="Courier New"/>
          <w:sz w:val="18"/>
          <w:szCs w:val="18"/>
          <w:color w:val="auto"/>
        </w:rPr>
        <w:t>Latham &amp; Watkins</w:t>
      </w:r>
    </w:p>
    <w:p>
      <w:pPr>
        <w:spacing w:after="0" w:line="237" w:lineRule="auto"/>
        <w:rPr>
          <w:sz w:val="20"/>
          <w:szCs w:val="20"/>
          <w:color w:val="auto"/>
        </w:rPr>
      </w:pPr>
      <w:r>
        <w:rPr>
          <w:rFonts w:ascii="Courier New" w:cs="Courier New" w:eastAsia="Courier New" w:hAnsi="Courier New"/>
          <w:sz w:val="18"/>
          <w:szCs w:val="18"/>
          <w:color w:val="auto"/>
        </w:rPr>
        <w:t>633 West Fifth Street</w:t>
      </w:r>
    </w:p>
    <w:p>
      <w:pPr>
        <w:spacing w:after="0" w:line="238"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90071</w:t>
      </w:r>
    </w:p>
    <w:p>
      <w:pPr>
        <w:spacing w:after="0" w:line="402" w:lineRule="exact"/>
        <w:rPr>
          <w:sz w:val="24"/>
          <w:szCs w:val="24"/>
          <w:color w:val="auto"/>
        </w:rPr>
      </w:pPr>
    </w:p>
    <w:p>
      <w:pPr>
        <w:sectPr>
          <w:pgSz w:w="11900" w:h="16838" w:orient="portrait"/>
          <w:cols w:equalWidth="0" w:num="3">
            <w:col w:w="4440" w:space="720"/>
            <w:col w:w="2440" w:space="200"/>
            <w:col w:w="2419"/>
          </w:cols>
          <w:pgMar w:left="240" w:top="649" w:right="1440" w:bottom="144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March 29, 2000</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999"/>
        <w:spacing w:after="0"/>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723"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00075886F1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7160" w:val="left"/>
        </w:tabs>
        <w:rPr>
          <w:sz w:val="20"/>
          <w:szCs w:val="20"/>
          <w:color w:val="auto"/>
        </w:rPr>
      </w:pPr>
      <w:r>
        <w:rPr>
          <w:rFonts w:ascii="Courier New" w:cs="Courier New" w:eastAsia="Courier New" w:hAnsi="Courier New"/>
          <w:sz w:val="18"/>
          <w:szCs w:val="18"/>
          <w:color w:val="auto"/>
        </w:rPr>
        <w:t>2.</w:t>
        <w:tab/>
        <w:t>Check the appropriate box if member of a group*</w:t>
      </w:r>
      <w:r>
        <w:rPr>
          <w:sz w:val="20"/>
          <w:szCs w:val="20"/>
          <w:color w:val="auto"/>
        </w:rPr>
        <w:tab/>
      </w:r>
      <w:r>
        <w:rPr>
          <w:rFonts w:ascii="Courier New" w:cs="Courier New" w:eastAsia="Courier New" w:hAnsi="Courier New"/>
          <w:sz w:val="16"/>
          <w:szCs w:val="16"/>
          <w:color w:val="auto"/>
        </w:rPr>
        <w:t>(a) [_]</w:t>
      </w:r>
    </w:p>
    <w:p>
      <w:pPr>
        <w:ind w:left="718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42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84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73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860" w:type="dxa"/>
            <w:vAlign w:val="bottom"/>
          </w:tcPr>
          <w:p>
            <w:pPr>
              <w:spacing w:after="0"/>
              <w:rPr>
                <w:sz w:val="17"/>
                <w:szCs w:val="17"/>
                <w:color w:val="auto"/>
              </w:rPr>
            </w:pPr>
          </w:p>
        </w:tc>
        <w:tc>
          <w:tcPr>
            <w:tcW w:w="7360" w:type="dxa"/>
            <w:vAlign w:val="bottom"/>
          </w:tcPr>
          <w:p>
            <w:pPr>
              <w:spacing w:after="0" w:line="203" w:lineRule="exact"/>
              <w:rPr>
                <w:sz w:val="20"/>
                <w:szCs w:val="20"/>
                <w:color w:val="auto"/>
              </w:rPr>
            </w:pPr>
            <w:r>
              <w:rPr>
                <w:rFonts w:ascii="Courier New" w:cs="Courier New" w:eastAsia="Courier New" w:hAnsi="Courier New"/>
                <w:sz w:val="18"/>
                <w:szCs w:val="18"/>
                <w:color w:val="auto"/>
              </w:rPr>
              <w:t>4,916,808</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7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N/A</w:t>
            </w:r>
          </w:p>
        </w:tc>
      </w:tr>
      <w:tr>
        <w:trPr>
          <w:trHeight w:val="203"/>
        </w:trPr>
        <w:tc>
          <w:tcPr>
            <w:tcW w:w="2000" w:type="dxa"/>
            <w:vAlign w:val="bottom"/>
          </w:tcPr>
          <w:p>
            <w:pPr>
              <w:spacing w:after="0"/>
              <w:rPr>
                <w:sz w:val="17"/>
                <w:szCs w:val="17"/>
                <w:color w:val="auto"/>
              </w:rPr>
            </w:pPr>
          </w:p>
        </w:tc>
        <w:tc>
          <w:tcPr>
            <w:tcW w:w="8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0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7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360" w:type="dxa"/>
            <w:vAlign w:val="bottom"/>
          </w:tcPr>
          <w:p>
            <w:pPr>
              <w:spacing w:after="0" w:line="203" w:lineRule="exact"/>
              <w:rPr>
                <w:sz w:val="20"/>
                <w:szCs w:val="20"/>
                <w:color w:val="auto"/>
              </w:rPr>
            </w:pPr>
            <w:r>
              <w:rPr>
                <w:rFonts w:ascii="Courier New" w:cs="Courier New" w:eastAsia="Courier New" w:hAnsi="Courier New"/>
                <w:sz w:val="18"/>
                <w:szCs w:val="18"/>
                <w:color w:val="auto"/>
              </w:rPr>
              <w:t>4,916,808</w:t>
            </w:r>
          </w:p>
        </w:tc>
      </w:tr>
      <w:tr>
        <w:trPr>
          <w:trHeight w:val="203"/>
        </w:trPr>
        <w:tc>
          <w:tcPr>
            <w:tcW w:w="2000" w:type="dxa"/>
            <w:vAlign w:val="bottom"/>
          </w:tcPr>
          <w:p>
            <w:pPr>
              <w:spacing w:after="0"/>
              <w:rPr>
                <w:sz w:val="17"/>
                <w:szCs w:val="17"/>
                <w:color w:val="auto"/>
              </w:rPr>
            </w:pPr>
          </w:p>
        </w:tc>
        <w:tc>
          <w:tcPr>
            <w:tcW w:w="8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ind w:left="2860" w:hanging="534"/>
        <w:spacing w:after="0" w:line="238" w:lineRule="auto"/>
        <w:tabs>
          <w:tab w:leader="none" w:pos="2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580"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4,916,808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820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r>
        <w:rPr>
          <w:sz w:val="20"/>
          <w:szCs w:val="20"/>
          <w:color w:val="auto"/>
        </w:rPr>
        <w:tab/>
      </w:r>
      <w:r>
        <w:rPr>
          <w:rFonts w:ascii="Courier New" w:cs="Courier New" w:eastAsia="Courier New" w:hAnsi="Courier New"/>
          <w:sz w:val="16"/>
          <w:szCs w:val="16"/>
          <w:color w:val="auto"/>
        </w:rPr>
        <w:t>[__]</w:t>
      </w:r>
    </w:p>
    <w:p>
      <w:pPr>
        <w:ind w:left="54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640"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440"/>
          </w:cols>
          <w:pgMar w:left="240" w:top="717" w:right="1219" w:bottom="1440" w:gutter="0" w:footer="0" w:header="0"/>
        </w:sectPr>
      </w:pPr>
    </w:p>
    <w:bookmarkStart w:id="3" w:name="page4"/>
    <w:bookmarkEnd w:id="3"/>
    <w:p>
      <w:pPr>
        <w:ind w:right="1779" w:firstLine="527"/>
        <w:spacing w:after="0" w:line="271" w:lineRule="auto"/>
        <w:rPr>
          <w:sz w:val="20"/>
          <w:szCs w:val="20"/>
          <w:color w:val="auto"/>
        </w:rPr>
      </w:pPr>
      <w:r>
        <w:rPr>
          <w:rFonts w:ascii="Courier New" w:cs="Courier New" w:eastAsia="Courier New" w:hAnsi="Courier New"/>
          <w:sz w:val="16"/>
          <w:szCs w:val="16"/>
          <w:color w:val="auto"/>
        </w:rPr>
        <w:t>This Amendment No. 6 to Schedule 13D is being filed by Amgen Inc., a Delaware corporation (the "Reporting Person"), to amend the Schedule 13D filed on July 26, 1995, as amended by Amendment No. 1 filed on September 25, 1995, Amendment No. 2 filed on December 6, 1995, Amendment No. 3 filed on March 5, 1996, Amendment No. 4 filed on April 15, 1996 and Amendment No. 5 filed on March 8, 2000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84" w:lineRule="exact"/>
        <w:rPr>
          <w:sz w:val="20"/>
          <w:szCs w:val="20"/>
          <w:color w:val="auto"/>
        </w:rPr>
      </w:pPr>
    </w:p>
    <w:p>
      <w:pPr>
        <w:ind w:left="540" w:right="1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6. CONTRACTS, ARRANGEMENTS, UNDERSTANDINGS OR RELATIONSHIPS WITH RESPECT TO SECURITIES OF THE ISSUER.</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Item 6 to Schedule 13D is hereby amended and supplemented to add the following paragraph:</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March 29, 2000, the Reporting Person, the Issuer and Merrill Lynch &amp; Co., Merrill Lynch, Pierce, Fenner &amp; Smith Incorporated, Lehman Brothers Inc., J.P. Morgan Securities Inc. and FleetBoston Robertson Stephens Inc. (the "Underwriters"), entered into a Purchase Agreement (the "Purchase Agreement"), which provides for (i) the issue and sale by the Issuer and the purchase by the Underwriters, acting severally and not jointly, of 2,600,000 shares of Common Stock and (ii) the grant by Reporting Person to the Underwriters, acting severally and not jointly, of the option described in Section 2(b) of the Purchase Agreement to purchase at a price of $28.27 per share all or any part of 390,000 additional shares of Common Stock to cover over-allotments, if any.</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w w:val="98"/>
              </w:rPr>
              <w:t>Item 7 to Schedule 13D is hereby</w:t>
            </w:r>
          </w:p>
        </w:tc>
        <w:tc>
          <w:tcPr>
            <w:tcW w:w="3940" w:type="dxa"/>
            <w:vAlign w:val="bottom"/>
          </w:tcPr>
          <w:p>
            <w:pPr>
              <w:ind w:left="60"/>
              <w:spacing w:after="0"/>
              <w:rPr>
                <w:sz w:val="20"/>
                <w:szCs w:val="20"/>
                <w:color w:val="auto"/>
              </w:rPr>
            </w:pPr>
            <w:r>
              <w:rPr>
                <w:rFonts w:ascii="Courier New" w:cs="Courier New" w:eastAsia="Courier New" w:hAnsi="Courier New"/>
                <w:sz w:val="18"/>
                <w:szCs w:val="18"/>
                <w:color w:val="auto"/>
                <w:w w:val="99"/>
              </w:rPr>
              <w:t>amended and supplemented as follows:</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7.8</w:t>
            </w:r>
          </w:p>
        </w:tc>
        <w:tc>
          <w:tcPr>
            <w:tcW w:w="7480" w:type="dxa"/>
            <w:vAlign w:val="bottom"/>
            <w:gridSpan w:val="2"/>
          </w:tcPr>
          <w:p>
            <w:pPr>
              <w:ind w:left="1280"/>
              <w:spacing w:after="0"/>
              <w:rPr>
                <w:sz w:val="20"/>
                <w:szCs w:val="20"/>
                <w:color w:val="auto"/>
              </w:rPr>
            </w:pPr>
            <w:r>
              <w:rPr>
                <w:rFonts w:ascii="Courier New" w:cs="Courier New" w:eastAsia="Courier New" w:hAnsi="Courier New"/>
                <w:sz w:val="18"/>
                <w:szCs w:val="18"/>
                <w:color w:val="auto"/>
                <w:w w:val="98"/>
              </w:rPr>
              <w:t>Purchase Agreement, dated March 29, 2000, by and among the</w:t>
            </w:r>
          </w:p>
        </w:tc>
      </w:tr>
      <w:tr>
        <w:trPr>
          <w:trHeight w:val="203"/>
        </w:trPr>
        <w:tc>
          <w:tcPr>
            <w:tcW w:w="420" w:type="dxa"/>
            <w:vAlign w:val="bottom"/>
          </w:tcPr>
          <w:p>
            <w:pPr>
              <w:spacing w:after="0"/>
              <w:rPr>
                <w:sz w:val="17"/>
                <w:szCs w:val="17"/>
                <w:color w:val="auto"/>
              </w:rPr>
            </w:pPr>
          </w:p>
        </w:tc>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Issuer, the Reporting</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Person, Merrill Lynch &amp; Co., Merrill</w:t>
            </w:r>
          </w:p>
        </w:tc>
      </w:tr>
      <w:tr>
        <w:trPr>
          <w:trHeight w:val="203"/>
        </w:trPr>
        <w:tc>
          <w:tcPr>
            <w:tcW w:w="420" w:type="dxa"/>
            <w:vAlign w:val="bottom"/>
          </w:tcPr>
          <w:p>
            <w:pPr>
              <w:spacing w:after="0"/>
              <w:rPr>
                <w:sz w:val="17"/>
                <w:szCs w:val="17"/>
                <w:color w:val="auto"/>
              </w:rPr>
            </w:pPr>
          </w:p>
        </w:tc>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Lynch, Pierce, Fenner</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&amp; Smith Incorporated, Lehman Brothers</w:t>
            </w:r>
          </w:p>
        </w:tc>
      </w:tr>
      <w:tr>
        <w:trPr>
          <w:trHeight w:val="203"/>
        </w:trPr>
        <w:tc>
          <w:tcPr>
            <w:tcW w:w="420" w:type="dxa"/>
            <w:vAlign w:val="bottom"/>
          </w:tcPr>
          <w:p>
            <w:pPr>
              <w:spacing w:after="0"/>
              <w:rPr>
                <w:sz w:val="17"/>
                <w:szCs w:val="17"/>
                <w:color w:val="auto"/>
              </w:rPr>
            </w:pPr>
          </w:p>
        </w:tc>
        <w:tc>
          <w:tcPr>
            <w:tcW w:w="74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w w:val="96"/>
              </w:rPr>
              <w:t>Inc., J.P. Morgan Securities Inc. and FleetBoston Robertson</w:t>
            </w:r>
          </w:p>
        </w:tc>
      </w:tr>
      <w:tr>
        <w:trPr>
          <w:trHeight w:val="203"/>
        </w:trPr>
        <w:tc>
          <w:tcPr>
            <w:tcW w:w="420" w:type="dxa"/>
            <w:vAlign w:val="bottom"/>
          </w:tcPr>
          <w:p>
            <w:pPr>
              <w:spacing w:after="0"/>
              <w:rPr>
                <w:sz w:val="17"/>
                <w:szCs w:val="17"/>
                <w:color w:val="auto"/>
              </w:rPr>
            </w:pPr>
          </w:p>
        </w:tc>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Stephens Inc.  (Filed</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an exhibit to Regeneron</w:t>
            </w:r>
          </w:p>
        </w:tc>
      </w:tr>
      <w:tr>
        <w:trPr>
          <w:trHeight w:val="203"/>
        </w:trPr>
        <w:tc>
          <w:tcPr>
            <w:tcW w:w="420" w:type="dxa"/>
            <w:vAlign w:val="bottom"/>
          </w:tcPr>
          <w:p>
            <w:pPr>
              <w:spacing w:after="0"/>
              <w:rPr>
                <w:sz w:val="17"/>
                <w:szCs w:val="17"/>
                <w:color w:val="auto"/>
              </w:rPr>
            </w:pPr>
          </w:p>
        </w:tc>
        <w:tc>
          <w:tcPr>
            <w:tcW w:w="74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Pharmaceuticals, Inc.'s Form 8-K dated April 4, 2000 and</w:t>
            </w:r>
          </w:p>
        </w:tc>
      </w:tr>
      <w:tr>
        <w:trPr>
          <w:trHeight w:val="203"/>
        </w:trPr>
        <w:tc>
          <w:tcPr>
            <w:tcW w:w="420" w:type="dxa"/>
            <w:vAlign w:val="bottom"/>
          </w:tcPr>
          <w:p>
            <w:pPr>
              <w:spacing w:after="0"/>
              <w:rPr>
                <w:sz w:val="17"/>
                <w:szCs w:val="17"/>
                <w:color w:val="auto"/>
              </w:rPr>
            </w:pPr>
          </w:p>
        </w:tc>
        <w:tc>
          <w:tcPr>
            <w:tcW w:w="74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bl>
    <w:p>
      <w:pPr>
        <w:sectPr>
          <w:pgSz w:w="11900" w:h="16838" w:orient="portrait"/>
          <w:cols w:equalWidth="0" w:num="1">
            <w:col w:w="10219"/>
          </w:cols>
          <w:pgMar w:left="240" w:top="723"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Steven M. Odre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Steven M. Odre</w:t>
      </w:r>
    </w:p>
    <w:p>
      <w:pPr>
        <w:ind w:left="464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5, 2000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
      <w:numFmt w:val="bullet"/>
      <w:start w:val="1"/>
    </w:lvl>
    <w:lvl w:ilvl="1">
      <w:lvlJc w:val="left"/>
      <w:lvlText w:val="%2."/>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3"/>
    </w:lvl>
  </w:abstractNum>
  <w:abstractNum w:abstractNumId="8">
    <w:nsid w:val="12200854"/>
    <w:multiLevelType w:val="hybridMultilevel"/>
    <w:lvl w:ilvl="0">
      <w:lvlJc w:val="left"/>
      <w:lvlText w:val="%1."/>
      <w:numFmt w:val="decimal"/>
      <w:start w:val="1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2019-12-20T00:03:41Z</dcterms:created>
  <dcterms:modified xsi:type="dcterms:W3CDTF">2019-12-20T00:03:41Z</dcterms:modified>
</cp:coreProperties>
</file>