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Fenimore Christopher R.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1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664.85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amount of securities shown following the reported transaction gives effect to the other transactions reported by the Reporting Person in the Original Form 4.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4/A amends the Form 4 filed by the Reporting Person on August 24, 2021 (the "Original Form 4") by adding a transaction inadvertently omitted from the Original Form 4.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Christopher R. Fenimore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08/25/2021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2021-08-25T15:13:50Z</dcterms:created>
  <dcterms:modified xsi:type="dcterms:W3CDTF">2021-08-25T15:13:50Z</dcterms:modified>
</cp:coreProperties>
</file>