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99"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(Amendment No. 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September 30,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2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jc w:val="both"/>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13 pages</w:t>
      </w:r>
    </w:p>
    <w:p>
      <w:pPr>
        <w:spacing w:after="0" w:line="268" w:lineRule="exact"/>
        <w:rPr>
          <w:sz w:val="24"/>
          <w:szCs w:val="24"/>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4"/>
          <w:szCs w:val="24"/>
          <w:color w:val="auto"/>
        </w:rPr>
      </w:pPr>
    </w:p>
    <w:p>
      <w:pPr>
        <w:ind w:left="680" w:hanging="449"/>
        <w:spacing w:after="0"/>
        <w:tabs>
          <w:tab w:leader="none" w:pos="680" w:val="left"/>
        </w:tabs>
        <w:numPr>
          <w:ilvl w:val="0"/>
          <w:numId w:val="2"/>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Andrew H. Tisch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470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3470275"/>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3"/>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4"/>
          <w:szCs w:val="24"/>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647,686</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370"/>
        </w:trPr>
        <w:tc>
          <w:tcPr>
            <w:tcW w:w="16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0" w:gutter="0" w:footer="0" w:header="0"/>
        </w:sectPr>
      </w:pPr>
    </w:p>
    <w:bookmarkStart w:id="1" w:name="page2"/>
    <w:bookmarkEnd w:id="1"/>
    <w:p>
      <w:pPr>
        <w:ind w:left="2280"/>
        <w:spacing w:after="0"/>
        <w:rPr>
          <w:sz w:val="20"/>
          <w:szCs w:val="20"/>
          <w:color w:val="auto"/>
        </w:rPr>
      </w:pPr>
      <w:r>
        <w:rPr>
          <w:sz w:val="1"/>
          <w:szCs w:val="1"/>
          <w:color w:val="auto"/>
        </w:rPr>
        <w:drawing>
          <wp:inline distT="0" distB="0" distL="0" distR="0">
            <wp:extent cx="42545" cy="218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218440"/>
                    </a:xfrm>
                    <a:prstGeom prst="rect">
                      <a:avLst/>
                    </a:prstGeom>
                    <a:noFill/>
                    <a:ln>
                      <a:noFill/>
                    </a:ln>
                  </pic:spPr>
                </pic:pic>
              </a:graphicData>
            </a:graphic>
          </wp:inline>
        </w:drawing>
      </w:r>
      <w:r>
        <w:rPr>
          <w:rFonts w:ascii="Arial" w:cs="Arial" w:eastAsia="Arial" w:hAnsi="Arial"/>
          <w:sz w:val="22"/>
          <w:szCs w:val="22"/>
          <w:b w:val="1"/>
          <w:bCs w:val="1"/>
          <w:color w:val="auto"/>
        </w:rPr>
        <w:t xml:space="preserve"> 647,686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1942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942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580" w:type="dxa"/>
            <w:vAlign w:val="bottom"/>
            <w:gridSpan w:val="2"/>
          </w:tcPr>
          <w:p>
            <w:pPr>
              <w:jc w:val="center"/>
              <w:spacing w:after="0" w:line="327" w:lineRule="exact"/>
              <w:rPr>
                <w:sz w:val="20"/>
                <w:szCs w:val="20"/>
                <w:color w:val="auto"/>
              </w:rPr>
            </w:pPr>
            <w:r>
              <w:rPr>
                <w:rFonts w:ascii="Arial" w:cs="Arial" w:eastAsia="Arial" w:hAnsi="Arial"/>
                <w:sz w:val="32"/>
                <w:szCs w:val="32"/>
                <w:b w:val="1"/>
                <w:bCs w:val="1"/>
                <w:color w:val="auto"/>
                <w:w w:val="89"/>
              </w:rPr>
              <w:t>9</w:t>
            </w:r>
          </w:p>
        </w:tc>
        <w:tc>
          <w:tcPr>
            <w:tcW w:w="9780" w:type="dxa"/>
            <w:vAlign w:val="bottom"/>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647,686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78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1.3%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88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88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8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5"/>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647,686</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647,686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647,686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4792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435610</wp:posOffset>
            </wp:positionV>
            <wp:extent cx="7272020" cy="1223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122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540" w:type="dxa"/>
            <w:vAlign w:val="bottom"/>
          </w:tcPr>
          <w:p>
            <w:pPr>
              <w:jc w:val="right"/>
              <w:spacing w:after="0"/>
              <w:rPr>
                <w:sz w:val="20"/>
                <w:szCs w:val="20"/>
                <w:color w:val="auto"/>
              </w:rPr>
            </w:pPr>
            <w:r>
              <w:rPr>
                <w:rFonts w:ascii="Arial" w:cs="Arial" w:eastAsia="Arial" w:hAnsi="Arial"/>
                <w:sz w:val="32"/>
                <w:szCs w:val="32"/>
                <w:b w:val="1"/>
                <w:bCs w:val="1"/>
                <w:color w:val="auto"/>
              </w:rPr>
              <w:t>1</w:t>
            </w:r>
          </w:p>
        </w:tc>
        <w:tc>
          <w:tcPr>
            <w:tcW w:w="8900" w:type="dxa"/>
            <w:vAlign w:val="bottom"/>
          </w:tcPr>
          <w:p>
            <w:pPr>
              <w:ind w:left="140"/>
              <w:spacing w:after="0"/>
              <w:rPr>
                <w:sz w:val="20"/>
                <w:szCs w:val="20"/>
                <w:color w:val="auto"/>
              </w:rPr>
            </w:pPr>
            <w:r>
              <w:rPr>
                <w:rFonts w:ascii="Arial" w:cs="Arial" w:eastAsia="Arial" w:hAnsi="Arial"/>
                <w:sz w:val="22"/>
                <w:szCs w:val="22"/>
                <w:color w:val="auto"/>
              </w:rPr>
              <w:t>NAMES OF REPORTING PERSONS</w:t>
            </w:r>
          </w:p>
        </w:tc>
        <w:tc>
          <w:tcPr>
            <w:tcW w:w="1980" w:type="dxa"/>
            <w:vAlign w:val="bottom"/>
          </w:tcPr>
          <w:p>
            <w:pPr>
              <w:spacing w:after="0"/>
              <w:rPr>
                <w:sz w:val="24"/>
                <w:szCs w:val="24"/>
                <w:color w:val="auto"/>
              </w:rPr>
            </w:pPr>
          </w:p>
        </w:tc>
      </w:tr>
      <w:tr>
        <w:trPr>
          <w:trHeight w:val="219"/>
        </w:trPr>
        <w:tc>
          <w:tcPr>
            <w:tcW w:w="540" w:type="dxa"/>
            <w:vAlign w:val="bottom"/>
          </w:tcPr>
          <w:p>
            <w:pPr>
              <w:spacing w:after="0"/>
              <w:rPr>
                <w:sz w:val="19"/>
                <w:szCs w:val="19"/>
                <w:color w:val="auto"/>
              </w:rPr>
            </w:pPr>
          </w:p>
        </w:tc>
        <w:tc>
          <w:tcPr>
            <w:tcW w:w="8900" w:type="dxa"/>
            <w:vAlign w:val="bottom"/>
          </w:tcPr>
          <w:p>
            <w:pPr>
              <w:ind w:left="140"/>
              <w:spacing w:after="0" w:line="219" w:lineRule="exact"/>
              <w:rPr>
                <w:sz w:val="20"/>
                <w:szCs w:val="20"/>
                <w:color w:val="auto"/>
              </w:rPr>
            </w:pPr>
            <w:r>
              <w:rPr>
                <w:rFonts w:ascii="Arial" w:cs="Arial" w:eastAsia="Arial" w:hAnsi="Arial"/>
                <w:sz w:val="22"/>
                <w:szCs w:val="22"/>
                <w:color w:val="auto"/>
              </w:rPr>
              <w:t>I.R.S. IDENTIFICATION NOS. OF ABOVE PERSONS (entities only)</w:t>
            </w:r>
          </w:p>
        </w:tc>
        <w:tc>
          <w:tcPr>
            <w:tcW w:w="1980" w:type="dxa"/>
            <w:vAlign w:val="bottom"/>
          </w:tcPr>
          <w:p>
            <w:pPr>
              <w:spacing w:after="0"/>
              <w:rPr>
                <w:sz w:val="19"/>
                <w:szCs w:val="19"/>
                <w:color w:val="auto"/>
              </w:rPr>
            </w:pPr>
          </w:p>
        </w:tc>
      </w:tr>
      <w:tr>
        <w:trPr>
          <w:trHeight w:val="281"/>
        </w:trPr>
        <w:tc>
          <w:tcPr>
            <w:tcW w:w="54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Arial" w:cs="Arial" w:eastAsia="Arial" w:hAnsi="Arial"/>
                <w:sz w:val="22"/>
                <w:szCs w:val="22"/>
                <w:b w:val="1"/>
                <w:bCs w:val="1"/>
                <w:color w:val="auto"/>
              </w:rPr>
              <w:t>James S. Tisch</w:t>
            </w:r>
          </w:p>
        </w:tc>
        <w:tc>
          <w:tcPr>
            <w:tcW w:w="1980" w:type="dxa"/>
            <w:vAlign w:val="bottom"/>
          </w:tcPr>
          <w:p>
            <w:pPr>
              <w:spacing w:after="0"/>
              <w:rPr>
                <w:sz w:val="24"/>
                <w:szCs w:val="24"/>
                <w:color w:val="auto"/>
              </w:rPr>
            </w:pPr>
          </w:p>
        </w:tc>
      </w:tr>
      <w:tr>
        <w:trPr>
          <w:trHeight w:val="110"/>
        </w:trPr>
        <w:tc>
          <w:tcPr>
            <w:tcW w:w="540" w:type="dxa"/>
            <w:vAlign w:val="bottom"/>
            <w:tcBorders>
              <w:bottom w:val="single" w:sz="8" w:color="2C2C2C"/>
            </w:tcBorders>
          </w:tcPr>
          <w:p>
            <w:pPr>
              <w:spacing w:after="0"/>
              <w:rPr>
                <w:sz w:val="9"/>
                <w:szCs w:val="9"/>
                <w:color w:val="auto"/>
              </w:rPr>
            </w:pPr>
          </w:p>
        </w:tc>
        <w:tc>
          <w:tcPr>
            <w:tcW w:w="890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r>
      <w:tr>
        <w:trPr>
          <w:trHeight w:val="294"/>
        </w:trPr>
        <w:tc>
          <w:tcPr>
            <w:tcW w:w="540" w:type="dxa"/>
            <w:vAlign w:val="bottom"/>
            <w:tcBorders>
              <w:top w:val="single" w:sz="8" w:color="2C2C2C"/>
            </w:tcBorders>
          </w:tcPr>
          <w:p>
            <w:pPr>
              <w:jc w:val="right"/>
              <w:spacing w:after="0" w:line="293" w:lineRule="exact"/>
              <w:rPr>
                <w:sz w:val="20"/>
                <w:szCs w:val="20"/>
                <w:color w:val="auto"/>
              </w:rPr>
            </w:pPr>
            <w:r>
              <w:rPr>
                <w:rFonts w:ascii="Arial" w:cs="Arial" w:eastAsia="Arial" w:hAnsi="Arial"/>
                <w:sz w:val="32"/>
                <w:szCs w:val="32"/>
                <w:b w:val="1"/>
                <w:bCs w:val="1"/>
                <w:color w:val="auto"/>
              </w:rPr>
              <w:t>2</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tcBorders>
              <w:top w:val="single" w:sz="8" w:color="2C2C2C"/>
            </w:tcBorders>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5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66"/>
        </w:trPr>
        <w:tc>
          <w:tcPr>
            <w:tcW w:w="540" w:type="dxa"/>
            <w:vAlign w:val="bottom"/>
            <w:tcBorders>
              <w:bottom w:val="single" w:sz="8" w:color="2C2C2C"/>
            </w:tcBorders>
          </w:tcPr>
          <w:p>
            <w:pPr>
              <w:spacing w:after="0"/>
              <w:rPr>
                <w:sz w:val="5"/>
                <w:szCs w:val="5"/>
                <w:color w:val="auto"/>
              </w:rPr>
            </w:pPr>
          </w:p>
        </w:tc>
        <w:tc>
          <w:tcPr>
            <w:tcW w:w="89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r>
      <w:tr>
        <w:trPr>
          <w:trHeight w:val="20"/>
        </w:trPr>
        <w:tc>
          <w:tcPr>
            <w:tcW w:w="54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8900" w:type="dxa"/>
            <w:vAlign w:val="bottom"/>
            <w:tcBorders>
              <w:top w:val="single" w:sz="8" w:color="808080"/>
            </w:tcBorders>
            <w:shd w:val="clear" w:color="auto" w:fill="2C2C2C"/>
          </w:tcPr>
          <w:p>
            <w:pPr>
              <w:spacing w:after="0" w:line="20" w:lineRule="exact"/>
              <w:rPr>
                <w:sz w:val="1"/>
                <w:szCs w:val="1"/>
                <w:color w:val="auto"/>
              </w:rPr>
            </w:pPr>
          </w:p>
        </w:tc>
        <w:tc>
          <w:tcPr>
            <w:tcW w:w="1980" w:type="dxa"/>
            <w:vAlign w:val="bottom"/>
            <w:tcBorders>
              <w:top w:val="single" w:sz="8" w:color="808080"/>
              <w:right w:val="single" w:sz="8" w:color="808080"/>
            </w:tcBorders>
            <w:shd w:val="clear" w:color="auto" w:fill="2C2C2C"/>
          </w:tcPr>
          <w:p>
            <w:pPr>
              <w:spacing w:after="0" w:line="20" w:lineRule="exact"/>
              <w:rPr>
                <w:sz w:val="1"/>
                <w:szCs w:val="1"/>
                <w:color w:val="auto"/>
              </w:rPr>
            </w:pPr>
          </w:p>
        </w:tc>
      </w:tr>
    </w:tbl>
    <w:p>
      <w:pPr>
        <w:sectPr>
          <w:pgSz w:w="11900" w:h="16838" w:orient="portrait"/>
          <w:cols w:equalWidth="0" w:num="1">
            <w:col w:w="11420"/>
          </w:cols>
          <w:pgMar w:left="240" w:top="93" w:right="239" w:bottom="0" w:gutter="0" w:footer="0" w:header="0"/>
        </w:sectPr>
      </w:pPr>
    </w:p>
    <w:bookmarkStart w:id="2" w:name="page3"/>
    <w:bookmarkEnd w:id="2"/>
    <w:p>
      <w:pPr>
        <w:spacing w:after="0" w:line="18" w:lineRule="exact"/>
        <w:rPr>
          <w:sz w:val="20"/>
          <w:szCs w:val="20"/>
          <w:color w:val="auto"/>
        </w:rPr>
      </w:pPr>
    </w:p>
    <w:p>
      <w:pPr>
        <w:ind w:left="240"/>
        <w:spacing w:after="0" w:line="237" w:lineRule="auto"/>
        <w:rPr>
          <w:sz w:val="20"/>
          <w:szCs w:val="20"/>
          <w:color w:val="auto"/>
        </w:rPr>
      </w:pPr>
      <w:r>
        <w:rPr>
          <w:rFonts w:ascii="Arial" w:cs="Arial" w:eastAsia="Arial" w:hAnsi="Arial"/>
          <w:sz w:val="64"/>
          <w:szCs w:val="64"/>
          <w:b w:val="1"/>
          <w:bCs w:val="1"/>
          <w:color w:val="auto"/>
          <w:vertAlign w:val="subscript"/>
        </w:rPr>
        <w:t xml:space="preserve">3 </w:t>
      </w:r>
      <w:r>
        <w:rPr>
          <w:sz w:val="1"/>
          <w:szCs w:val="1"/>
          <w:color w:val="auto"/>
        </w:rPr>
        <w:drawing>
          <wp:inline distT="0" distB="0" distL="0" distR="0">
            <wp:extent cx="42545" cy="3727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7274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272020" cy="4189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189095"/>
                    </a:xfrm>
                    <a:prstGeom prst="rect">
                      <a:avLst/>
                    </a:prstGeom>
                    <a:noFill/>
                  </pic:spPr>
                </pic:pic>
              </a:graphicData>
            </a:graphic>
          </wp:anchor>
        </w:drawing>
      </w:r>
    </w:p>
    <w:p>
      <w:pPr>
        <w:ind w:left="680" w:hanging="449"/>
        <w:spacing w:after="0" w:line="180" w:lineRule="auto"/>
        <w:tabs>
          <w:tab w:leader="none" w:pos="680" w:val="left"/>
        </w:tabs>
        <w:numPr>
          <w:ilvl w:val="0"/>
          <w:numId w:val="6"/>
        </w:numPr>
        <w:rPr>
          <w:rFonts w:ascii="Arial" w:cs="Arial" w:eastAsia="Arial" w:hAnsi="Arial"/>
          <w:sz w:val="38"/>
          <w:szCs w:val="38"/>
          <w:b w:val="1"/>
          <w:bCs w:val="1"/>
          <w:color w:val="auto"/>
          <w:vertAlign w:val="subscript"/>
        </w:rPr>
      </w:pPr>
      <w:r>
        <w:rPr>
          <w:rFonts w:ascii="Arial" w:cs="Arial" w:eastAsia="Arial" w:hAnsi="Arial"/>
          <w:sz w:val="17"/>
          <w:szCs w:val="17"/>
          <w:color w:val="auto"/>
        </w:rPr>
        <w:t>CITIZENSHIP OR PLACE OF ORGANIZATION</w:t>
      </w:r>
    </w:p>
    <w:p>
      <w:pPr>
        <w:ind w:left="680"/>
        <w:spacing w:after="0"/>
        <w:rPr>
          <w:rFonts w:ascii="Arial" w:cs="Arial" w:eastAsia="Arial" w:hAnsi="Arial"/>
          <w:sz w:val="38"/>
          <w:szCs w:val="38"/>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647,653</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647,653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647,653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7"/>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8"/>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647,686</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647,686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647,686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0" w:right="239" w:bottom="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Page 5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9"/>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0"/>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3,400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1,504,361</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3,400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1,504,361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1,507,761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1"/>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290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329057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2"/>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250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1,504,361</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250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9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360"/>
              <w:spacing w:after="0"/>
              <w:rPr>
                <w:sz w:val="20"/>
                <w:szCs w:val="20"/>
                <w:color w:val="auto"/>
              </w:rPr>
            </w:pPr>
            <w:r>
              <w:rPr>
                <w:rFonts w:ascii="Arial" w:cs="Arial" w:eastAsia="Arial" w:hAnsi="Arial"/>
                <w:sz w:val="32"/>
                <w:szCs w:val="32"/>
                <w:b w:val="1"/>
                <w:bCs w:val="1"/>
                <w:color w:val="auto"/>
              </w:rPr>
              <w:t>8</w:t>
            </w: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1,504,361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1,504,611</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3.0%</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-2083435</wp:posOffset>
            </wp:positionV>
            <wp:extent cx="42545" cy="372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37274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-2083435</wp:posOffset>
            </wp:positionV>
            <wp:extent cx="42545" cy="372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372745"/>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-1289685</wp:posOffset>
            </wp:positionV>
            <wp:extent cx="42545" cy="43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45" cy="4368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-2083435</wp:posOffset>
            </wp:positionV>
            <wp:extent cx="42545" cy="2096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209677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-2083435</wp:posOffset>
            </wp:positionV>
            <wp:extent cx="42545" cy="2096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209677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-1718945</wp:posOffset>
            </wp:positionV>
            <wp:extent cx="42545" cy="1723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17233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color w:val="auto"/>
        </w:rPr>
        <w:t>Name of Issuer:</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Regeneron Pharmaceuticals, Inc. (the “Issuer”)</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color w:val="auto"/>
        </w:rPr>
        <w:t>Address of Issuer’s Principal Executive Offices: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777 Old Saw Mill River Road</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Tarrytown, New York 10591-6707</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color w:val="auto"/>
        </w:rPr>
        <w:t>Name of Person Filing:</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Schedule 13G is being filed jointly by Andrew H. Tisch, Daniel R. Tisch, James S. Tisch, Thomas J. Tisch, Julian 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Baker and Felix J. Baker.</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color w:val="auto"/>
        </w:rPr>
        <w:t>Address of Principal Business Office or, if none, Residence:</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addresses of the reporting persons are as follows: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w w:val="85"/>
              </w:rPr>
              <w:t>Name</w:t>
            </w:r>
          </w:p>
        </w:tc>
        <w:tc>
          <w:tcPr>
            <w:tcW w:w="3480" w:type="dxa"/>
            <w:vAlign w:val="bottom"/>
          </w:tcPr>
          <w:p>
            <w:pPr>
              <w:spacing w:after="0"/>
              <w:rPr>
                <w:sz w:val="21"/>
                <w:szCs w:val="21"/>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rPr>
              <w:t>Business Address</w:t>
            </w:r>
          </w:p>
        </w:tc>
      </w:tr>
      <w:tr>
        <w:trPr>
          <w:trHeight w:val="20"/>
        </w:trPr>
        <w:tc>
          <w:tcPr>
            <w:tcW w:w="5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28"/>
        </w:trPr>
        <w:tc>
          <w:tcPr>
            <w:tcW w:w="4000" w:type="dxa"/>
            <w:vAlign w:val="bottom"/>
            <w:gridSpan w:val="2"/>
          </w:tcPr>
          <w:p>
            <w:pPr>
              <w:spacing w:after="0"/>
              <w:rPr>
                <w:sz w:val="20"/>
                <w:szCs w:val="20"/>
                <w:color w:val="auto"/>
              </w:rPr>
            </w:pPr>
            <w:r>
              <w:rPr>
                <w:rFonts w:ascii="Arial" w:cs="Arial" w:eastAsia="Arial" w:hAnsi="Arial"/>
                <w:sz w:val="22"/>
                <w:szCs w:val="22"/>
                <w:color w:val="auto"/>
              </w:rPr>
              <w:t>Andrew H.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Daniel R. Tisch</w:t>
            </w:r>
          </w:p>
        </w:tc>
        <w:tc>
          <w:tcPr>
            <w:tcW w:w="2460" w:type="dxa"/>
            <w:vAlign w:val="bottom"/>
            <w:gridSpan w:val="3"/>
          </w:tcPr>
          <w:p>
            <w:pPr>
              <w:spacing w:after="0"/>
              <w:rPr>
                <w:sz w:val="20"/>
                <w:szCs w:val="20"/>
                <w:color w:val="auto"/>
              </w:rPr>
            </w:pPr>
            <w:r>
              <w:rPr>
                <w:rFonts w:ascii="Arial" w:cs="Arial" w:eastAsia="Arial" w:hAnsi="Arial"/>
                <w:sz w:val="22"/>
                <w:szCs w:val="22"/>
                <w:color w:val="auto"/>
              </w:rPr>
              <w:t>Mentor Partners, L.P.</w:t>
            </w:r>
          </w:p>
        </w:tc>
      </w:tr>
      <w:tr>
        <w:trPr>
          <w:trHeight w:val="243"/>
        </w:trPr>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40" w:type="dxa"/>
            <w:vAlign w:val="bottom"/>
          </w:tcPr>
          <w:p>
            <w:pPr>
              <w:spacing w:after="0" w:line="243" w:lineRule="exact"/>
              <w:rPr>
                <w:sz w:val="20"/>
                <w:szCs w:val="20"/>
                <w:color w:val="auto"/>
              </w:rPr>
            </w:pPr>
            <w:r>
              <w:rPr>
                <w:rFonts w:ascii="Arial" w:cs="Arial" w:eastAsia="Arial" w:hAnsi="Arial"/>
                <w:sz w:val="22"/>
                <w:szCs w:val="22"/>
                <w:color w:val="auto"/>
                <w:w w:val="87"/>
              </w:rPr>
              <w:t>500</w:t>
            </w:r>
          </w:p>
        </w:tc>
        <w:tc>
          <w:tcPr>
            <w:tcW w:w="212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Park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James S.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Thomas J.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Julian C. Baker</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Felix J. Baker</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color w:val="auto"/>
        </w:rPr>
        <w:t>Citizenship:</w:t>
      </w:r>
    </w:p>
    <w:p>
      <w:pPr>
        <w:sectPr>
          <w:pgSz w:w="11900" w:h="16838" w:orient="portrait"/>
          <w:cols w:equalWidth="0" w:num="1">
            <w:col w:w="11420"/>
          </w:cols>
          <w:pgMar w:left="240" w:top="11" w:right="239" w:bottom="0" w:gutter="0" w:footer="0" w:header="0"/>
        </w:sectPr>
      </w:pPr>
    </w:p>
    <w:bookmarkStart w:id="5" w:name="page6"/>
    <w:bookmarkEnd w:id="5"/>
    <w:p>
      <w:pPr>
        <w:spacing w:after="0" w:line="15" w:lineRule="exact"/>
        <w:rPr>
          <w:sz w:val="20"/>
          <w:szCs w:val="20"/>
          <w:color w:val="auto"/>
        </w:rPr>
      </w:pPr>
    </w:p>
    <w:p>
      <w:pPr>
        <w:ind w:right="420" w:firstLine="864"/>
        <w:spacing w:after="0" w:line="251" w:lineRule="auto"/>
        <w:rPr>
          <w:sz w:val="20"/>
          <w:szCs w:val="20"/>
          <w:color w:val="auto"/>
        </w:rPr>
      </w:pPr>
      <w:r>
        <w:rPr>
          <w:rFonts w:ascii="Arial" w:cs="Arial" w:eastAsia="Arial" w:hAnsi="Arial"/>
          <w:sz w:val="22"/>
          <w:szCs w:val="22"/>
          <w:color w:val="auto"/>
        </w:rPr>
        <w:t>Each of Andrew H. Tisch, Daniel R. Tisch, James S. Tisch, Thomas J. Tisch, Julian C. Baker and Felix J. Baker is a United States citizen.</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color w:val="auto"/>
        </w:rPr>
        <w:t>Title of Class of Securities: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Common stock, par value $0.001 par value (the “Common Stock”)</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color w:val="auto"/>
        </w:rPr>
        <w:t>CUSIP Number: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75886F 10 7</w:t>
      </w:r>
    </w:p>
    <w:p>
      <w:pPr>
        <w:spacing w:after="0" w:line="200" w:lineRule="exact"/>
        <w:rPr>
          <w:sz w:val="20"/>
          <w:szCs w:val="20"/>
          <w:color w:val="auto"/>
        </w:rPr>
      </w:pPr>
    </w:p>
    <w:p>
      <w:pPr>
        <w:ind w:left="1160" w:right="4240" w:hanging="1147"/>
        <w:spacing w:after="0" w:line="256" w:lineRule="auto"/>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 xml:space="preserve">If this statement is filed pursuant to §§240.13d-1(b) or (c), check whether the person filing is a: </w:t>
      </w:r>
      <w:r>
        <w:rPr>
          <w:rFonts w:ascii="Arial" w:cs="Arial" w:eastAsia="Arial" w:hAnsi="Arial"/>
          <w:sz w:val="22"/>
          <w:szCs w:val="22"/>
          <w:color w:val="auto"/>
        </w:rPr>
        <w:t>N/A</w:t>
      </w:r>
    </w:p>
    <w:p>
      <w:pPr>
        <w:spacing w:after="0" w:line="196" w:lineRule="exact"/>
        <w:rPr>
          <w:sz w:val="20"/>
          <w:szCs w:val="20"/>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67" w:lineRule="exact"/>
        <w:rPr>
          <w:rFonts w:ascii="Arial" w:cs="Arial" w:eastAsia="Arial" w:hAnsi="Arial"/>
          <w:sz w:val="19"/>
          <w:szCs w:val="19"/>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§240.13d-1(b)(1)(ii)(F).</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44" w:lineRule="exact"/>
        <w:rPr>
          <w:rFonts w:ascii="Arial" w:cs="Arial" w:eastAsia="Arial" w:hAnsi="Arial"/>
          <w:sz w:val="21"/>
          <w:szCs w:val="21"/>
          <w:color w:val="auto"/>
        </w:rPr>
      </w:pPr>
    </w:p>
    <w:p>
      <w:pPr>
        <w:ind w:left="1840" w:right="260" w:hanging="1143"/>
        <w:spacing w:after="0" w:line="251" w:lineRule="auto"/>
        <w:tabs>
          <w:tab w:leader="none" w:pos="1273"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200"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Page 9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auto"/>
        </w:rPr>
        <w:t>Because of certain business and family relationships among the Reporting Persons, they are filing as if they constitute a group solely for informational purposes. By signing this statement, each Reporting Person agrees that this Statement is filed on his behalf. The filing of this statement is not an admission by any Reporting Person that such Reporting Person and any other Reporting Person or Reporting Persons constitute a “group” for purposes of Section 13(d)(3) of the Securities Exchange Act of 1934, as amended, or Rule 13d-5 thereunder. Each Reporting Person disclaims beneficial ownership of any shares of Common Stock owned by any other Reporting Person, except to the extent that beneficial ownership is expressly reported herein.</w:t>
      </w:r>
    </w:p>
    <w:p>
      <w:pPr>
        <w:spacing w:after="0" w:line="151" w:lineRule="exact"/>
        <w:rPr>
          <w:sz w:val="20"/>
          <w:szCs w:val="20"/>
          <w:color w:val="auto"/>
        </w:rPr>
      </w:pPr>
    </w:p>
    <w:p>
      <w:pPr>
        <w:ind w:right="200" w:firstLine="864"/>
        <w:spacing w:after="0" w:line="282" w:lineRule="auto"/>
        <w:rPr>
          <w:sz w:val="20"/>
          <w:szCs w:val="20"/>
          <w:color w:val="auto"/>
        </w:rPr>
      </w:pPr>
      <w:r>
        <w:rPr>
          <w:rFonts w:ascii="Arial" w:cs="Arial" w:eastAsia="Arial" w:hAnsi="Arial"/>
          <w:sz w:val="19"/>
          <w:szCs w:val="19"/>
          <w:color w:val="auto"/>
        </w:rPr>
        <w:t>Set forth in the table below is the aggregate number of shares of Common Stock, including shares of Common Stock issuable upon conversion of 5.50% Convertible Senior Subordinated Notes due 2008, owned as of the date hereof by each of the following persons and entities, together with the percentage of the outstanding shares of Common Stock owned by each such person or entity assuming conversion by such person or entity but not by any other person or entity of the Convertible Senior Subordinated Notes owned by such person or entity, and by all of such persons and entities as a group.</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40" w:type="dxa"/>
            <w:vAlign w:val="bottom"/>
          </w:tcPr>
          <w:p>
            <w:pPr>
              <w:ind w:left="160"/>
              <w:spacing w:after="0"/>
              <w:rPr>
                <w:sz w:val="20"/>
                <w:szCs w:val="20"/>
                <w:color w:val="auto"/>
              </w:rPr>
            </w:pPr>
            <w:r>
              <w:rPr>
                <w:rFonts w:ascii="Arial" w:cs="Arial" w:eastAsia="Arial" w:hAnsi="Arial"/>
                <w:sz w:val="22"/>
                <w:szCs w:val="22"/>
                <w:color w:val="auto"/>
                <w:w w:val="96"/>
              </w:rPr>
              <w:t>Percent of Class</w:t>
            </w:r>
          </w:p>
        </w:tc>
      </w:tr>
      <w:tr>
        <w:trPr>
          <w:trHeight w:val="224"/>
        </w:trPr>
        <w:tc>
          <w:tcPr>
            <w:tcW w:w="1200" w:type="dxa"/>
            <w:vAlign w:val="bottom"/>
          </w:tcPr>
          <w:p>
            <w:pPr>
              <w:spacing w:after="0"/>
              <w:rPr>
                <w:sz w:val="19"/>
                <w:szCs w:val="19"/>
                <w:color w:val="auto"/>
              </w:rPr>
            </w:pPr>
          </w:p>
        </w:tc>
        <w:tc>
          <w:tcPr>
            <w:tcW w:w="1500" w:type="dxa"/>
            <w:vAlign w:val="bottom"/>
            <w:tcBorders>
              <w:bottom w:val="single" w:sz="8" w:color="auto"/>
            </w:tcBorders>
          </w:tcPr>
          <w:p>
            <w:pPr>
              <w:ind w:left="500"/>
              <w:spacing w:after="0" w:line="224" w:lineRule="exact"/>
              <w:rPr>
                <w:sz w:val="20"/>
                <w:szCs w:val="20"/>
                <w:color w:val="auto"/>
              </w:rPr>
            </w:pPr>
            <w:r>
              <w:rPr>
                <w:rFonts w:ascii="Arial" w:cs="Arial" w:eastAsia="Arial" w:hAnsi="Arial"/>
                <w:sz w:val="22"/>
                <w:szCs w:val="22"/>
                <w:color w:val="auto"/>
              </w:rPr>
              <w:t>Name</w:t>
            </w:r>
          </w:p>
        </w:tc>
        <w:tc>
          <w:tcPr>
            <w:tcW w:w="1980" w:type="dxa"/>
            <w:vAlign w:val="bottom"/>
          </w:tcPr>
          <w:p>
            <w:pPr>
              <w:spacing w:after="0"/>
              <w:rPr>
                <w:sz w:val="19"/>
                <w:szCs w:val="19"/>
                <w:color w:val="auto"/>
              </w:rPr>
            </w:pPr>
          </w:p>
        </w:tc>
        <w:tc>
          <w:tcPr>
            <w:tcW w:w="2220" w:type="dxa"/>
            <w:vAlign w:val="bottom"/>
            <w:tcBorders>
              <w:bottom w:val="single" w:sz="8" w:color="auto"/>
            </w:tcBorders>
          </w:tcPr>
          <w:p>
            <w:pPr>
              <w:jc w:val="right"/>
              <w:ind w:right="232"/>
              <w:spacing w:after="0" w:line="224" w:lineRule="exact"/>
              <w:rPr>
                <w:sz w:val="20"/>
                <w:szCs w:val="20"/>
                <w:color w:val="auto"/>
              </w:rPr>
            </w:pPr>
            <w:r>
              <w:rPr>
                <w:rFonts w:ascii="Arial" w:cs="Arial" w:eastAsia="Arial" w:hAnsi="Arial"/>
                <w:sz w:val="22"/>
                <w:szCs w:val="22"/>
                <w:color w:val="auto"/>
              </w:rPr>
              <w:t>Number of Shares</w:t>
            </w:r>
          </w:p>
        </w:tc>
        <w:tc>
          <w:tcPr>
            <w:tcW w:w="1780" w:type="dxa"/>
            <w:vAlign w:val="bottom"/>
          </w:tcPr>
          <w:p>
            <w:pPr>
              <w:spacing w:after="0"/>
              <w:rPr>
                <w:sz w:val="19"/>
                <w:szCs w:val="19"/>
                <w:color w:val="auto"/>
              </w:rPr>
            </w:pPr>
          </w:p>
        </w:tc>
        <w:tc>
          <w:tcPr>
            <w:tcW w:w="1740" w:type="dxa"/>
            <w:vAlign w:val="bottom"/>
            <w:tcBorders>
              <w:bottom w:val="single" w:sz="8" w:color="auto"/>
            </w:tcBorders>
          </w:tcPr>
          <w:p>
            <w:pPr>
              <w:ind w:left="160"/>
              <w:spacing w:after="0" w:line="224" w:lineRule="exact"/>
              <w:rPr>
                <w:sz w:val="20"/>
                <w:szCs w:val="20"/>
                <w:color w:val="auto"/>
              </w:rPr>
            </w:pPr>
            <w:r>
              <w:rPr>
                <w:rFonts w:ascii="Arial" w:cs="Arial" w:eastAsia="Arial" w:hAnsi="Arial"/>
                <w:sz w:val="22"/>
                <w:szCs w:val="22"/>
                <w:color w:val="auto"/>
              </w:rPr>
              <w:t>Outstanding (1)</w:t>
            </w:r>
          </w:p>
        </w:tc>
      </w:tr>
      <w:tr>
        <w:trPr>
          <w:trHeight w:val="485"/>
        </w:trPr>
        <w:tc>
          <w:tcPr>
            <w:tcW w:w="4680" w:type="dxa"/>
            <w:vAlign w:val="bottom"/>
            <w:gridSpan w:val="3"/>
          </w:tcPr>
          <w:p>
            <w:pPr>
              <w:spacing w:after="0"/>
              <w:rPr>
                <w:sz w:val="20"/>
                <w:szCs w:val="20"/>
                <w:color w:val="auto"/>
              </w:rPr>
            </w:pPr>
            <w:r>
              <w:rPr>
                <w:rFonts w:ascii="Arial" w:cs="Arial" w:eastAsia="Arial" w:hAnsi="Arial"/>
                <w:sz w:val="22"/>
                <w:szCs w:val="22"/>
                <w:color w:val="auto"/>
              </w:rPr>
              <w:t>Four Partners</w:t>
            </w:r>
          </w:p>
        </w:tc>
        <w:tc>
          <w:tcPr>
            <w:tcW w:w="2220" w:type="dxa"/>
            <w:vAlign w:val="bottom"/>
          </w:tcPr>
          <w:p>
            <w:pPr>
              <w:jc w:val="right"/>
              <w:ind w:right="612"/>
              <w:spacing w:after="0"/>
              <w:rPr>
                <w:sz w:val="20"/>
                <w:szCs w:val="20"/>
                <w:color w:val="auto"/>
              </w:rPr>
            </w:pPr>
            <w:r>
              <w:rPr>
                <w:rFonts w:ascii="Arial" w:cs="Arial" w:eastAsia="Arial" w:hAnsi="Arial"/>
                <w:sz w:val="22"/>
                <w:szCs w:val="22"/>
                <w:color w:val="auto"/>
              </w:rPr>
              <w:t>528,050</w:t>
            </w:r>
          </w:p>
        </w:tc>
        <w:tc>
          <w:tcPr>
            <w:tcW w:w="3520" w:type="dxa"/>
            <w:vAlign w:val="bottom"/>
            <w:gridSpan w:val="2"/>
          </w:tcPr>
          <w:p>
            <w:pPr>
              <w:jc w:val="right"/>
              <w:ind w:right="312"/>
              <w:spacing w:after="0"/>
              <w:rPr>
                <w:sz w:val="20"/>
                <w:szCs w:val="20"/>
                <w:color w:val="auto"/>
              </w:rPr>
            </w:pPr>
            <w:r>
              <w:rPr>
                <w:rFonts w:ascii="Arial" w:cs="Arial" w:eastAsia="Arial" w:hAnsi="Arial"/>
                <w:sz w:val="22"/>
                <w:szCs w:val="22"/>
                <w:color w:val="auto"/>
              </w:rPr>
              <w:t>1.1%</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Andrew H. Tisch (2)</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119,636</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0.2%</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Daniel R. Tisch (2)</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119,636</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0.2%</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James S. Tisch (2)</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119,603</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0.2%</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Thomas J. Tisch (2)</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119,636</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0.2%</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Baker/Tisch Investments, L.P.</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145,292</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0.3%</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Bros. Investments, L.P.</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75,560</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0.2%</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Bros. Investments II, L.P.</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90,624</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0.2%</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Biotech Fund I, L.P.</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477,703</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1.0%</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Biotech Fund II, L.P.</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705,829</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1.4%</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FBB Associates</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9,353</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0.0%</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Julian C. Baker</w:t>
            </w:r>
          </w:p>
        </w:tc>
        <w:tc>
          <w:tcPr>
            <w:tcW w:w="222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3,400</w:t>
            </w:r>
          </w:p>
        </w:tc>
        <w:tc>
          <w:tcPr>
            <w:tcW w:w="352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0.0%</w:t>
            </w:r>
          </w:p>
        </w:tc>
      </w:tr>
      <w:tr>
        <w:trPr>
          <w:trHeight w:val="275"/>
        </w:trPr>
        <w:tc>
          <w:tcPr>
            <w:tcW w:w="4680" w:type="dxa"/>
            <w:vAlign w:val="bottom"/>
            <w:gridSpan w:val="3"/>
          </w:tcPr>
          <w:p>
            <w:pPr>
              <w:spacing w:after="0"/>
              <w:rPr>
                <w:sz w:val="20"/>
                <w:szCs w:val="20"/>
                <w:color w:val="auto"/>
              </w:rPr>
            </w:pPr>
            <w:r>
              <w:rPr>
                <w:rFonts w:ascii="Arial" w:cs="Arial" w:eastAsia="Arial" w:hAnsi="Arial"/>
                <w:sz w:val="22"/>
                <w:szCs w:val="22"/>
                <w:color w:val="auto"/>
              </w:rPr>
              <w:t>Felix J. Baker</w:t>
            </w:r>
          </w:p>
        </w:tc>
        <w:tc>
          <w:tcPr>
            <w:tcW w:w="2220" w:type="dxa"/>
            <w:vAlign w:val="bottom"/>
          </w:tcPr>
          <w:p>
            <w:pPr>
              <w:jc w:val="right"/>
              <w:ind w:right="612"/>
              <w:spacing w:after="0"/>
              <w:rPr>
                <w:sz w:val="20"/>
                <w:szCs w:val="20"/>
                <w:color w:val="auto"/>
              </w:rPr>
            </w:pPr>
            <w:r>
              <w:rPr>
                <w:rFonts w:ascii="Arial" w:cs="Arial" w:eastAsia="Arial" w:hAnsi="Arial"/>
                <w:sz w:val="22"/>
                <w:szCs w:val="22"/>
                <w:color w:val="auto"/>
              </w:rPr>
              <w:t>250</w:t>
            </w:r>
          </w:p>
        </w:tc>
        <w:tc>
          <w:tcPr>
            <w:tcW w:w="3520" w:type="dxa"/>
            <w:vAlign w:val="bottom"/>
            <w:gridSpan w:val="2"/>
          </w:tcPr>
          <w:p>
            <w:pPr>
              <w:jc w:val="right"/>
              <w:ind w:right="312"/>
              <w:spacing w:after="0"/>
              <w:rPr>
                <w:sz w:val="20"/>
                <w:szCs w:val="20"/>
                <w:color w:val="auto"/>
              </w:rPr>
            </w:pPr>
            <w:r>
              <w:rPr>
                <w:rFonts w:ascii="Arial" w:cs="Arial" w:eastAsia="Arial" w:hAnsi="Arial"/>
                <w:sz w:val="22"/>
                <w:szCs w:val="22"/>
                <w:color w:val="auto"/>
              </w:rPr>
              <w:t>0.0%</w:t>
            </w:r>
          </w:p>
        </w:tc>
      </w:tr>
    </w:tbl>
    <w:p>
      <w:pPr>
        <w:sectPr>
          <w:pgSz w:w="11900" w:h="16853" w:orient="portrait"/>
          <w:cols w:equalWidth="0" w:num="1">
            <w:col w:w="11300"/>
          </w:cols>
          <w:pgMar w:left="240" w:top="118" w:right="359" w:bottom="0" w:gutter="0" w:footer="0" w:header="0"/>
        </w:sectPr>
      </w:pPr>
    </w:p>
    <w:bookmarkStart w:id="6" w:name="page7"/>
    <w:bookmarkEnd w:id="6"/>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Total</w:t>
            </w:r>
          </w:p>
        </w:tc>
        <w:tc>
          <w:tcPr>
            <w:tcW w:w="4740" w:type="dxa"/>
            <w:vAlign w:val="bottom"/>
          </w:tcPr>
          <w:p>
            <w:pPr>
              <w:jc w:val="right"/>
              <w:ind w:right="1552"/>
              <w:spacing w:after="0"/>
              <w:rPr>
                <w:sz w:val="20"/>
                <w:szCs w:val="20"/>
                <w:color w:val="auto"/>
              </w:rPr>
            </w:pPr>
            <w:r>
              <w:rPr>
                <w:rFonts w:ascii="Arial" w:cs="Arial" w:eastAsia="Arial" w:hAnsi="Arial"/>
                <w:sz w:val="22"/>
                <w:szCs w:val="22"/>
                <w:color w:val="auto"/>
              </w:rPr>
              <w:t>2,514,572</w:t>
            </w:r>
          </w:p>
        </w:tc>
        <w:tc>
          <w:tcPr>
            <w:tcW w:w="2200" w:type="dxa"/>
            <w:vAlign w:val="bottom"/>
          </w:tcPr>
          <w:p>
            <w:pPr>
              <w:jc w:val="right"/>
              <w:spacing w:after="0"/>
              <w:rPr>
                <w:sz w:val="20"/>
                <w:szCs w:val="20"/>
                <w:color w:val="auto"/>
              </w:rPr>
            </w:pPr>
            <w:r>
              <w:rPr>
                <w:rFonts w:ascii="Arial" w:cs="Arial" w:eastAsia="Arial" w:hAnsi="Arial"/>
                <w:sz w:val="22"/>
                <w:szCs w:val="22"/>
                <w:color w:val="auto"/>
              </w:rPr>
              <w:t>4.95%</w:t>
            </w:r>
          </w:p>
        </w:tc>
      </w:tr>
    </w:tbl>
    <w:p>
      <w:pPr>
        <w:spacing w:after="0" w:line="212" w:lineRule="exact"/>
        <w:rPr>
          <w:sz w:val="20"/>
          <w:szCs w:val="20"/>
          <w:color w:val="auto"/>
        </w:rPr>
      </w:pPr>
    </w:p>
    <w:p>
      <w:pPr>
        <w:ind w:left="580" w:right="12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percentages set forth in the table above are based on 49,711,020 shares of Common Stock outstanding at July 31, 2003, as reported in the Form 10-Q of the Issuer for the quarter ended June 30, 2003, and on a conversion price of $30.25 for the Convertible Senior Subordinated Notes.</w:t>
      </w:r>
    </w:p>
    <w:p>
      <w:pPr>
        <w:spacing w:after="0" w:line="213" w:lineRule="exact"/>
        <w:rPr>
          <w:rFonts w:ascii="Arial" w:cs="Arial" w:eastAsia="Arial" w:hAnsi="Arial"/>
          <w:sz w:val="22"/>
          <w:szCs w:val="22"/>
          <w:color w:val="auto"/>
        </w:rPr>
      </w:pPr>
    </w:p>
    <w:p>
      <w:pPr>
        <w:ind w:left="580" w:right="560" w:hanging="572"/>
        <w:spacing w:after="0" w:line="251" w:lineRule="auto"/>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shares held by a trust in which the Reporting Person is the trustee or beneficiary and has voting or investment control over the shares of Common Stock held by such trust.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10 of 13 pages</w:t>
      </w:r>
    </w:p>
    <w:p>
      <w:pPr>
        <w:spacing w:after="0" w:line="206" w:lineRule="exact"/>
        <w:rPr>
          <w:sz w:val="20"/>
          <w:szCs w:val="20"/>
          <w:color w:val="auto"/>
        </w:rPr>
      </w:pPr>
    </w:p>
    <w:p>
      <w:pPr>
        <w:jc w:val="center"/>
        <w:ind w:left="300"/>
        <w:spacing w:after="0"/>
        <w:rPr>
          <w:sz w:val="20"/>
          <w:szCs w:val="20"/>
          <w:color w:val="auto"/>
        </w:rPr>
      </w:pPr>
      <w:r>
        <w:rPr>
          <w:rFonts w:ascii="Arial" w:cs="Arial" w:eastAsia="Arial" w:hAnsi="Arial"/>
          <w:sz w:val="21"/>
          <w:szCs w:val="21"/>
          <w:color w:val="auto"/>
        </w:rPr>
        <w:t>The following persons may be regarded as beneficial owners of the shares listed above for the reasons listed below:</w:t>
      </w:r>
    </w:p>
    <w:p>
      <w:pPr>
        <w:spacing w:after="0" w:line="218" w:lineRule="exact"/>
        <w:rPr>
          <w:sz w:val="20"/>
          <w:szCs w:val="20"/>
          <w:color w:val="auto"/>
        </w:rPr>
      </w:pPr>
    </w:p>
    <w:p>
      <w:pPr>
        <w:ind w:left="1840" w:hanging="576"/>
        <w:spacing w:after="0" w:line="287" w:lineRule="auto"/>
        <w:tabs>
          <w:tab w:leader="none" w:pos="18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By virtue of their status as managing trustees of the trusts which are the general partners of Four Partners, a New York general partnership, Andrew H. Tisch, Daniel R. Tisch, James S. Tisch and Thomas J. Tisch may be deemed to have shared beneficial ownership of securities owned by Four Partners and shared power to vote or direct the vote of and to dispose or direct the disposition of such securities.</w:t>
      </w:r>
    </w:p>
    <w:p>
      <w:pPr>
        <w:spacing w:after="0" w:line="170" w:lineRule="exact"/>
        <w:rPr>
          <w:rFonts w:ascii="Arial" w:cs="Arial" w:eastAsia="Arial" w:hAnsi="Arial"/>
          <w:sz w:val="19"/>
          <w:szCs w:val="19"/>
          <w:color w:val="auto"/>
        </w:rPr>
      </w:pPr>
    </w:p>
    <w:p>
      <w:pPr>
        <w:ind w:left="1840" w:hanging="576"/>
        <w:spacing w:after="0"/>
        <w:tabs>
          <w:tab w:leader="none" w:pos="18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By virtue of his status as manager of Four Partners, Thomas J. Tisch may be deemed to have power to vote or direct the vote of securities owned by Four Partners and power to dispose or direct the disposition of securities owned by Four Partners.</w:t>
      </w:r>
    </w:p>
    <w:p>
      <w:pPr>
        <w:spacing w:after="0" w:line="213" w:lineRule="exact"/>
        <w:rPr>
          <w:rFonts w:ascii="Arial" w:cs="Arial" w:eastAsia="Arial" w:hAnsi="Arial"/>
          <w:sz w:val="22"/>
          <w:szCs w:val="22"/>
          <w:color w:val="auto"/>
        </w:rPr>
      </w:pPr>
    </w:p>
    <w:p>
      <w:pPr>
        <w:ind w:left="1840" w:right="60" w:hanging="576"/>
        <w:spacing w:after="0" w:line="275" w:lineRule="auto"/>
        <w:tabs>
          <w:tab w:leader="none" w:pos="18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Julian C. Baker and Felix J. Baker, by virtue of their ownership of entities that have the power to control the investment decisions of Baker/Tisch Investments, L.P., Baker Bros. Investments, L.P., Baker Bros. Investments II, L.P., Baker Biotech Fund I, L.P., and Baker Biotech Fund II, L.P., may each be deemed to be beneficial owners of securities owned by such entities and may each be deemed to have shared power to vote or direct the vote and to dispose or direct the disposition of such securities. Julian C. Baker and Felix J. Baker are also the sole partners of FBB Associates, a general partnership, and as such may each be deemed to be beneficial owners of securities owned by FBB Associates and to have shared power to vote or direct the vote and to dispose or direct the disposition of such securities.</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right="720" w:firstLine="864"/>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jc w:val="both"/>
        <w:ind w:left="1160" w:right="4020" w:hanging="1147"/>
        <w:spacing w:after="0" w:line="243" w:lineRule="auto"/>
        <w:tabs>
          <w:tab w:leader="none" w:pos="11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Page 11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2" w:lineRule="exact"/>
        <w:rPr>
          <w:sz w:val="20"/>
          <w:szCs w:val="20"/>
          <w:color w:val="auto"/>
        </w:rPr>
      </w:pPr>
    </w:p>
    <w:p>
      <w:pPr>
        <w:ind w:right="40" w:firstLine="864"/>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60" w:firstLine="864"/>
        <w:spacing w:after="0" w:line="251" w:lineRule="auto"/>
        <w:rPr>
          <w:sz w:val="20"/>
          <w:szCs w:val="20"/>
          <w:color w:val="auto"/>
        </w:rPr>
      </w:pPr>
      <w:r>
        <w:rPr>
          <w:rFonts w:ascii="Arial" w:cs="Arial" w:eastAsia="Arial" w:hAnsi="Arial"/>
          <w:sz w:val="22"/>
          <w:szCs w:val="22"/>
          <w:color w:val="auto"/>
        </w:rPr>
        <w:t>After reasonable inquiry and to the best of my knowledge and belief, I hereby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2003</w:t>
      </w:r>
    </w:p>
    <w:p>
      <w:pPr>
        <w:sectPr>
          <w:pgSz w:w="11900" w:h="16859" w:orient="portrait"/>
          <w:cols w:equalWidth="0" w:num="1">
            <w:col w:w="11400"/>
          </w:cols>
          <w:pgMar w:left="240" w:top="361" w:right="259" w:bottom="0" w:gutter="0" w:footer="0" w:header="0"/>
        </w:sectPr>
      </w:pPr>
    </w:p>
    <w:bookmarkStart w:id="7" w:name="page8"/>
    <w:bookmarkEnd w:id="7"/>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Page 12 of 13 pages</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AGREEMENT</w:t>
      </w:r>
    </w:p>
    <w:p>
      <w:pPr>
        <w:spacing w:after="0" w:line="206" w:lineRule="exact"/>
        <w:rPr>
          <w:sz w:val="20"/>
          <w:szCs w:val="20"/>
          <w:color w:val="auto"/>
        </w:rPr>
      </w:pPr>
    </w:p>
    <w:p>
      <w:pPr>
        <w:ind w:firstLine="864"/>
        <w:spacing w:after="0" w:line="297" w:lineRule="auto"/>
        <w:rPr>
          <w:sz w:val="20"/>
          <w:szCs w:val="20"/>
          <w:color w:val="auto"/>
        </w:rPr>
      </w:pPr>
      <w:r>
        <w:rPr>
          <w:rFonts w:ascii="Arial" w:cs="Arial" w:eastAsia="Arial" w:hAnsi="Arial"/>
          <w:sz w:val="19"/>
          <w:szCs w:val="19"/>
          <w:color w:val="auto"/>
        </w:rPr>
        <w:t>In accordance with Rule 13d-1(k)(1) under the Securities Exchange Act of 1934, as amended, the undersigned hereby agree that this Statement on Schedule 13G relating to the Common Stock, $0.001 par value per share, of Regeneron Pharmaceuticals, Inc., is being filed with the Securities and Exchange Commission on behalf of each of them.</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2003</w:t>
      </w: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ectPr>
          <w:pgSz w:w="11900" w:h="16838" w:orient="portrait"/>
          <w:cols w:equalWidth="0" w:num="1">
            <w:col w:w="11040"/>
          </w:cols>
          <w:pgMar w:left="240" w:top="118" w:right="619" w:bottom="0" w:gutter="0" w:footer="0" w:header="0"/>
        </w:sectPr>
      </w:pPr>
    </w:p>
    <w:bookmarkStart w:id="8" w:name="page9"/>
    <w:bookmarkEnd w:id="8"/>
    <w:p>
      <w:pPr>
        <w:jc w:val="right"/>
        <w:ind w:right="3039"/>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13 pages</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4"/>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4"/>
      <w:numFmt w:val="bullet"/>
      <w:start w:val="1"/>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2019-12-19T23:30:30Z</dcterms:created>
  <dcterms:modified xsi:type="dcterms:W3CDTF">2019-12-19T23:30:30Z</dcterms:modified>
</cp:coreProperties>
</file>