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6,760,000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6,760,000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12.563%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6,760,000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6,760,000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12.563%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6,760,000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12.563%</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6,760,000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5,381,000 shares or 10.000% of the total outstanding Common Stock at December 31, 2005.</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ectPr>
          <w:pgSz w:w="11900" w:h="16838" w:orient="portrait"/>
          <w:cols w:equalWidth="0" w:num="1">
            <w:col w:w="10219"/>
          </w:cols>
          <w:pgMar w:left="240" w:top="136" w:right="1440" w:bottom="134"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6,760,000 shares or 12.563%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5,381,000 shares or</w:t>
      </w:r>
    </w:p>
    <w:p>
      <w:pPr>
        <w:ind w:right="4319"/>
        <w:spacing w:after="0" w:line="236" w:lineRule="auto"/>
        <w:rPr>
          <w:sz w:val="20"/>
          <w:szCs w:val="20"/>
          <w:color w:val="auto"/>
        </w:rPr>
      </w:pPr>
      <w:r>
        <w:rPr>
          <w:rFonts w:ascii="Courier New" w:cs="Courier New" w:eastAsia="Courier New" w:hAnsi="Courier New"/>
          <w:sz w:val="18"/>
          <w:szCs w:val="18"/>
          <w:color w:val="auto"/>
        </w:rPr>
        <w:t>10.000%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6,760,000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2006, agree and consent to the joint filing on their behalf of this Schedule 13G in connection with their beneficial ownership of the Common Stock of Regeneron Pharmaceuticals Incorporated at December 31, 2005.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Senior V.P. and General Counsel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2019-12-19T21:24:02Z</dcterms:created>
  <dcterms:modified xsi:type="dcterms:W3CDTF">2019-12-19T21:24:02Z</dcterms:modified>
</cp:coreProperties>
</file>