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7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UNITED STATES</w:t>
      </w:r>
    </w:p>
    <w:p>
      <w:pPr>
        <w:jc w:val="center"/>
        <w:ind w:right="317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0"/>
        <w:spacing w:after="0"/>
        <w:rPr>
          <w:sz w:val="20"/>
          <w:szCs w:val="20"/>
          <w:color w:val="auto"/>
        </w:rPr>
      </w:pPr>
      <w:r>
        <w:rPr>
          <w:rFonts w:ascii="Courier New" w:cs="Courier New" w:eastAsia="Courier New" w:hAnsi="Courier New"/>
          <w:sz w:val="15"/>
          <w:szCs w:val="15"/>
          <w:color w:val="auto"/>
        </w:rPr>
        <w:t>Washington, D.C. 20549</w:t>
      </w:r>
    </w:p>
    <w:p>
      <w:pPr>
        <w:spacing w:after="0" w:line="168" w:lineRule="exact"/>
        <w:rPr>
          <w:sz w:val="24"/>
          <w:szCs w:val="24"/>
          <w:color w:val="auto"/>
        </w:rPr>
      </w:pPr>
    </w:p>
    <w:p>
      <w:pPr>
        <w:ind w:left="3170"/>
        <w:spacing w:after="0"/>
        <w:rPr>
          <w:sz w:val="20"/>
          <w:szCs w:val="20"/>
          <w:color w:val="auto"/>
        </w:rPr>
      </w:pPr>
      <w:r>
        <w:rPr>
          <w:rFonts w:ascii="Courier New" w:cs="Courier New" w:eastAsia="Courier New" w:hAnsi="Courier New"/>
          <w:sz w:val="15"/>
          <w:szCs w:val="15"/>
          <w:color w:val="auto"/>
        </w:rPr>
        <w:t>Form 10-Q</w:t>
      </w:r>
    </w:p>
    <w:p>
      <w:pPr>
        <w:spacing w:after="0" w:line="169" w:lineRule="exact"/>
        <w:rPr>
          <w:sz w:val="24"/>
          <w:szCs w:val="24"/>
          <w:color w:val="auto"/>
        </w:rPr>
      </w:pPr>
    </w:p>
    <w:p>
      <w:pPr>
        <w:ind w:left="790"/>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790" w:right="3619" w:hanging="790"/>
        <w:spacing w:after="0" w:line="235" w:lineRule="auto"/>
        <w:tabs>
          <w:tab w:leader="none" w:pos="79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ectPr>
          <w:pgSz w:w="11900" w:h="16838" w:orient="portrait"/>
          <w:cols w:equalWidth="0" w:num="1">
            <w:col w:w="10229"/>
          </w:cols>
          <w:pgMar w:left="230" w:top="887" w:right="1440" w:bottom="1440" w:gutter="0" w:footer="0" w:header="0"/>
        </w:sectPr>
      </w:pPr>
    </w:p>
    <w:p>
      <w:pPr>
        <w:spacing w:after="0" w:line="176" w:lineRule="exact"/>
        <w:rPr>
          <w:sz w:val="24"/>
          <w:szCs w:val="24"/>
          <w:color w:val="auto"/>
        </w:rPr>
      </w:pPr>
    </w:p>
    <w:p>
      <w:pPr>
        <w:ind w:left="790"/>
        <w:spacing w:after="0"/>
        <w:rPr>
          <w:sz w:val="20"/>
          <w:szCs w:val="20"/>
          <w:color w:val="auto"/>
        </w:rPr>
      </w:pPr>
      <w:r>
        <w:rPr>
          <w:rFonts w:ascii="Courier New" w:cs="Courier New" w:eastAsia="Courier New" w:hAnsi="Courier New"/>
          <w:sz w:val="14"/>
          <w:szCs w:val="14"/>
          <w:color w:val="auto"/>
        </w:rPr>
        <w:t>For the quarterly period ended</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ind w:left="780"/>
        <w:spacing w:after="0"/>
        <w:rPr>
          <w:sz w:val="20"/>
          <w:szCs w:val="20"/>
          <w:color w:val="auto"/>
        </w:rPr>
      </w:pPr>
      <w:r>
        <w:rPr>
          <w:rFonts w:ascii="Courier New" w:cs="Courier New" w:eastAsia="Courier New" w:hAnsi="Courier New"/>
          <w:sz w:val="15"/>
          <w:szCs w:val="15"/>
          <w:color w:val="auto"/>
        </w:rPr>
        <w:t>June 30, 1999</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ectPr>
          <w:pgSz w:w="11900" w:h="16838" w:orient="portrait"/>
          <w:cols w:equalWidth="0" w:num="2">
            <w:col w:w="3430" w:space="100"/>
            <w:col w:w="6699"/>
          </w:cols>
          <w:pgMar w:left="230" w:top="887" w:right="1440" w:bottom="1440" w:gutter="0" w:footer="0" w:header="0"/>
          <w:type w:val="continuous"/>
        </w:sectPr>
      </w:pPr>
    </w:p>
    <w:p>
      <w:pPr>
        <w:ind w:left="3430"/>
        <w:spacing w:after="0"/>
        <w:rPr>
          <w:sz w:val="20"/>
          <w:szCs w:val="20"/>
          <w:color w:val="auto"/>
        </w:rPr>
      </w:pPr>
      <w:r>
        <w:rPr>
          <w:rFonts w:ascii="Courier New" w:cs="Courier New" w:eastAsia="Courier New" w:hAnsi="Courier New"/>
          <w:sz w:val="15"/>
          <w:szCs w:val="15"/>
          <w:color w:val="auto"/>
        </w:rPr>
        <w:t>OR</w:t>
      </w:r>
    </w:p>
    <w:p>
      <w:pPr>
        <w:spacing w:after="0" w:line="175" w:lineRule="exact"/>
        <w:rPr>
          <w:sz w:val="24"/>
          <w:szCs w:val="24"/>
          <w:color w:val="auto"/>
        </w:rPr>
      </w:pPr>
    </w:p>
    <w:p>
      <w:pPr>
        <w:ind w:left="790" w:right="3539" w:hanging="790"/>
        <w:spacing w:after="0" w:line="235" w:lineRule="auto"/>
        <w:tabs>
          <w:tab w:leader="none" w:pos="26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70" w:lineRule="exact"/>
        <w:rPr>
          <w:sz w:val="24"/>
          <w:szCs w:val="24"/>
          <w:color w:val="auto"/>
        </w:rPr>
      </w:pPr>
    </w:p>
    <w:p>
      <w:pPr>
        <w:ind w:left="790"/>
        <w:spacing w:after="0"/>
        <w:tabs>
          <w:tab w:leader="none" w:pos="4909" w:val="left"/>
        </w:tabs>
        <w:rPr>
          <w:sz w:val="20"/>
          <w:szCs w:val="20"/>
          <w:color w:val="auto"/>
        </w:rPr>
      </w:pPr>
      <w:r>
        <w:rPr>
          <w:rFonts w:ascii="Courier New" w:cs="Courier New" w:eastAsia="Courier New" w:hAnsi="Courier New"/>
          <w:sz w:val="15"/>
          <w:szCs w:val="15"/>
          <w:color w:val="auto"/>
        </w:rPr>
        <w:t>For the transition period from ______________</w:t>
      </w:r>
      <w:r>
        <w:rPr>
          <w:sz w:val="20"/>
          <w:szCs w:val="20"/>
          <w:color w:val="auto"/>
        </w:rPr>
        <w:tab/>
      </w:r>
      <w:r>
        <w:rPr>
          <w:rFonts w:ascii="Courier New" w:cs="Courier New" w:eastAsia="Courier New" w:hAnsi="Courier New"/>
          <w:sz w:val="14"/>
          <w:szCs w:val="14"/>
          <w:color w:val="auto"/>
        </w:rPr>
        <w:t>to __________________</w:t>
      </w:r>
    </w:p>
    <w:p>
      <w:pPr>
        <w:spacing w:after="0" w:line="169" w:lineRule="exact"/>
        <w:rPr>
          <w:sz w:val="24"/>
          <w:szCs w:val="24"/>
          <w:color w:val="auto"/>
        </w:rPr>
      </w:pPr>
    </w:p>
    <w:tbl>
      <w:tblPr>
        <w:tblLayout w:type="fixed"/>
        <w:tblInd w:w="790" w:type="dxa"/>
        <w:tblCellMar>
          <w:top w:w="0" w:type="dxa"/>
          <w:left w:w="0" w:type="dxa"/>
          <w:bottom w:w="0" w:type="dxa"/>
          <w:right w:w="0" w:type="dxa"/>
        </w:tblCellMar>
      </w:tblP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Commission File Number</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0-19034</w:t>
            </w:r>
          </w:p>
        </w:tc>
      </w:tr>
    </w:tbl>
    <w:p>
      <w:pPr>
        <w:spacing w:after="0" w:line="169"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REGENERON PHARMACEUTICALS, INC.</w:t>
      </w:r>
    </w:p>
    <w:p>
      <w:pPr>
        <w:ind w:left="1150"/>
        <w:spacing w:after="0"/>
        <w:rPr>
          <w:sz w:val="20"/>
          <w:szCs w:val="20"/>
          <w:color w:val="auto"/>
        </w:rPr>
      </w:pPr>
      <w:r>
        <w:rPr>
          <w:rFonts w:ascii="Courier New" w:cs="Courier New" w:eastAsia="Courier New" w:hAnsi="Courier New"/>
          <w:sz w:val="15"/>
          <w:szCs w:val="15"/>
          <w:color w:val="auto"/>
        </w:rPr>
        <w:t>------------------------------------------------------</w:t>
      </w:r>
    </w:p>
    <w:p>
      <w:pPr>
        <w:ind w:left="115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9"/>
          </w:cols>
          <w:pgMar w:left="230" w:top="887" w:right="1440" w:bottom="1440" w:gutter="0" w:footer="0" w:header="0"/>
          <w:type w:val="continuous"/>
        </w:sectPr>
      </w:pPr>
    </w:p>
    <w:p>
      <w:pPr>
        <w:spacing w:after="0" w:line="168" w:lineRule="exact"/>
        <w:rPr>
          <w:sz w:val="24"/>
          <w:szCs w:val="24"/>
          <w:color w:val="auto"/>
        </w:rPr>
      </w:pPr>
    </w:p>
    <w:p>
      <w:pPr>
        <w:ind w:left="1230"/>
        <w:spacing w:after="0"/>
        <w:rPr>
          <w:sz w:val="20"/>
          <w:szCs w:val="20"/>
          <w:color w:val="auto"/>
        </w:rPr>
      </w:pPr>
      <w:r>
        <w:rPr>
          <w:rFonts w:ascii="Courier New" w:cs="Courier New" w:eastAsia="Courier New" w:hAnsi="Courier New"/>
          <w:sz w:val="15"/>
          <w:szCs w:val="15"/>
          <w:color w:val="auto"/>
        </w:rPr>
        <w:t>New York</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(State or other jurisdiction of</w:t>
      </w:r>
    </w:p>
    <w:p>
      <w:pPr>
        <w:ind w:left="1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13-3444607</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338" w:lineRule="exact"/>
        <w:rPr>
          <w:sz w:val="24"/>
          <w:szCs w:val="24"/>
          <w:color w:val="auto"/>
        </w:rPr>
      </w:pPr>
    </w:p>
    <w:p>
      <w:pPr>
        <w:sectPr>
          <w:pgSz w:w="11900" w:h="16838" w:orient="portrait"/>
          <w:cols w:equalWidth="0" w:num="2">
            <w:col w:w="3150" w:space="720"/>
            <w:col w:w="6359"/>
          </w:cols>
          <w:pgMar w:left="230" w:top="887" w:right="1440" w:bottom="1440" w:gutter="0" w:footer="0" w:header="0"/>
          <w:type w:val="continuous"/>
        </w:sectPr>
      </w:pPr>
    </w:p>
    <w:p>
      <w:pPr>
        <w:ind w:left="350"/>
        <w:spacing w:after="0"/>
        <w:rPr>
          <w:sz w:val="20"/>
          <w:szCs w:val="20"/>
          <w:color w:val="auto"/>
        </w:rPr>
      </w:pPr>
      <w:r>
        <w:rPr>
          <w:rFonts w:ascii="Courier New" w:cs="Courier New" w:eastAsia="Courier New" w:hAnsi="Courier New"/>
          <w:sz w:val="15"/>
          <w:szCs w:val="15"/>
          <w:color w:val="auto"/>
        </w:rPr>
        <w:t>777 Old Saw Mill River Road</w:t>
      </w:r>
    </w:p>
    <w:p>
      <w:pPr>
        <w:ind w:left="790"/>
        <w:spacing w:after="0"/>
        <w:rPr>
          <w:sz w:val="20"/>
          <w:szCs w:val="20"/>
          <w:color w:val="auto"/>
        </w:rPr>
      </w:pPr>
      <w:r>
        <w:rPr>
          <w:rFonts w:ascii="Courier New" w:cs="Courier New" w:eastAsia="Courier New" w:hAnsi="Courier New"/>
          <w:sz w:val="15"/>
          <w:szCs w:val="15"/>
          <w:color w:val="auto"/>
        </w:rPr>
        <w:t>Tarrytown, New York</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10591-6707</w:t>
      </w:r>
    </w:p>
    <w:p>
      <w:pPr>
        <w:spacing w:after="0" w:line="5"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69" w:lineRule="exact"/>
        <w:rPr>
          <w:sz w:val="24"/>
          <w:szCs w:val="24"/>
          <w:color w:val="auto"/>
        </w:rPr>
      </w:pPr>
    </w:p>
    <w:p>
      <w:pPr>
        <w:sectPr>
          <w:pgSz w:w="11900" w:h="16838" w:orient="portrait"/>
          <w:cols w:equalWidth="0" w:num="2">
            <w:col w:w="4930" w:space="720"/>
            <w:col w:w="4579"/>
          </w:cols>
          <w:pgMar w:left="230" w:top="887" w:right="1440" w:bottom="1440" w:gutter="0" w:footer="0" w:header="0"/>
          <w:type w:val="continuous"/>
        </w:sectPr>
      </w:pPr>
    </w:p>
    <w:p>
      <w:pPr>
        <w:jc w:val="center"/>
        <w:ind w:right="3170"/>
        <w:spacing w:after="0"/>
        <w:rPr>
          <w:sz w:val="20"/>
          <w:szCs w:val="20"/>
          <w:color w:val="auto"/>
        </w:rPr>
      </w:pPr>
      <w:r>
        <w:rPr>
          <w:rFonts w:ascii="Courier New" w:cs="Courier New" w:eastAsia="Courier New" w:hAnsi="Courier New"/>
          <w:sz w:val="15"/>
          <w:szCs w:val="15"/>
          <w:color w:val="auto"/>
        </w:rPr>
        <w:t>(914) 347-7000</w:t>
      </w:r>
    </w:p>
    <w:p>
      <w:pPr>
        <w:ind w:left="1230"/>
        <w:spacing w:after="0"/>
        <w:rPr>
          <w:sz w:val="20"/>
          <w:szCs w:val="20"/>
          <w:color w:val="auto"/>
        </w:rPr>
      </w:pPr>
      <w:r>
        <w:rPr>
          <w:rFonts w:ascii="Courier New" w:cs="Courier New" w:eastAsia="Courier New" w:hAnsi="Courier New"/>
          <w:sz w:val="15"/>
          <w:szCs w:val="15"/>
          <w:color w:val="auto"/>
        </w:rPr>
        <w:t>----------------------------------------------------</w:t>
      </w:r>
    </w:p>
    <w:p>
      <w:pPr>
        <w:ind w:left="1230"/>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200" w:lineRule="exact"/>
        <w:rPr>
          <w:sz w:val="24"/>
          <w:szCs w:val="24"/>
          <w:color w:val="auto"/>
        </w:rPr>
      </w:pPr>
    </w:p>
    <w:p>
      <w:pPr>
        <w:spacing w:after="0" w:line="313" w:lineRule="exact"/>
        <w:rPr>
          <w:sz w:val="24"/>
          <w:szCs w:val="24"/>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3" w:lineRule="exact"/>
        <w:rPr>
          <w:sz w:val="24"/>
          <w:szCs w:val="24"/>
          <w:color w:val="auto"/>
        </w:rPr>
      </w:pPr>
    </w:p>
    <w:p>
      <w:pPr>
        <w:ind w:left="2290"/>
        <w:spacing w:after="0"/>
        <w:tabs>
          <w:tab w:leader="none" w:pos="2709" w:val="left"/>
          <w:tab w:leader="none" w:pos="3689" w:val="left"/>
        </w:tabs>
        <w:rPr>
          <w:sz w:val="20"/>
          <w:szCs w:val="20"/>
          <w:color w:val="auto"/>
        </w:rPr>
      </w:pPr>
      <w:r>
        <w:rPr>
          <w:rFonts w:ascii="Courier New" w:cs="Courier New" w:eastAsia="Courier New" w:hAnsi="Courier New"/>
          <w:sz w:val="15"/>
          <w:szCs w:val="15"/>
          <w:color w:val="auto"/>
        </w:rPr>
        <w:t>Yes</w:t>
        <w:tab/>
        <w:t>X</w:t>
      </w:r>
      <w:r>
        <w:rPr>
          <w:sz w:val="20"/>
          <w:szCs w:val="20"/>
          <w:color w:val="auto"/>
        </w:rPr>
        <w:tab/>
      </w:r>
      <w:r>
        <w:rPr>
          <w:rFonts w:ascii="Courier New" w:cs="Courier New" w:eastAsia="Courier New" w:hAnsi="Courier New"/>
          <w:sz w:val="13"/>
          <w:szCs w:val="13"/>
          <w:color w:val="auto"/>
        </w:rPr>
        <w:t>No</w:t>
      </w:r>
    </w:p>
    <w:p>
      <w:pPr>
        <w:ind w:left="3970" w:hanging="1413"/>
        <w:spacing w:after="0"/>
        <w:tabs>
          <w:tab w:leader="none" w:pos="397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4" w:lineRule="exact"/>
        <w:rPr>
          <w:sz w:val="24"/>
          <w:szCs w:val="24"/>
          <w:color w:val="auto"/>
        </w:rPr>
      </w:pPr>
    </w:p>
    <w:p>
      <w:pPr>
        <w:ind w:left="10" w:right="3539"/>
        <w:spacing w:after="0" w:line="235"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July 30, 1999:</w:t>
      </w:r>
    </w:p>
    <w:p>
      <w:pPr>
        <w:sectPr>
          <w:pgSz w:w="11900" w:h="16838" w:orient="portrait"/>
          <w:cols w:equalWidth="0" w:num="1">
            <w:col w:w="10229"/>
          </w:cols>
          <w:pgMar w:left="230" w:top="887" w:right="1440" w:bottom="1440" w:gutter="0" w:footer="0" w:header="0"/>
          <w:type w:val="continuous"/>
        </w:sectPr>
      </w:pPr>
    </w:p>
    <w:p>
      <w:pPr>
        <w:spacing w:after="0" w:line="176" w:lineRule="exact"/>
        <w:rPr>
          <w:sz w:val="24"/>
          <w:szCs w:val="24"/>
          <w:color w:val="auto"/>
        </w:rPr>
      </w:pPr>
    </w:p>
    <w:p>
      <w:pPr>
        <w:ind w:left="450" w:right="1140" w:firstLine="441"/>
        <w:spacing w:after="0" w:line="237" w:lineRule="auto"/>
        <w:rPr>
          <w:sz w:val="20"/>
          <w:szCs w:val="20"/>
          <w:color w:val="auto"/>
        </w:rPr>
      </w:pPr>
      <w:r>
        <w:rPr>
          <w:rFonts w:ascii="Courier New" w:cs="Courier New" w:eastAsia="Courier New" w:hAnsi="Courier New"/>
          <w:sz w:val="15"/>
          <w:szCs w:val="15"/>
          <w:color w:val="auto"/>
        </w:rPr>
        <w:t>Class of Common Stock --------------------- Class A Stock, $0.001 par value Common Stock, $0.001 par value</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Number of Shares</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3,630,273</w:t>
      </w:r>
    </w:p>
    <w:p>
      <w:pPr>
        <w:ind w:left="260"/>
        <w:spacing w:after="0"/>
        <w:rPr>
          <w:sz w:val="20"/>
          <w:szCs w:val="20"/>
          <w:color w:val="auto"/>
        </w:rPr>
      </w:pPr>
      <w:r>
        <w:rPr>
          <w:rFonts w:ascii="Courier New" w:cs="Courier New" w:eastAsia="Courier New" w:hAnsi="Courier New"/>
          <w:sz w:val="15"/>
          <w:szCs w:val="15"/>
          <w:color w:val="auto"/>
        </w:rPr>
        <w:t>27,681,826</w:t>
      </w:r>
    </w:p>
    <w:p>
      <w:pPr>
        <w:spacing w:after="0" w:line="200" w:lineRule="exact"/>
        <w:rPr>
          <w:sz w:val="24"/>
          <w:szCs w:val="24"/>
          <w:color w:val="auto"/>
        </w:rPr>
      </w:pPr>
    </w:p>
    <w:p>
      <w:pPr>
        <w:sectPr>
          <w:pgSz w:w="11900" w:h="16838" w:orient="portrait"/>
          <w:cols w:equalWidth="0" w:num="2">
            <w:col w:w="4310" w:space="720"/>
            <w:col w:w="5199"/>
          </w:cols>
          <w:pgMar w:left="230" w:top="887" w:right="1440" w:bottom="1440" w:gutter="0" w:footer="0" w:header="0"/>
          <w:type w:val="continuous"/>
        </w:sectPr>
      </w:pPr>
    </w:p>
    <w:p>
      <w:pPr>
        <w:spacing w:after="0" w:line="313"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887" w:right="1440" w:bottom="1440" w:gutter="0" w:footer="0" w:header="0"/>
          <w:type w:val="continuous"/>
        </w:sectPr>
      </w:pPr>
    </w:p>
    <w:bookmarkStart w:id="1" w:name="page2"/>
    <w:bookmarkEnd w:id="1"/>
    <w:p>
      <w:pPr>
        <w:jc w:val="center"/>
        <w:ind w:right="3099"/>
        <w:spacing w:after="0"/>
        <w:rPr>
          <w:sz w:val="20"/>
          <w:szCs w:val="20"/>
          <w:color w:val="auto"/>
        </w:rPr>
      </w:pPr>
      <w:r>
        <w:rPr>
          <w:rFonts w:ascii="Courier New" w:cs="Courier New" w:eastAsia="Courier New" w:hAnsi="Courier New"/>
          <w:sz w:val="15"/>
          <w:szCs w:val="15"/>
          <w:color w:val="auto"/>
        </w:rPr>
        <w:t>REGENERON PHARMACEUTICALS, INC.</w:t>
      </w:r>
    </w:p>
    <w:p>
      <w:pPr>
        <w:jc w:val="center"/>
        <w:ind w:right="3099"/>
        <w:spacing w:after="0"/>
        <w:rPr>
          <w:sz w:val="20"/>
          <w:szCs w:val="20"/>
          <w:color w:val="auto"/>
        </w:rPr>
      </w:pPr>
      <w:r>
        <w:rPr>
          <w:rFonts w:ascii="Courier New" w:cs="Courier New" w:eastAsia="Courier New" w:hAnsi="Courier New"/>
          <w:sz w:val="15"/>
          <w:szCs w:val="15"/>
          <w:color w:val="auto"/>
        </w:rPr>
        <w:t>Table of Contents</w:t>
      </w:r>
    </w:p>
    <w:p>
      <w:pPr>
        <w:jc w:val="center"/>
        <w:ind w:right="3099"/>
        <w:spacing w:after="0"/>
        <w:rPr>
          <w:sz w:val="20"/>
          <w:szCs w:val="20"/>
          <w:color w:val="auto"/>
        </w:rPr>
      </w:pPr>
      <w:r>
        <w:rPr>
          <w:rFonts w:ascii="Courier New" w:cs="Courier New" w:eastAsia="Courier New" w:hAnsi="Courier New"/>
          <w:sz w:val="15"/>
          <w:szCs w:val="15"/>
          <w:color w:val="auto"/>
        </w:rPr>
        <w:t>June 30,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w w:val="96"/>
              </w:rPr>
              <w:t>Page Numbers</w:t>
            </w:r>
          </w:p>
        </w:tc>
      </w:tr>
      <w:tr>
        <w:trPr>
          <w:trHeight w:val="170"/>
        </w:trPr>
        <w:tc>
          <w:tcPr>
            <w:tcW w:w="70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70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FINANCIAL INFORMATION</w:t>
            </w:r>
          </w:p>
        </w:tc>
        <w:tc>
          <w:tcPr>
            <w:tcW w:w="1500" w:type="dxa"/>
            <w:vAlign w:val="bottom"/>
          </w:tcPr>
          <w:p>
            <w:pPr>
              <w:spacing w:after="0"/>
              <w:rPr>
                <w:sz w:val="24"/>
                <w:szCs w:val="24"/>
                <w:color w:val="auto"/>
              </w:rPr>
            </w:pPr>
          </w:p>
        </w:tc>
      </w:tr>
      <w:tr>
        <w:trPr>
          <w:trHeight w:val="509"/>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Financial Statements</w:t>
            </w:r>
          </w:p>
        </w:tc>
        <w:tc>
          <w:tcPr>
            <w:tcW w:w="1500" w:type="dxa"/>
            <w:vAlign w:val="bottom"/>
          </w:tcPr>
          <w:p>
            <w:pPr>
              <w:spacing w:after="0"/>
              <w:rPr>
                <w:sz w:val="24"/>
                <w:szCs w:val="24"/>
                <w:color w:val="auto"/>
              </w:rPr>
            </w:pPr>
          </w:p>
        </w:tc>
      </w:tr>
      <w:tr>
        <w:trPr>
          <w:trHeight w:val="339"/>
        </w:trPr>
        <w:tc>
          <w:tcPr>
            <w:tcW w:w="700" w:type="dxa"/>
            <w:vAlign w:val="bottom"/>
          </w:tcPr>
          <w:p>
            <w:pPr>
              <w:spacing w:after="0"/>
              <w:rPr>
                <w:sz w:val="24"/>
                <w:szCs w:val="2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Condensed balance sheets (unaudited) at June 30, 1999</w:t>
            </w:r>
          </w:p>
        </w:tc>
        <w:tc>
          <w:tcPr>
            <w:tcW w:w="1500" w:type="dxa"/>
            <w:vAlign w:val="bottom"/>
          </w:tcPr>
          <w:p>
            <w:pPr>
              <w:spacing w:after="0"/>
              <w:rPr>
                <w:sz w:val="24"/>
                <w:szCs w:val="24"/>
                <w:color w:val="auto"/>
              </w:rPr>
            </w:pPr>
          </w:p>
        </w:tc>
      </w:tr>
      <w:tr>
        <w:trPr>
          <w:trHeight w:val="170"/>
        </w:trPr>
        <w:tc>
          <w:tcPr>
            <w:tcW w:w="70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and December 31, 1998</w:t>
            </w:r>
          </w:p>
        </w:tc>
        <w:tc>
          <w:tcPr>
            <w:tcW w:w="1500" w:type="dxa"/>
            <w:vAlign w:val="bottom"/>
          </w:tcPr>
          <w:p>
            <w:pPr>
              <w:ind w:left="960"/>
              <w:spacing w:after="0"/>
              <w:rPr>
                <w:sz w:val="20"/>
                <w:szCs w:val="20"/>
                <w:color w:val="auto"/>
              </w:rPr>
            </w:pPr>
            <w:r>
              <w:rPr>
                <w:rFonts w:ascii="Courier New" w:cs="Courier New" w:eastAsia="Courier New" w:hAnsi="Courier New"/>
                <w:sz w:val="15"/>
                <w:szCs w:val="15"/>
                <w:color w:val="auto"/>
              </w:rPr>
              <w:t>3</w:t>
            </w:r>
          </w:p>
        </w:tc>
      </w:tr>
      <w:tr>
        <w:trPr>
          <w:trHeight w:val="339"/>
        </w:trPr>
        <w:tc>
          <w:tcPr>
            <w:tcW w:w="700" w:type="dxa"/>
            <w:vAlign w:val="bottom"/>
          </w:tcPr>
          <w:p>
            <w:pPr>
              <w:spacing w:after="0"/>
              <w:rPr>
                <w:sz w:val="24"/>
                <w:szCs w:val="2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Condensed statements of operations (unaudited) for the three</w:t>
            </w:r>
          </w:p>
        </w:tc>
        <w:tc>
          <w:tcPr>
            <w:tcW w:w="1500" w:type="dxa"/>
            <w:vAlign w:val="bottom"/>
          </w:tcPr>
          <w:p>
            <w:pPr>
              <w:spacing w:after="0"/>
              <w:rPr>
                <w:sz w:val="24"/>
                <w:szCs w:val="24"/>
                <w:color w:val="auto"/>
              </w:rPr>
            </w:pPr>
          </w:p>
        </w:tc>
      </w:tr>
      <w:tr>
        <w:trPr>
          <w:trHeight w:val="170"/>
        </w:trPr>
        <w:tc>
          <w:tcPr>
            <w:tcW w:w="70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months and six months ended June 30, 1999 and 1998</w:t>
            </w:r>
          </w:p>
        </w:tc>
        <w:tc>
          <w:tcPr>
            <w:tcW w:w="1500" w:type="dxa"/>
            <w:vAlign w:val="bottom"/>
          </w:tcPr>
          <w:p>
            <w:pPr>
              <w:ind w:left="960"/>
              <w:spacing w:after="0"/>
              <w:rPr>
                <w:sz w:val="20"/>
                <w:szCs w:val="20"/>
                <w:color w:val="auto"/>
              </w:rPr>
            </w:pPr>
            <w:r>
              <w:rPr>
                <w:rFonts w:ascii="Courier New" w:cs="Courier New" w:eastAsia="Courier New" w:hAnsi="Courier New"/>
                <w:sz w:val="15"/>
                <w:szCs w:val="15"/>
                <w:color w:val="auto"/>
              </w:rPr>
              <w:t>4</w:t>
            </w:r>
          </w:p>
        </w:tc>
      </w:tr>
      <w:tr>
        <w:trPr>
          <w:trHeight w:val="339"/>
        </w:trPr>
        <w:tc>
          <w:tcPr>
            <w:tcW w:w="700" w:type="dxa"/>
            <w:vAlign w:val="bottom"/>
          </w:tcPr>
          <w:p>
            <w:pPr>
              <w:spacing w:after="0"/>
              <w:rPr>
                <w:sz w:val="24"/>
                <w:szCs w:val="2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Condensed statement of stockholders' equity (unaudited) for the</w:t>
            </w:r>
          </w:p>
        </w:tc>
        <w:tc>
          <w:tcPr>
            <w:tcW w:w="1500" w:type="dxa"/>
            <w:vAlign w:val="bottom"/>
          </w:tcPr>
          <w:p>
            <w:pPr>
              <w:spacing w:after="0"/>
              <w:rPr>
                <w:sz w:val="24"/>
                <w:szCs w:val="24"/>
                <w:color w:val="auto"/>
              </w:rPr>
            </w:pPr>
          </w:p>
        </w:tc>
      </w:tr>
      <w:tr>
        <w:trPr>
          <w:trHeight w:val="170"/>
        </w:trPr>
        <w:tc>
          <w:tcPr>
            <w:tcW w:w="70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six months ended June 30, 1999</w:t>
            </w:r>
          </w:p>
        </w:tc>
        <w:tc>
          <w:tcPr>
            <w:tcW w:w="1500" w:type="dxa"/>
            <w:vAlign w:val="bottom"/>
          </w:tcPr>
          <w:p>
            <w:pPr>
              <w:ind w:left="960"/>
              <w:spacing w:after="0"/>
              <w:rPr>
                <w:sz w:val="20"/>
                <w:szCs w:val="20"/>
                <w:color w:val="auto"/>
              </w:rPr>
            </w:pPr>
            <w:r>
              <w:rPr>
                <w:rFonts w:ascii="Courier New" w:cs="Courier New" w:eastAsia="Courier New" w:hAnsi="Courier New"/>
                <w:sz w:val="15"/>
                <w:szCs w:val="15"/>
                <w:color w:val="auto"/>
              </w:rPr>
              <w:t>5</w:t>
            </w:r>
          </w:p>
        </w:tc>
      </w:tr>
      <w:tr>
        <w:trPr>
          <w:trHeight w:val="339"/>
        </w:trPr>
        <w:tc>
          <w:tcPr>
            <w:tcW w:w="700" w:type="dxa"/>
            <w:vAlign w:val="bottom"/>
          </w:tcPr>
          <w:p>
            <w:pPr>
              <w:spacing w:after="0"/>
              <w:rPr>
                <w:sz w:val="24"/>
                <w:szCs w:val="2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Condensed statements of cash flows (unaudited) for the</w:t>
            </w:r>
          </w:p>
        </w:tc>
        <w:tc>
          <w:tcPr>
            <w:tcW w:w="1500" w:type="dxa"/>
            <w:vAlign w:val="bottom"/>
          </w:tcPr>
          <w:p>
            <w:pPr>
              <w:spacing w:after="0"/>
              <w:rPr>
                <w:sz w:val="24"/>
                <w:szCs w:val="24"/>
                <w:color w:val="auto"/>
              </w:rPr>
            </w:pPr>
          </w:p>
        </w:tc>
      </w:tr>
      <w:tr>
        <w:trPr>
          <w:trHeight w:val="170"/>
        </w:trPr>
        <w:tc>
          <w:tcPr>
            <w:tcW w:w="70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six months ended June 30, 1999 and 1998</w:t>
            </w:r>
          </w:p>
        </w:tc>
        <w:tc>
          <w:tcPr>
            <w:tcW w:w="1500" w:type="dxa"/>
            <w:vAlign w:val="bottom"/>
          </w:tcPr>
          <w:p>
            <w:pPr>
              <w:ind w:left="960"/>
              <w:spacing w:after="0"/>
              <w:rPr>
                <w:sz w:val="20"/>
                <w:szCs w:val="20"/>
                <w:color w:val="auto"/>
              </w:rPr>
            </w:pPr>
            <w:r>
              <w:rPr>
                <w:rFonts w:ascii="Courier New" w:cs="Courier New" w:eastAsia="Courier New" w:hAnsi="Courier New"/>
                <w:sz w:val="15"/>
                <w:szCs w:val="15"/>
                <w:color w:val="auto"/>
              </w:rPr>
              <w:t>6</w:t>
            </w:r>
          </w:p>
        </w:tc>
      </w:tr>
      <w:tr>
        <w:trPr>
          <w:trHeight w:val="339"/>
        </w:trPr>
        <w:tc>
          <w:tcPr>
            <w:tcW w:w="700" w:type="dxa"/>
            <w:vAlign w:val="bottom"/>
          </w:tcPr>
          <w:p>
            <w:pPr>
              <w:spacing w:after="0"/>
              <w:rPr>
                <w:sz w:val="24"/>
                <w:szCs w:val="2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Notes to condensed financial statements</w:t>
            </w:r>
          </w:p>
        </w:tc>
        <w:tc>
          <w:tcPr>
            <w:tcW w:w="1500" w:type="dxa"/>
            <w:vAlign w:val="bottom"/>
          </w:tcPr>
          <w:p>
            <w:pPr>
              <w:ind w:left="960"/>
              <w:spacing w:after="0"/>
              <w:rPr>
                <w:sz w:val="20"/>
                <w:szCs w:val="20"/>
                <w:color w:val="auto"/>
              </w:rPr>
            </w:pPr>
            <w:r>
              <w:rPr>
                <w:rFonts w:ascii="Courier New" w:cs="Courier New" w:eastAsia="Courier New" w:hAnsi="Courier New"/>
                <w:sz w:val="15"/>
                <w:szCs w:val="15"/>
                <w:color w:val="auto"/>
              </w:rPr>
              <w:t>7-10</w:t>
            </w:r>
          </w:p>
        </w:tc>
      </w:tr>
      <w:tr>
        <w:trPr>
          <w:trHeight w:val="339"/>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1500" w:type="dxa"/>
            <w:vAlign w:val="bottom"/>
          </w:tcPr>
          <w:p>
            <w:pPr>
              <w:spacing w:after="0"/>
              <w:rPr>
                <w:sz w:val="24"/>
                <w:szCs w:val="24"/>
                <w:color w:val="auto"/>
              </w:rPr>
            </w:pPr>
          </w:p>
        </w:tc>
      </w:tr>
      <w:tr>
        <w:trPr>
          <w:trHeight w:val="170"/>
        </w:trPr>
        <w:tc>
          <w:tcPr>
            <w:tcW w:w="700" w:type="dxa"/>
            <w:vAlign w:val="bottom"/>
          </w:tcPr>
          <w:p>
            <w:pPr>
              <w:spacing w:after="0"/>
              <w:rPr>
                <w:sz w:val="14"/>
                <w:szCs w:val="14"/>
                <w:color w:val="auto"/>
              </w:rPr>
            </w:pP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and Results of Operations</w:t>
            </w:r>
          </w:p>
        </w:tc>
        <w:tc>
          <w:tcPr>
            <w:tcW w:w="1500" w:type="dxa"/>
            <w:vAlign w:val="bottom"/>
          </w:tcPr>
          <w:p>
            <w:pPr>
              <w:ind w:left="960"/>
              <w:spacing w:after="0"/>
              <w:rPr>
                <w:sz w:val="20"/>
                <w:szCs w:val="20"/>
                <w:color w:val="auto"/>
              </w:rPr>
            </w:pPr>
            <w:r>
              <w:rPr>
                <w:rFonts w:ascii="Courier New" w:cs="Courier New" w:eastAsia="Courier New" w:hAnsi="Courier New"/>
                <w:sz w:val="15"/>
                <w:szCs w:val="15"/>
                <w:color w:val="auto"/>
              </w:rPr>
              <w:t>11-22</w:t>
            </w:r>
          </w:p>
        </w:tc>
      </w:tr>
      <w:tr>
        <w:trPr>
          <w:trHeight w:val="678"/>
        </w:trPr>
        <w:tc>
          <w:tcPr>
            <w:tcW w:w="70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OTHER INFORMATION</w:t>
            </w:r>
          </w:p>
        </w:tc>
        <w:tc>
          <w:tcPr>
            <w:tcW w:w="1500" w:type="dxa"/>
            <w:vAlign w:val="bottom"/>
          </w:tcPr>
          <w:p>
            <w:pPr>
              <w:spacing w:after="0"/>
              <w:rPr>
                <w:sz w:val="24"/>
                <w:szCs w:val="24"/>
                <w:color w:val="auto"/>
              </w:rPr>
            </w:pPr>
          </w:p>
        </w:tc>
      </w:tr>
      <w:tr>
        <w:trPr>
          <w:trHeight w:val="339"/>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Submission of Matters to a Vote of Security Holders</w:t>
            </w:r>
          </w:p>
        </w:tc>
        <w:tc>
          <w:tcPr>
            <w:tcW w:w="1500" w:type="dxa"/>
            <w:vAlign w:val="bottom"/>
          </w:tcPr>
          <w:p>
            <w:pPr>
              <w:ind w:left="960"/>
              <w:spacing w:after="0"/>
              <w:rPr>
                <w:sz w:val="20"/>
                <w:szCs w:val="20"/>
                <w:color w:val="auto"/>
              </w:rPr>
            </w:pPr>
            <w:r>
              <w:rPr>
                <w:rFonts w:ascii="Courier New" w:cs="Courier New" w:eastAsia="Courier New" w:hAnsi="Courier New"/>
                <w:sz w:val="15"/>
                <w:szCs w:val="15"/>
                <w:color w:val="auto"/>
              </w:rPr>
              <w:t>23</w:t>
            </w:r>
          </w:p>
        </w:tc>
      </w:tr>
      <w:tr>
        <w:trPr>
          <w:trHeight w:val="339"/>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6080" w:type="dxa"/>
            <w:vAlign w:val="bottom"/>
          </w:tcPr>
          <w:p>
            <w:pPr>
              <w:ind w:left="80"/>
              <w:spacing w:after="0"/>
              <w:rPr>
                <w:sz w:val="20"/>
                <w:szCs w:val="20"/>
                <w:color w:val="auto"/>
              </w:rPr>
            </w:pPr>
            <w:r>
              <w:rPr>
                <w:rFonts w:ascii="Courier New" w:cs="Courier New" w:eastAsia="Courier New" w:hAnsi="Courier New"/>
                <w:sz w:val="15"/>
                <w:szCs w:val="15"/>
                <w:color w:val="auto"/>
              </w:rPr>
              <w:t>Exhibits and Reports on Form 8-K</w:t>
            </w:r>
          </w:p>
        </w:tc>
        <w:tc>
          <w:tcPr>
            <w:tcW w:w="1500" w:type="dxa"/>
            <w:vAlign w:val="bottom"/>
          </w:tcPr>
          <w:p>
            <w:pPr>
              <w:ind w:left="960"/>
              <w:spacing w:after="0"/>
              <w:rPr>
                <w:sz w:val="20"/>
                <w:szCs w:val="20"/>
                <w:color w:val="auto"/>
              </w:rPr>
            </w:pPr>
            <w:r>
              <w:rPr>
                <w:rFonts w:ascii="Courier New" w:cs="Courier New" w:eastAsia="Courier New" w:hAnsi="Courier New"/>
                <w:sz w:val="15"/>
                <w:szCs w:val="15"/>
                <w:color w:val="auto"/>
              </w:rPr>
              <w:t>24</w:t>
            </w:r>
          </w:p>
        </w:tc>
      </w:tr>
      <w:tr>
        <w:trPr>
          <w:trHeight w:val="678"/>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rPr>
              <w:t>SIGNATURE PAGE</w:t>
            </w:r>
          </w:p>
        </w:tc>
        <w:tc>
          <w:tcPr>
            <w:tcW w:w="1500" w:type="dxa"/>
            <w:vAlign w:val="bottom"/>
          </w:tcPr>
          <w:p>
            <w:pPr>
              <w:ind w:left="960"/>
              <w:spacing w:after="0"/>
              <w:rPr>
                <w:sz w:val="20"/>
                <w:szCs w:val="20"/>
                <w:color w:val="auto"/>
              </w:rPr>
            </w:pPr>
            <w:r>
              <w:rPr>
                <w:rFonts w:ascii="Courier New" w:cs="Courier New" w:eastAsia="Courier New" w:hAnsi="Courier New"/>
                <w:sz w:val="15"/>
                <w:szCs w:val="15"/>
                <w:color w:val="auto"/>
              </w:rPr>
              <w:t>25</w:t>
            </w:r>
          </w:p>
        </w:tc>
      </w:tr>
      <w:tr>
        <w:trPr>
          <w:trHeight w:val="509"/>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rPr>
              <w:t>Exhibit 27  Financial data schedule</w:t>
            </w:r>
          </w:p>
        </w:tc>
        <w:tc>
          <w:tcPr>
            <w:tcW w:w="15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600" w:type="dxa"/>
            <w:vAlign w:val="bottom"/>
          </w:tcPr>
          <w:p>
            <w:pPr>
              <w:spacing w:after="0"/>
              <w:rPr>
                <w:sz w:val="20"/>
                <w:szCs w:val="20"/>
                <w:color w:val="auto"/>
              </w:rPr>
            </w:pPr>
            <w:r>
              <w:rPr>
                <w:rFonts w:ascii="Courier New" w:cs="Courier New" w:eastAsia="Courier New" w:hAnsi="Courier New"/>
                <w:sz w:val="15"/>
                <w:szCs w:val="15"/>
                <w:color w:val="auto"/>
                <w:w w:val="91"/>
              </w:rPr>
              <w:t>PART I.</w:t>
            </w:r>
          </w:p>
        </w:tc>
        <w:tc>
          <w:tcPr>
            <w:tcW w:w="6620" w:type="dxa"/>
            <w:vAlign w:val="bottom"/>
          </w:tcPr>
          <w:p>
            <w:pPr>
              <w:ind w:left="280"/>
              <w:spacing w:after="0"/>
              <w:rPr>
                <w:sz w:val="20"/>
                <w:szCs w:val="20"/>
                <w:color w:val="auto"/>
              </w:rPr>
            </w:pPr>
            <w:r>
              <w:rPr>
                <w:rFonts w:ascii="Courier New" w:cs="Courier New" w:eastAsia="Courier New" w:hAnsi="Courier New"/>
                <w:sz w:val="15"/>
                <w:szCs w:val="15"/>
                <w:color w:val="auto"/>
              </w:rPr>
              <w:t>FINANCIAL INFORMATION</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00" w:type="dxa"/>
            <w:vAlign w:val="bottom"/>
          </w:tcPr>
          <w:p>
            <w:pPr>
              <w:spacing w:after="0"/>
              <w:rPr>
                <w:sz w:val="20"/>
                <w:szCs w:val="20"/>
                <w:color w:val="auto"/>
              </w:rPr>
            </w:pPr>
            <w:r>
              <w:rPr>
                <w:rFonts w:ascii="Courier New" w:cs="Courier New" w:eastAsia="Courier New" w:hAnsi="Courier New"/>
                <w:sz w:val="15"/>
                <w:szCs w:val="15"/>
                <w:color w:val="auto"/>
                <w:w w:val="91"/>
              </w:rPr>
              <w:t>ITEM 1.</w:t>
            </w:r>
          </w:p>
        </w:tc>
        <w:tc>
          <w:tcPr>
            <w:tcW w:w="6620" w:type="dxa"/>
            <w:vAlign w:val="bottom"/>
          </w:tcPr>
          <w:p>
            <w:pPr>
              <w:ind w:left="280"/>
              <w:spacing w:after="0"/>
              <w:rPr>
                <w:sz w:val="20"/>
                <w:szCs w:val="20"/>
                <w:color w:val="auto"/>
              </w:rPr>
            </w:pPr>
            <w:r>
              <w:rPr>
                <w:rFonts w:ascii="Courier New" w:cs="Courier New" w:eastAsia="Courier New" w:hAnsi="Courier New"/>
                <w:sz w:val="15"/>
                <w:szCs w:val="15"/>
                <w:color w:val="auto"/>
              </w:rPr>
              <w:t>FINANCIAL STATEMENTS</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9"/>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REGENERON PHARMACEUTICALS, INC.</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CONDENSED BALANCE SHEETS AT JUNE 30, 1999 AND DECEMBER 31, 1998 (Unaudited)</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(In thousands, except share data)</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78"/>
        </w:trPr>
        <w:tc>
          <w:tcPr>
            <w:tcW w:w="60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June 30,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600" w:type="dxa"/>
            <w:vAlign w:val="bottom"/>
          </w:tcPr>
          <w:p>
            <w:pPr>
              <w:spacing w:after="0"/>
              <w:rPr>
                <w:sz w:val="14"/>
                <w:szCs w:val="14"/>
                <w:color w:val="auto"/>
              </w:rPr>
            </w:pPr>
          </w:p>
        </w:tc>
        <w:tc>
          <w:tcPr>
            <w:tcW w:w="6620" w:type="dxa"/>
            <w:vAlign w:val="bottom"/>
          </w:tcPr>
          <w:p>
            <w:pPr>
              <w:ind w:left="3100"/>
              <w:spacing w:after="0"/>
              <w:rPr>
                <w:sz w:val="20"/>
                <w:szCs w:val="20"/>
                <w:color w:val="auto"/>
              </w:rPr>
            </w:pPr>
            <w:r>
              <w:rPr>
                <w:rFonts w:ascii="Courier New" w:cs="Courier New" w:eastAsia="Courier New" w:hAnsi="Courier New"/>
                <w:sz w:val="15"/>
                <w:szCs w:val="15"/>
                <w:color w:val="auto"/>
              </w:rPr>
              <w:t>ASSETS</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60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72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Cash and cash equivalents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$20,560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$19,757</w:t>
            </w:r>
          </w:p>
        </w:tc>
      </w:tr>
      <w:tr>
        <w:trPr>
          <w:trHeight w:val="170"/>
        </w:trPr>
        <w:tc>
          <w:tcPr>
            <w:tcW w:w="72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Marketable securities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49,259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66,022</w:t>
            </w:r>
          </w:p>
        </w:tc>
      </w:tr>
      <w:tr>
        <w:trPr>
          <w:trHeight w:val="170"/>
        </w:trPr>
        <w:tc>
          <w:tcPr>
            <w:tcW w:w="72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Receivable due from The Procter &amp; Gamble Company</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3,003</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3,169</w:t>
            </w:r>
          </w:p>
        </w:tc>
      </w:tr>
      <w:tr>
        <w:trPr>
          <w:trHeight w:val="170"/>
        </w:trPr>
        <w:tc>
          <w:tcPr>
            <w:tcW w:w="72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Receivable due from Merck &amp; Co., Inc.</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1,674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1,665</w:t>
            </w:r>
          </w:p>
        </w:tc>
      </w:tr>
      <w:tr>
        <w:trPr>
          <w:trHeight w:val="170"/>
        </w:trPr>
        <w:tc>
          <w:tcPr>
            <w:tcW w:w="72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Receivable due from Amgen-Regeneron Partners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195</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709</w:t>
            </w:r>
          </w:p>
        </w:tc>
      </w:tr>
      <w:tr>
        <w:trPr>
          <w:trHeight w:val="170"/>
        </w:trPr>
        <w:tc>
          <w:tcPr>
            <w:tcW w:w="72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Receivable due from Sumitomo Pharmaceuticals Company, Ltd.</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167</w:t>
            </w:r>
          </w:p>
        </w:tc>
      </w:tr>
      <w:tr>
        <w:trPr>
          <w:trHeight w:val="170"/>
        </w:trPr>
        <w:tc>
          <w:tcPr>
            <w:tcW w:w="72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1,430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1,412</w:t>
            </w:r>
          </w:p>
        </w:tc>
      </w:tr>
      <w:tr>
        <w:trPr>
          <w:trHeight w:val="170"/>
        </w:trPr>
        <w:tc>
          <w:tcPr>
            <w:tcW w:w="60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600" w:type="dxa"/>
            <w:vAlign w:val="bottom"/>
          </w:tcPr>
          <w:p>
            <w:pPr>
              <w:spacing w:after="0"/>
              <w:rPr>
                <w:sz w:val="14"/>
                <w:szCs w:val="14"/>
                <w:color w:val="auto"/>
              </w:rPr>
            </w:pPr>
          </w:p>
        </w:tc>
        <w:tc>
          <w:tcPr>
            <w:tcW w:w="662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76,215</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92,901</w:t>
            </w:r>
          </w:p>
        </w:tc>
      </w:tr>
      <w:tr>
        <w:trPr>
          <w:trHeight w:val="339"/>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Marketable securities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26,749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27,751</w:t>
            </w:r>
          </w:p>
        </w:tc>
      </w:tr>
      <w:tr>
        <w:trPr>
          <w:trHeight w:val="170"/>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Investment in Amgen-Regeneron Partners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1,534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3,091</w:t>
            </w:r>
          </w:p>
        </w:tc>
      </w:tr>
      <w:tr>
        <w:trPr>
          <w:trHeight w:val="170"/>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Property, plant, and equipment, at cost, net of accumulated depreciation</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72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and amortization</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35,179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33,019</w:t>
            </w:r>
          </w:p>
        </w:tc>
      </w:tr>
      <w:tr>
        <w:trPr>
          <w:trHeight w:val="170"/>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Other assets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162</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w:t>
            </w:r>
          </w:p>
        </w:tc>
      </w:tr>
      <w:tr>
        <w:trPr>
          <w:trHeight w:val="170"/>
        </w:trPr>
        <w:tc>
          <w:tcPr>
            <w:tcW w:w="60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600" w:type="dxa"/>
            <w:vAlign w:val="bottom"/>
          </w:tcPr>
          <w:p>
            <w:pPr>
              <w:spacing w:after="0"/>
              <w:rPr>
                <w:sz w:val="14"/>
                <w:szCs w:val="14"/>
                <w:color w:val="auto"/>
              </w:rPr>
            </w:pPr>
          </w:p>
        </w:tc>
        <w:tc>
          <w:tcPr>
            <w:tcW w:w="66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$139,839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$156,915</w:t>
            </w:r>
          </w:p>
        </w:tc>
      </w:tr>
      <w:tr>
        <w:trPr>
          <w:trHeight w:val="170"/>
        </w:trPr>
        <w:tc>
          <w:tcPr>
            <w:tcW w:w="60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600" w:type="dxa"/>
            <w:vAlign w:val="bottom"/>
          </w:tcPr>
          <w:p>
            <w:pPr>
              <w:spacing w:after="0"/>
              <w:rPr>
                <w:sz w:val="24"/>
                <w:szCs w:val="24"/>
                <w:color w:val="auto"/>
              </w:rPr>
            </w:pPr>
          </w:p>
        </w:tc>
        <w:tc>
          <w:tcPr>
            <w:tcW w:w="6620" w:type="dxa"/>
            <w:vAlign w:val="bottom"/>
          </w:tcPr>
          <w:p>
            <w:pPr>
              <w:ind w:left="1780"/>
              <w:spacing w:after="0"/>
              <w:rPr>
                <w:sz w:val="20"/>
                <w:szCs w:val="20"/>
                <w:color w:val="auto"/>
              </w:rPr>
            </w:pPr>
            <w:r>
              <w:rPr>
                <w:rFonts w:ascii="Courier New" w:cs="Courier New" w:eastAsia="Courier New" w:hAnsi="Courier New"/>
                <w:sz w:val="15"/>
                <w:szCs w:val="15"/>
                <w:color w:val="auto"/>
              </w:rPr>
              <w:t>LIABILITIES and STOCKHOLDERS' EQUITY</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72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Accounts payable and accrued expenses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$4,854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$5,551</w:t>
            </w:r>
          </w:p>
        </w:tc>
      </w:tr>
      <w:tr>
        <w:trPr>
          <w:trHeight w:val="170"/>
        </w:trPr>
        <w:tc>
          <w:tcPr>
            <w:tcW w:w="72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Deferred revenue, current portion</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2,729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2,735</w:t>
            </w:r>
          </w:p>
        </w:tc>
      </w:tr>
      <w:tr>
        <w:trPr>
          <w:trHeight w:val="170"/>
        </w:trPr>
        <w:tc>
          <w:tcPr>
            <w:tcW w:w="72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Capital lease obligations, current portion</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1,051</w:t>
            </w:r>
          </w:p>
        </w:tc>
      </w:tr>
      <w:tr>
        <w:trPr>
          <w:trHeight w:val="170"/>
        </w:trPr>
        <w:tc>
          <w:tcPr>
            <w:tcW w:w="72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Note payable, current portion</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w:t>
            </w:r>
          </w:p>
        </w:tc>
      </w:tr>
      <w:tr>
        <w:trPr>
          <w:trHeight w:val="170"/>
        </w:trPr>
        <w:tc>
          <w:tcPr>
            <w:tcW w:w="60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600" w:type="dxa"/>
            <w:vAlign w:val="bottom"/>
          </w:tcPr>
          <w:p>
            <w:pPr>
              <w:spacing w:after="0"/>
              <w:rPr>
                <w:sz w:val="14"/>
                <w:szCs w:val="14"/>
                <w:color w:val="auto"/>
              </w:rPr>
            </w:pPr>
          </w:p>
        </w:tc>
        <w:tc>
          <w:tcPr>
            <w:tcW w:w="662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8,745</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9,402</w:t>
            </w:r>
          </w:p>
        </w:tc>
      </w:tr>
      <w:tr>
        <w:trPr>
          <w:trHeight w:val="339"/>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Deferred revenue</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12,944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12,938</w:t>
            </w:r>
          </w:p>
        </w:tc>
      </w:tr>
      <w:tr>
        <w:trPr>
          <w:trHeight w:val="170"/>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Capital lease obligations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882</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1,457</w:t>
            </w:r>
          </w:p>
        </w:tc>
      </w:tr>
      <w:tr>
        <w:trPr>
          <w:trHeight w:val="170"/>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Note payable</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1,579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1,609</w:t>
            </w:r>
          </w:p>
        </w:tc>
      </w:tr>
      <w:tr>
        <w:trPr>
          <w:trHeight w:val="170"/>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Other liabilities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293</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282</w:t>
            </w:r>
          </w:p>
        </w:tc>
      </w:tr>
      <w:tr>
        <w:trPr>
          <w:trHeight w:val="339"/>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9"/>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72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Preferred stock, $.01 par value; 30,000,000 shares authorized; issued and</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72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outstanding - none</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72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Class A Stock, convertible, $.001 par value; 40,000,000 shares authorized;</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6620" w:type="dxa"/>
            <w:vAlign w:val="bottom"/>
          </w:tcPr>
          <w:p>
            <w:pPr>
              <w:ind w:left="100"/>
              <w:spacing w:after="0"/>
              <w:rPr>
                <w:sz w:val="20"/>
                <w:szCs w:val="20"/>
                <w:color w:val="auto"/>
              </w:rPr>
            </w:pPr>
            <w:r>
              <w:rPr>
                <w:rFonts w:ascii="Courier New" w:cs="Courier New" w:eastAsia="Courier New" w:hAnsi="Courier New"/>
                <w:sz w:val="15"/>
                <w:szCs w:val="15"/>
                <w:color w:val="auto"/>
              </w:rPr>
              <w:t>3,630,273 shares issued and outstanding in 1999</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6620" w:type="dxa"/>
            <w:vAlign w:val="bottom"/>
          </w:tcPr>
          <w:p>
            <w:pPr>
              <w:ind w:left="100"/>
              <w:spacing w:after="0"/>
              <w:rPr>
                <w:sz w:val="20"/>
                <w:szCs w:val="20"/>
                <w:color w:val="auto"/>
              </w:rPr>
            </w:pPr>
            <w:r>
              <w:rPr>
                <w:rFonts w:ascii="Courier New" w:cs="Courier New" w:eastAsia="Courier New" w:hAnsi="Courier New"/>
                <w:sz w:val="15"/>
                <w:szCs w:val="15"/>
                <w:color w:val="auto"/>
              </w:rPr>
              <w:t>3,630,786 shares issued and outstanding in 1998</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w:t>
            </w:r>
          </w:p>
        </w:tc>
      </w:tr>
      <w:tr>
        <w:trPr>
          <w:trHeight w:val="170"/>
        </w:trPr>
        <w:tc>
          <w:tcPr>
            <w:tcW w:w="72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Common Stock, $.001 par value; 60,000,000 shares authorized;</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6620" w:type="dxa"/>
            <w:vAlign w:val="bottom"/>
          </w:tcPr>
          <w:p>
            <w:pPr>
              <w:spacing w:after="0"/>
              <w:rPr>
                <w:sz w:val="20"/>
                <w:szCs w:val="20"/>
                <w:color w:val="auto"/>
              </w:rPr>
            </w:pPr>
            <w:r>
              <w:rPr>
                <w:rFonts w:ascii="Courier New" w:cs="Courier New" w:eastAsia="Courier New" w:hAnsi="Courier New"/>
                <w:sz w:val="15"/>
                <w:szCs w:val="15"/>
                <w:color w:val="auto"/>
              </w:rPr>
              <w:t>27,681,426 shares issued and outstanding in 1999</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6620" w:type="dxa"/>
            <w:vAlign w:val="bottom"/>
          </w:tcPr>
          <w:p>
            <w:pPr>
              <w:spacing w:after="0"/>
              <w:rPr>
                <w:sz w:val="20"/>
                <w:szCs w:val="20"/>
                <w:color w:val="auto"/>
              </w:rPr>
            </w:pPr>
            <w:r>
              <w:rPr>
                <w:rFonts w:ascii="Courier New" w:cs="Courier New" w:eastAsia="Courier New" w:hAnsi="Courier New"/>
                <w:sz w:val="15"/>
                <w:szCs w:val="15"/>
                <w:color w:val="auto"/>
              </w:rPr>
              <w:t>27,386,858 shares issued and outstanding in 1998</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w:t>
            </w:r>
          </w:p>
        </w:tc>
      </w:tr>
      <w:tr>
        <w:trPr>
          <w:trHeight w:val="170"/>
        </w:trPr>
        <w:tc>
          <w:tcPr>
            <w:tcW w:w="72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Additional paid-in capital</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309,799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308,561</w:t>
            </w:r>
          </w:p>
        </w:tc>
      </w:tr>
      <w:tr>
        <w:trPr>
          <w:trHeight w:val="170"/>
        </w:trPr>
        <w:tc>
          <w:tcPr>
            <w:tcW w:w="72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Unearned compensation</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(360)</w:t>
            </w:r>
          </w:p>
        </w:tc>
      </w:tr>
      <w:tr>
        <w:trPr>
          <w:trHeight w:val="170"/>
        </w:trPr>
        <w:tc>
          <w:tcPr>
            <w:tcW w:w="72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Accumulated deficit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(193,996)</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(177,233)</w:t>
            </w:r>
          </w:p>
        </w:tc>
      </w:tr>
      <w:tr>
        <w:trPr>
          <w:trHeight w:val="170"/>
        </w:trPr>
        <w:tc>
          <w:tcPr>
            <w:tcW w:w="72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Accumulated other comprehensive (loss) income</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228</w:t>
            </w:r>
          </w:p>
        </w:tc>
      </w:tr>
      <w:tr>
        <w:trPr>
          <w:trHeight w:val="170"/>
        </w:trPr>
        <w:tc>
          <w:tcPr>
            <w:tcW w:w="60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600" w:type="dxa"/>
            <w:vAlign w:val="bottom"/>
          </w:tcPr>
          <w:p>
            <w:pPr>
              <w:spacing w:after="0"/>
              <w:rPr>
                <w:sz w:val="14"/>
                <w:szCs w:val="14"/>
                <w:color w:val="auto"/>
              </w:rPr>
            </w:pPr>
          </w:p>
        </w:tc>
        <w:tc>
          <w:tcPr>
            <w:tcW w:w="662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115,396</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131,227</w:t>
            </w:r>
          </w:p>
        </w:tc>
      </w:tr>
      <w:tr>
        <w:trPr>
          <w:trHeight w:val="170"/>
        </w:trPr>
        <w:tc>
          <w:tcPr>
            <w:tcW w:w="60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600" w:type="dxa"/>
            <w:vAlign w:val="bottom"/>
          </w:tcPr>
          <w:p>
            <w:pPr>
              <w:spacing w:after="0"/>
              <w:rPr>
                <w:sz w:val="14"/>
                <w:szCs w:val="14"/>
                <w:color w:val="auto"/>
              </w:rPr>
            </w:pPr>
          </w:p>
        </w:tc>
        <w:tc>
          <w:tcPr>
            <w:tcW w:w="662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$139,839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$156,915</w:t>
            </w:r>
          </w:p>
        </w:tc>
      </w:tr>
      <w:tr>
        <w:trPr>
          <w:trHeight w:val="170"/>
        </w:trPr>
        <w:tc>
          <w:tcPr>
            <w:tcW w:w="60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rPr>
          <w:sz w:val="20"/>
          <w:szCs w:val="20"/>
          <w:color w:val="auto"/>
        </w:rPr>
      </w:pPr>
      <w:r>
        <w:rPr>
          <w:rFonts w:ascii="Courier New" w:cs="Courier New" w:eastAsia="Courier New" w:hAnsi="Courier New"/>
          <w:sz w:val="15"/>
          <w:szCs w:val="15"/>
          <w:color w:val="auto"/>
        </w:rPr>
        <w:t>CONDENSED STATEMENTS OF OPERATIONS (Unaudited)</w:t>
      </w:r>
    </w:p>
    <w:p>
      <w:pPr>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30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Three months ended June 30,</w:t>
            </w:r>
          </w:p>
        </w:tc>
        <w:tc>
          <w:tcPr>
            <w:tcW w:w="2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 June 30,</w:t>
            </w:r>
          </w:p>
        </w:tc>
      </w:tr>
      <w:tr>
        <w:trPr>
          <w:trHeight w:val="170"/>
        </w:trPr>
        <w:tc>
          <w:tcPr>
            <w:tcW w:w="4220" w:type="dxa"/>
            <w:vAlign w:val="bottom"/>
          </w:tcPr>
          <w:p>
            <w:pPr>
              <w:spacing w:after="0"/>
              <w:rPr>
                <w:sz w:val="14"/>
                <w:szCs w:val="14"/>
                <w:color w:val="auto"/>
              </w:rPr>
            </w:pPr>
          </w:p>
        </w:tc>
        <w:tc>
          <w:tcPr>
            <w:tcW w:w="30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4"/>
              </w:rPr>
              <w:t>1999</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1998</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1999</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4220" w:type="dxa"/>
            <w:vAlign w:val="bottom"/>
          </w:tcPr>
          <w:p>
            <w:pPr>
              <w:spacing w:after="0"/>
              <w:rPr>
                <w:sz w:val="14"/>
                <w:szCs w:val="14"/>
                <w:color w:val="auto"/>
              </w:rPr>
            </w:pP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4"/>
              </w:rPr>
              <w:t>----</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4220" w:type="dxa"/>
            <w:vAlign w:val="bottom"/>
          </w:tcPr>
          <w:p>
            <w:pPr>
              <w:ind w:left="600"/>
              <w:spacing w:after="0"/>
              <w:rPr>
                <w:sz w:val="20"/>
                <w:szCs w:val="20"/>
                <w:color w:val="auto"/>
              </w:rPr>
            </w:pPr>
            <w:r>
              <w:rPr>
                <w:rFonts w:ascii="Courier New" w:cs="Courier New" w:eastAsia="Courier New" w:hAnsi="Courier New"/>
                <w:sz w:val="15"/>
                <w:szCs w:val="15"/>
                <w:color w:val="auto"/>
              </w:rPr>
              <w:t>Contract research and development</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$3,397</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$6,202</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$6,741</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$10,776</w:t>
            </w:r>
          </w:p>
        </w:tc>
      </w:tr>
      <w:tr>
        <w:trPr>
          <w:trHeight w:val="170"/>
        </w:trPr>
        <w:tc>
          <w:tcPr>
            <w:tcW w:w="4220" w:type="dxa"/>
            <w:vAlign w:val="bottom"/>
          </w:tcPr>
          <w:p>
            <w:pPr>
              <w:ind w:left="600"/>
              <w:spacing w:after="0"/>
              <w:rPr>
                <w:sz w:val="20"/>
                <w:szCs w:val="20"/>
                <w:color w:val="auto"/>
              </w:rPr>
            </w:pPr>
            <w:r>
              <w:rPr>
                <w:rFonts w:ascii="Courier New" w:cs="Courier New" w:eastAsia="Courier New" w:hAnsi="Courier New"/>
                <w:sz w:val="15"/>
                <w:szCs w:val="15"/>
                <w:color w:val="auto"/>
              </w:rPr>
              <w:t>Research progress payments</w:t>
            </w:r>
          </w:p>
        </w:tc>
        <w:tc>
          <w:tcPr>
            <w:tcW w:w="1280" w:type="dxa"/>
            <w:vAlign w:val="bottom"/>
          </w:tcPr>
          <w:p>
            <w:pPr>
              <w:spacing w:after="0"/>
              <w:rPr>
                <w:sz w:val="14"/>
                <w:szCs w:val="14"/>
                <w:color w:val="auto"/>
              </w:rPr>
            </w:pP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5,000</w:t>
            </w:r>
          </w:p>
        </w:tc>
        <w:tc>
          <w:tcPr>
            <w:tcW w:w="1460" w:type="dxa"/>
            <w:vAlign w:val="bottom"/>
          </w:tcPr>
          <w:p>
            <w:pPr>
              <w:spacing w:after="0"/>
              <w:rPr>
                <w:sz w:val="14"/>
                <w:szCs w:val="14"/>
                <w:color w:val="auto"/>
              </w:rPr>
            </w:pP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5,000</w:t>
            </w:r>
          </w:p>
        </w:tc>
      </w:tr>
      <w:tr>
        <w:trPr>
          <w:trHeight w:val="170"/>
        </w:trPr>
        <w:tc>
          <w:tcPr>
            <w:tcW w:w="4220" w:type="dxa"/>
            <w:vAlign w:val="bottom"/>
          </w:tcPr>
          <w:p>
            <w:pPr>
              <w:ind w:left="600"/>
              <w:spacing w:after="0"/>
              <w:rPr>
                <w:sz w:val="20"/>
                <w:szCs w:val="20"/>
                <w:color w:val="auto"/>
              </w:rPr>
            </w:pPr>
            <w:r>
              <w:rPr>
                <w:rFonts w:ascii="Courier New" w:cs="Courier New" w:eastAsia="Courier New" w:hAnsi="Courier New"/>
                <w:sz w:val="15"/>
                <w:szCs w:val="15"/>
                <w:color w:val="auto"/>
              </w:rPr>
              <w:t>Contract manufacturing</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2,454</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2,281</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4,569</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4,167</w:t>
            </w:r>
          </w:p>
        </w:tc>
      </w:tr>
      <w:tr>
        <w:trPr>
          <w:trHeight w:val="170"/>
        </w:trPr>
        <w:tc>
          <w:tcPr>
            <w:tcW w:w="4220" w:type="dxa"/>
            <w:vAlign w:val="bottom"/>
          </w:tcPr>
          <w:p>
            <w:pPr>
              <w:ind w:left="600"/>
              <w:spacing w:after="0"/>
              <w:rPr>
                <w:sz w:val="20"/>
                <w:szCs w:val="20"/>
                <w:color w:val="auto"/>
              </w:rPr>
            </w:pPr>
            <w:r>
              <w:rPr>
                <w:rFonts w:ascii="Courier New" w:cs="Courier New" w:eastAsia="Courier New" w:hAnsi="Courier New"/>
                <w:sz w:val="15"/>
                <w:szCs w:val="15"/>
                <w:color w:val="auto"/>
              </w:rPr>
              <w:t>Investment income</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1,319</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1,712</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2,778</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3,502</w:t>
            </w:r>
          </w:p>
        </w:tc>
      </w:tr>
      <w:tr>
        <w:trPr>
          <w:trHeight w:val="170"/>
        </w:trPr>
        <w:tc>
          <w:tcPr>
            <w:tcW w:w="4220" w:type="dxa"/>
            <w:vAlign w:val="bottom"/>
          </w:tcPr>
          <w:p>
            <w:pPr>
              <w:spacing w:after="0"/>
              <w:rPr>
                <w:sz w:val="14"/>
                <w:szCs w:val="14"/>
                <w:color w:val="auto"/>
              </w:rPr>
            </w:pP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7,170</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15,195</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14,088</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23,445</w:t>
            </w:r>
          </w:p>
        </w:tc>
      </w:tr>
      <w:tr>
        <w:trPr>
          <w:trHeight w:val="170"/>
        </w:trPr>
        <w:tc>
          <w:tcPr>
            <w:tcW w:w="4220" w:type="dxa"/>
            <w:vAlign w:val="bottom"/>
          </w:tcPr>
          <w:p>
            <w:pPr>
              <w:spacing w:after="0"/>
              <w:rPr>
                <w:sz w:val="14"/>
                <w:szCs w:val="14"/>
                <w:color w:val="auto"/>
              </w:rPr>
            </w:pP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509"/>
        </w:trPr>
        <w:tc>
          <w:tcPr>
            <w:tcW w:w="42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4220" w:type="dxa"/>
            <w:vAlign w:val="bottom"/>
          </w:tcPr>
          <w:p>
            <w:pPr>
              <w:ind w:left="600"/>
              <w:spacing w:after="0"/>
              <w:rPr>
                <w:sz w:val="20"/>
                <w:szCs w:val="20"/>
                <w:color w:val="auto"/>
              </w:rPr>
            </w:pPr>
            <w:r>
              <w:rPr>
                <w:rFonts w:ascii="Courier New" w:cs="Courier New" w:eastAsia="Courier New" w:hAnsi="Courier New"/>
                <w:sz w:val="15"/>
                <w:szCs w:val="15"/>
                <w:color w:val="auto"/>
              </w:rPr>
              <w:t>Research and development</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10,818</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9,054</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22,039</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17,204</w:t>
            </w:r>
          </w:p>
        </w:tc>
      </w:tr>
      <w:tr>
        <w:trPr>
          <w:trHeight w:val="170"/>
        </w:trPr>
        <w:tc>
          <w:tcPr>
            <w:tcW w:w="4220" w:type="dxa"/>
            <w:vAlign w:val="bottom"/>
          </w:tcPr>
          <w:p>
            <w:pPr>
              <w:ind w:left="600"/>
              <w:spacing w:after="0"/>
              <w:rPr>
                <w:sz w:val="20"/>
                <w:szCs w:val="20"/>
                <w:color w:val="auto"/>
              </w:rPr>
            </w:pPr>
            <w:r>
              <w:rPr>
                <w:rFonts w:ascii="Courier New" w:cs="Courier New" w:eastAsia="Courier New" w:hAnsi="Courier New"/>
                <w:sz w:val="15"/>
                <w:szCs w:val="15"/>
                <w:color w:val="auto"/>
              </w:rPr>
              <w:t>Loss in Amgen-Regeneron Partners</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591</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186</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1,557</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873</w:t>
            </w:r>
          </w:p>
        </w:tc>
      </w:tr>
      <w:tr>
        <w:trPr>
          <w:trHeight w:val="170"/>
        </w:trPr>
        <w:tc>
          <w:tcPr>
            <w:tcW w:w="4220" w:type="dxa"/>
            <w:vAlign w:val="bottom"/>
          </w:tcPr>
          <w:p>
            <w:pPr>
              <w:ind w:left="600"/>
              <w:spacing w:after="0"/>
              <w:rPr>
                <w:sz w:val="20"/>
                <w:szCs w:val="20"/>
                <w:color w:val="auto"/>
              </w:rPr>
            </w:pPr>
            <w:r>
              <w:rPr>
                <w:rFonts w:ascii="Courier New" w:cs="Courier New" w:eastAsia="Courier New" w:hAnsi="Courier New"/>
                <w:sz w:val="15"/>
                <w:szCs w:val="15"/>
                <w:color w:val="auto"/>
              </w:rPr>
              <w:t>General and administrative</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1,520</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1,693</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3,113</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3,077</w:t>
            </w:r>
          </w:p>
        </w:tc>
      </w:tr>
      <w:tr>
        <w:trPr>
          <w:trHeight w:val="170"/>
        </w:trPr>
        <w:tc>
          <w:tcPr>
            <w:tcW w:w="4220" w:type="dxa"/>
            <w:vAlign w:val="bottom"/>
          </w:tcPr>
          <w:p>
            <w:pPr>
              <w:ind w:left="600"/>
              <w:spacing w:after="0"/>
              <w:rPr>
                <w:sz w:val="20"/>
                <w:szCs w:val="20"/>
                <w:color w:val="auto"/>
              </w:rPr>
            </w:pPr>
            <w:r>
              <w:rPr>
                <w:rFonts w:ascii="Courier New" w:cs="Courier New" w:eastAsia="Courier New" w:hAnsi="Courier New"/>
                <w:sz w:val="15"/>
                <w:szCs w:val="15"/>
                <w:color w:val="auto"/>
              </w:rPr>
              <w:t>Depreciation and amortization</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829</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780</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1,554</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1,649</w:t>
            </w:r>
          </w:p>
        </w:tc>
      </w:tr>
      <w:tr>
        <w:trPr>
          <w:trHeight w:val="170"/>
        </w:trPr>
        <w:tc>
          <w:tcPr>
            <w:tcW w:w="4220" w:type="dxa"/>
            <w:vAlign w:val="bottom"/>
          </w:tcPr>
          <w:p>
            <w:pPr>
              <w:ind w:left="600"/>
              <w:spacing w:after="0"/>
              <w:rPr>
                <w:sz w:val="20"/>
                <w:szCs w:val="20"/>
                <w:color w:val="auto"/>
              </w:rPr>
            </w:pPr>
            <w:r>
              <w:rPr>
                <w:rFonts w:ascii="Courier New" w:cs="Courier New" w:eastAsia="Courier New" w:hAnsi="Courier New"/>
                <w:sz w:val="15"/>
                <w:szCs w:val="15"/>
                <w:color w:val="auto"/>
              </w:rPr>
              <w:t>Contract manufacturing</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1,164</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1,235</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2,418</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2,103</w:t>
            </w:r>
          </w:p>
        </w:tc>
      </w:tr>
      <w:tr>
        <w:trPr>
          <w:trHeight w:val="170"/>
        </w:trPr>
        <w:tc>
          <w:tcPr>
            <w:tcW w:w="4220" w:type="dxa"/>
            <w:vAlign w:val="bottom"/>
          </w:tcPr>
          <w:p>
            <w:pPr>
              <w:ind w:left="600"/>
              <w:spacing w:after="0"/>
              <w:rPr>
                <w:sz w:val="20"/>
                <w:szCs w:val="20"/>
                <w:color w:val="auto"/>
              </w:rPr>
            </w:pPr>
            <w:r>
              <w:rPr>
                <w:rFonts w:ascii="Courier New" w:cs="Courier New" w:eastAsia="Courier New" w:hAnsi="Courier New"/>
                <w:sz w:val="15"/>
                <w:szCs w:val="15"/>
                <w:color w:val="auto"/>
              </w:rPr>
              <w:t>Interest</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81</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107</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170</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228</w:t>
            </w:r>
          </w:p>
        </w:tc>
      </w:tr>
      <w:tr>
        <w:trPr>
          <w:trHeight w:val="170"/>
        </w:trPr>
        <w:tc>
          <w:tcPr>
            <w:tcW w:w="4220" w:type="dxa"/>
            <w:vAlign w:val="bottom"/>
          </w:tcPr>
          <w:p>
            <w:pPr>
              <w:spacing w:after="0"/>
              <w:rPr>
                <w:sz w:val="14"/>
                <w:szCs w:val="14"/>
                <w:color w:val="auto"/>
              </w:rPr>
            </w:pP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15,003</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13,055</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30,851</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25,134</w:t>
            </w:r>
          </w:p>
        </w:tc>
      </w:tr>
      <w:tr>
        <w:trPr>
          <w:trHeight w:val="170"/>
        </w:trPr>
        <w:tc>
          <w:tcPr>
            <w:tcW w:w="4220" w:type="dxa"/>
            <w:vAlign w:val="bottom"/>
          </w:tcPr>
          <w:p>
            <w:pPr>
              <w:spacing w:after="0"/>
              <w:rPr>
                <w:sz w:val="14"/>
                <w:szCs w:val="14"/>
                <w:color w:val="auto"/>
              </w:rPr>
            </w:pP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Net (loss) income</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($7,833)</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$2,140</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($16,763)</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($1,689)</w:t>
            </w:r>
          </w:p>
        </w:tc>
      </w:tr>
      <w:tr>
        <w:trPr>
          <w:trHeight w:val="170"/>
        </w:trPr>
        <w:tc>
          <w:tcPr>
            <w:tcW w:w="4220" w:type="dxa"/>
            <w:vAlign w:val="bottom"/>
          </w:tcPr>
          <w:p>
            <w:pPr>
              <w:spacing w:after="0"/>
              <w:rPr>
                <w:sz w:val="14"/>
                <w:szCs w:val="14"/>
                <w:color w:val="auto"/>
              </w:rPr>
            </w:pP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Net (loss) income per share, basic and diluted</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($0.25)</w:t>
            </w:r>
          </w:p>
        </w:tc>
        <w:tc>
          <w:tcPr>
            <w:tcW w:w="172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$0.07</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($0.54)</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($0.05)</w:t>
            </w:r>
          </w:p>
        </w:tc>
      </w:tr>
      <w:tr>
        <w:trPr>
          <w:trHeight w:val="170"/>
        </w:trPr>
        <w:tc>
          <w:tcPr>
            <w:tcW w:w="4220" w:type="dxa"/>
            <w:vAlign w:val="bottom"/>
          </w:tcPr>
          <w:p>
            <w:pPr>
              <w:spacing w:after="0"/>
              <w:rPr>
                <w:sz w:val="14"/>
                <w:szCs w:val="14"/>
                <w:color w:val="auto"/>
              </w:rPr>
            </w:pP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34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5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CONDENSED STATEMENT OF STOCKHOLDERS' EQUITY (Unaudited)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six months ended June 30, 1999</w:t>
      </w:r>
    </w:p>
    <w:p>
      <w:pPr>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1520"/>
          </w:cols>
          <w:pgMar w:left="240" w:top="791"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Class A Stock</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300"/>
        <w:spacing w:after="0"/>
        <w:tabs>
          <w:tab w:leader="none" w:pos="552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p>
    <w:p>
      <w:pPr>
        <w:spacing w:after="0" w:line="5" w:lineRule="exact"/>
        <w:rPr>
          <w:sz w:val="20"/>
          <w:szCs w:val="20"/>
          <w:color w:val="auto"/>
        </w:rPr>
      </w:pPr>
    </w:p>
    <w:p>
      <w:pPr>
        <w:ind w:left="4140"/>
        <w:spacing w:after="0"/>
        <w:tabs>
          <w:tab w:leader="none" w:pos="5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80"/>
        <w:spacing w:after="0"/>
        <w:tabs>
          <w:tab w:leader="none" w:pos="158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p>
    <w:p>
      <w:pPr>
        <w:spacing w:after="0" w:line="5"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Additional</w:t>
      </w:r>
    </w:p>
    <w:p>
      <w:pPr>
        <w:ind w:left="360"/>
        <w:spacing w:after="0"/>
        <w:rPr>
          <w:sz w:val="20"/>
          <w:szCs w:val="20"/>
          <w:color w:val="auto"/>
        </w:rPr>
      </w:pPr>
      <w:r>
        <w:rPr>
          <w:rFonts w:ascii="Courier New" w:cs="Courier New" w:eastAsia="Courier New" w:hAnsi="Courier New"/>
          <w:sz w:val="15"/>
          <w:szCs w:val="15"/>
          <w:color w:val="auto"/>
        </w:rPr>
        <w:t>Paid-in</w:t>
      </w:r>
    </w:p>
    <w:p>
      <w:pPr>
        <w:ind w:left="360"/>
        <w:spacing w:after="0"/>
        <w:rPr>
          <w:sz w:val="20"/>
          <w:szCs w:val="20"/>
          <w:color w:val="auto"/>
        </w:rPr>
      </w:pPr>
      <w:r>
        <w:rPr>
          <w:rFonts w:ascii="Courier New" w:cs="Courier New" w:eastAsia="Courier New" w:hAnsi="Courier New"/>
          <w:sz w:val="15"/>
          <w:szCs w:val="15"/>
          <w:color w:val="auto"/>
        </w:rPr>
        <w:t>Capital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6420" w:space="440"/>
            <w:col w:w="2480" w:space="340"/>
            <w:col w:w="1840"/>
          </w:cols>
          <w:pgMar w:left="240" w:top="791" w:right="139"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December 31, 1998</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3,631</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4"/>
          <w:szCs w:val="14"/>
          <w:color w:val="auto"/>
        </w:rPr>
        <w:t>27,387</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4"/>
          <w:szCs w:val="14"/>
          <w:color w:val="auto"/>
        </w:rPr>
        <w:t>$27</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$308,561</w:t>
      </w:r>
    </w:p>
    <w:p>
      <w:pPr>
        <w:spacing w:after="0" w:line="169" w:lineRule="exact"/>
        <w:rPr>
          <w:sz w:val="20"/>
          <w:szCs w:val="20"/>
          <w:color w:val="auto"/>
        </w:rPr>
      </w:pPr>
    </w:p>
    <w:p>
      <w:pPr>
        <w:sectPr>
          <w:pgSz w:w="11900" w:h="16838" w:orient="portrait"/>
          <w:cols w:equalWidth="0" w:num="6">
            <w:col w:w="3860" w:space="720"/>
            <w:col w:w="500" w:space="720"/>
            <w:col w:w="620" w:space="720"/>
            <w:col w:w="860" w:space="720"/>
            <w:col w:w="680" w:space="720"/>
            <w:col w:w="1400"/>
          </w:cols>
          <w:pgMar w:left="240" w:top="791"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Amortization of unearned compensation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Issuance of Common Stock in connection</w:t>
      </w:r>
    </w:p>
    <w:p>
      <w:pPr>
        <w:sectPr>
          <w:pgSz w:w="11900" w:h="16838" w:orient="portrait"/>
          <w:cols w:equalWidth="0" w:num="1">
            <w:col w:w="11520"/>
          </w:cols>
          <w:pgMar w:left="240" w:top="791" w:right="139" w:bottom="1440" w:gutter="0" w:footer="0" w:header="0"/>
          <w:type w:val="continuous"/>
        </w:sectPr>
      </w:pPr>
    </w:p>
    <w:p>
      <w:pPr>
        <w:spacing w:after="0" w:line="1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 exercise of 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255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930</w:t>
      </w:r>
    </w:p>
    <w:p>
      <w:pPr>
        <w:spacing w:after="0" w:line="5" w:lineRule="exact"/>
        <w:rPr>
          <w:sz w:val="20"/>
          <w:szCs w:val="20"/>
          <w:color w:val="auto"/>
        </w:rPr>
      </w:pPr>
    </w:p>
    <w:p>
      <w:pPr>
        <w:sectPr>
          <w:pgSz w:w="11900" w:h="16838" w:orient="portrait"/>
          <w:cols w:equalWidth="0" w:num="4">
            <w:col w:w="6680" w:space="720"/>
            <w:col w:w="780" w:space="720"/>
            <w:col w:w="940" w:space="720"/>
            <w:col w:w="960"/>
          </w:cols>
          <w:pgMar w:left="240" w:top="791"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 Stock in connection</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Company 401(k) Savings Plan</w:t>
      </w:r>
    </w:p>
    <w:p>
      <w:pPr>
        <w:sectPr>
          <w:pgSz w:w="11900" w:h="16838" w:orient="portrait"/>
          <w:cols w:equalWidth="0" w:num="1">
            <w:col w:w="11520"/>
          </w:cols>
          <w:pgMar w:left="240" w:top="791" w:right="139" w:bottom="1440" w:gutter="0" w:footer="0" w:header="0"/>
          <w:type w:val="continuous"/>
        </w:sectPr>
      </w:pP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contribution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308</w:t>
      </w:r>
    </w:p>
    <w:p>
      <w:pPr>
        <w:spacing w:after="0" w:line="5" w:lineRule="exact"/>
        <w:rPr>
          <w:sz w:val="20"/>
          <w:szCs w:val="20"/>
          <w:color w:val="auto"/>
        </w:rPr>
      </w:pPr>
    </w:p>
    <w:p>
      <w:pPr>
        <w:sectPr>
          <w:pgSz w:w="11900" w:h="16838" w:orient="portrait"/>
          <w:cols w:equalWidth="0" w:num="3">
            <w:col w:w="6760" w:space="720"/>
            <w:col w:w="2360" w:space="720"/>
            <w:col w:w="960"/>
          </w:cols>
          <w:pgMar w:left="240" w:top="791"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Conversion of Class A Stock to</w:t>
      </w:r>
    </w:p>
    <w:p>
      <w:pPr>
        <w:sectPr>
          <w:pgSz w:w="11900" w:h="16838" w:orient="portrait"/>
          <w:cols w:equalWidth="0" w:num="1">
            <w:col w:w="11520"/>
          </w:cols>
          <w:pgMar w:left="240" w:top="791" w:right="139" w:bottom="1440" w:gutter="0" w:footer="0" w:header="0"/>
          <w:type w:val="continuous"/>
        </w:sectPr>
      </w:pPr>
    </w:p>
    <w:p>
      <w:pPr>
        <w:spacing w:after="0" w:line="1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1</w:t>
      </w:r>
    </w:p>
    <w:p>
      <w:pPr>
        <w:spacing w:after="0" w:line="16" w:lineRule="exact"/>
        <w:rPr>
          <w:sz w:val="20"/>
          <w:szCs w:val="20"/>
          <w:color w:val="auto"/>
        </w:rPr>
      </w:pPr>
    </w:p>
    <w:p>
      <w:pPr>
        <w:sectPr>
          <w:pgSz w:w="11900" w:h="16838" w:orient="portrait"/>
          <w:cols w:equalWidth="0" w:num="3">
            <w:col w:w="4120" w:space="720"/>
            <w:col w:w="2020" w:space="720"/>
            <w:col w:w="3940"/>
          </w:cols>
          <w:pgMar w:left="240" w:top="791"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Net loss</w:t>
      </w:r>
    </w:p>
    <w:p>
      <w:pPr>
        <w:spacing w:after="0"/>
        <w:rPr>
          <w:sz w:val="20"/>
          <w:szCs w:val="20"/>
          <w:color w:val="auto"/>
        </w:rPr>
      </w:pPr>
      <w:r>
        <w:rPr>
          <w:rFonts w:ascii="Courier New" w:cs="Courier New" w:eastAsia="Courier New" w:hAnsi="Courier New"/>
          <w:sz w:val="15"/>
          <w:szCs w:val="15"/>
          <w:color w:val="auto"/>
        </w:rPr>
        <w:t>Change in net unrealized (loss) gain</w:t>
      </w:r>
    </w:p>
    <w:p>
      <w:pPr>
        <w:ind w:left="440"/>
        <w:spacing w:after="0"/>
        <w:rPr>
          <w:sz w:val="20"/>
          <w:szCs w:val="20"/>
          <w:color w:val="auto"/>
        </w:rPr>
      </w:pPr>
      <w:r>
        <w:rPr>
          <w:rFonts w:ascii="Courier New" w:cs="Courier New" w:eastAsia="Courier New" w:hAnsi="Courier New"/>
          <w:sz w:val="15"/>
          <w:szCs w:val="15"/>
          <w:color w:val="auto"/>
        </w:rPr>
        <w:t>on marketable securities</w:t>
      </w:r>
    </w:p>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20"/>
          </w:cols>
          <w:pgMar w:left="240" w:top="791" w:right="139" w:bottom="1440" w:gutter="0" w:footer="0" w:header="0"/>
          <w:type w:val="continuous"/>
        </w:sectPr>
      </w:pP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Balance, June 30, 1999</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440"/>
        <w:spacing w:after="0"/>
        <w:tabs>
          <w:tab w:leader="none" w:pos="1640" w:val="left"/>
          <w:tab w:leader="none" w:pos="2980" w:val="left"/>
          <w:tab w:leader="none" w:pos="4560" w:val="left"/>
          <w:tab w:leader="none" w:pos="5960" w:val="left"/>
        </w:tabs>
        <w:rPr>
          <w:sz w:val="20"/>
          <w:szCs w:val="20"/>
          <w:color w:val="auto"/>
        </w:rPr>
      </w:pPr>
      <w:r>
        <w:rPr>
          <w:rFonts w:ascii="Courier New" w:cs="Courier New" w:eastAsia="Courier New" w:hAnsi="Courier New"/>
          <w:sz w:val="15"/>
          <w:szCs w:val="15"/>
          <w:color w:val="auto"/>
        </w:rPr>
        <w:t>3,630</w:t>
      </w:r>
      <w:r>
        <w:rPr>
          <w:sz w:val="20"/>
          <w:szCs w:val="20"/>
          <w:color w:val="auto"/>
        </w:rPr>
        <w:tab/>
      </w: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27,681</w:t>
      </w:r>
      <w:r>
        <w:rPr>
          <w:sz w:val="20"/>
          <w:szCs w:val="20"/>
          <w:color w:val="auto"/>
        </w:rPr>
        <w:tab/>
      </w:r>
      <w:r>
        <w:rPr>
          <w:rFonts w:ascii="Courier New" w:cs="Courier New" w:eastAsia="Courier New" w:hAnsi="Courier New"/>
          <w:sz w:val="15"/>
          <w:szCs w:val="15"/>
          <w:color w:val="auto"/>
        </w:rPr>
        <w:t>$28</w:t>
      </w:r>
      <w:r>
        <w:rPr>
          <w:sz w:val="20"/>
          <w:szCs w:val="20"/>
          <w:color w:val="auto"/>
        </w:rPr>
        <w:tab/>
      </w:r>
      <w:r>
        <w:rPr>
          <w:rFonts w:ascii="Courier New" w:cs="Courier New" w:eastAsia="Courier New" w:hAnsi="Courier New"/>
          <w:sz w:val="15"/>
          <w:szCs w:val="15"/>
          <w:color w:val="auto"/>
        </w:rPr>
        <w:t>$309,799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420" w:space="720"/>
            <w:col w:w="7380"/>
          </w:cols>
          <w:pgMar w:left="240" w:top="791"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Accumulated</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Total</w:t>
            </w:r>
          </w:p>
        </w:tc>
        <w:tc>
          <w:tcPr>
            <w:tcW w:w="1260" w:type="dxa"/>
            <w:vAlign w:val="bottom"/>
          </w:tcPr>
          <w:p>
            <w:pPr>
              <w:spacing w:after="0"/>
              <w:rPr>
                <w:sz w:val="14"/>
                <w:szCs w:val="14"/>
                <w:color w:val="auto"/>
              </w:rPr>
            </w:pPr>
          </w:p>
        </w:tc>
      </w:tr>
      <w:tr>
        <w:trPr>
          <w:trHeight w:val="170"/>
        </w:trPr>
        <w:tc>
          <w:tcPr>
            <w:tcW w:w="3740" w:type="dxa"/>
            <w:vAlign w:val="bottom"/>
          </w:tcPr>
          <w:p>
            <w:pPr>
              <w:spacing w:after="0"/>
              <w:rPr>
                <w:sz w:val="14"/>
                <w:szCs w:val="14"/>
                <w:color w:val="auto"/>
              </w:rPr>
            </w:pPr>
          </w:p>
        </w:tc>
        <w:tc>
          <w:tcPr>
            <w:tcW w:w="1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Unearned</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Accumulated</w:t>
            </w:r>
          </w:p>
        </w:tc>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w w:val="97"/>
              </w:rPr>
              <w:t>Other Comprehensive</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Stockholders'</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Comprehensive</w:t>
            </w:r>
          </w:p>
        </w:tc>
      </w:tr>
      <w:tr>
        <w:trPr>
          <w:trHeight w:val="170"/>
        </w:trPr>
        <w:tc>
          <w:tcPr>
            <w:tcW w:w="3740" w:type="dxa"/>
            <w:vAlign w:val="bottom"/>
          </w:tcPr>
          <w:p>
            <w:pPr>
              <w:spacing w:after="0"/>
              <w:rPr>
                <w:sz w:val="14"/>
                <w:szCs w:val="14"/>
                <w:color w:val="auto"/>
              </w:rPr>
            </w:pPr>
          </w:p>
        </w:tc>
        <w:tc>
          <w:tcPr>
            <w:tcW w:w="1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Compensation</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Deficit</w:t>
            </w:r>
          </w:p>
        </w:tc>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w w:val="97"/>
              </w:rPr>
              <w:t>(Loss) Income</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Equity</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Loss</w:t>
            </w:r>
          </w:p>
        </w:tc>
      </w:tr>
      <w:tr>
        <w:trPr>
          <w:trHeight w:val="170"/>
        </w:trPr>
        <w:tc>
          <w:tcPr>
            <w:tcW w:w="3740" w:type="dxa"/>
            <w:vAlign w:val="bottom"/>
          </w:tcPr>
          <w:p>
            <w:pPr>
              <w:spacing w:after="0"/>
              <w:rPr>
                <w:sz w:val="14"/>
                <w:szCs w:val="14"/>
                <w:color w:val="auto"/>
              </w:rPr>
            </w:pPr>
          </w:p>
        </w:tc>
        <w:tc>
          <w:tcPr>
            <w:tcW w:w="1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3740" w:type="dxa"/>
            <w:vAlign w:val="bottom"/>
          </w:tcPr>
          <w:p>
            <w:pPr>
              <w:spacing w:after="0"/>
              <w:rPr>
                <w:sz w:val="20"/>
                <w:szCs w:val="20"/>
                <w:color w:val="auto"/>
              </w:rPr>
            </w:pPr>
            <w:r>
              <w:rPr>
                <w:rFonts w:ascii="Courier New" w:cs="Courier New" w:eastAsia="Courier New" w:hAnsi="Courier New"/>
                <w:sz w:val="15"/>
                <w:szCs w:val="15"/>
                <w:color w:val="auto"/>
              </w:rPr>
              <w:t>Balance, December 31, 1998</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($360)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($177,233)</w:t>
            </w:r>
          </w:p>
        </w:tc>
        <w:tc>
          <w:tcPr>
            <w:tcW w:w="20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$228</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$131,227</w:t>
            </w:r>
          </w:p>
        </w:tc>
        <w:tc>
          <w:tcPr>
            <w:tcW w:w="1260" w:type="dxa"/>
            <w:vAlign w:val="bottom"/>
          </w:tcPr>
          <w:p>
            <w:pPr>
              <w:spacing w:after="0"/>
              <w:rPr>
                <w:sz w:val="24"/>
                <w:szCs w:val="24"/>
                <w:color w:val="auto"/>
              </w:rPr>
            </w:pPr>
          </w:p>
        </w:tc>
      </w:tr>
      <w:tr>
        <w:trPr>
          <w:trHeight w:val="339"/>
        </w:trPr>
        <w:tc>
          <w:tcPr>
            <w:tcW w:w="3740" w:type="dxa"/>
            <w:vAlign w:val="bottom"/>
          </w:tcPr>
          <w:p>
            <w:pPr>
              <w:spacing w:after="0"/>
              <w:rPr>
                <w:sz w:val="20"/>
                <w:szCs w:val="20"/>
                <w:color w:val="auto"/>
              </w:rPr>
            </w:pPr>
            <w:r>
              <w:rPr>
                <w:rFonts w:ascii="Courier New" w:cs="Courier New" w:eastAsia="Courier New" w:hAnsi="Courier New"/>
                <w:sz w:val="15"/>
                <w:szCs w:val="15"/>
                <w:color w:val="auto"/>
              </w:rPr>
              <w:t>Amortization of unearned compensation</w:t>
            </w:r>
          </w:p>
        </w:tc>
        <w:tc>
          <w:tcPr>
            <w:tcW w:w="17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180</w:t>
            </w:r>
          </w:p>
        </w:tc>
        <w:tc>
          <w:tcPr>
            <w:tcW w:w="1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180</w:t>
            </w:r>
          </w:p>
        </w:tc>
        <w:tc>
          <w:tcPr>
            <w:tcW w:w="1260" w:type="dxa"/>
            <w:vAlign w:val="bottom"/>
          </w:tcPr>
          <w:p>
            <w:pPr>
              <w:spacing w:after="0"/>
              <w:rPr>
                <w:sz w:val="24"/>
                <w:szCs w:val="24"/>
                <w:color w:val="auto"/>
              </w:rPr>
            </w:pP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Issuance of Common Stock in connection</w:t>
            </w:r>
          </w:p>
        </w:tc>
        <w:tc>
          <w:tcPr>
            <w:tcW w:w="1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3740" w:type="dxa"/>
            <w:vAlign w:val="bottom"/>
          </w:tcPr>
          <w:p>
            <w:pPr>
              <w:ind w:left="440"/>
              <w:spacing w:after="0"/>
              <w:rPr>
                <w:sz w:val="20"/>
                <w:szCs w:val="20"/>
                <w:color w:val="auto"/>
              </w:rPr>
            </w:pPr>
            <w:r>
              <w:rPr>
                <w:rFonts w:ascii="Courier New" w:cs="Courier New" w:eastAsia="Courier New" w:hAnsi="Courier New"/>
                <w:sz w:val="15"/>
                <w:szCs w:val="15"/>
                <w:color w:val="auto"/>
              </w:rPr>
              <w:t>with exercise of stock options</w:t>
            </w:r>
          </w:p>
        </w:tc>
        <w:tc>
          <w:tcPr>
            <w:tcW w:w="1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931</w:t>
            </w:r>
          </w:p>
        </w:tc>
        <w:tc>
          <w:tcPr>
            <w:tcW w:w="1260" w:type="dxa"/>
            <w:vAlign w:val="bottom"/>
          </w:tcPr>
          <w:p>
            <w:pPr>
              <w:spacing w:after="0"/>
              <w:rPr>
                <w:sz w:val="14"/>
                <w:szCs w:val="14"/>
                <w:color w:val="auto"/>
              </w:rPr>
            </w:pP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Issuance of Common Stock in connection</w:t>
            </w:r>
          </w:p>
        </w:tc>
        <w:tc>
          <w:tcPr>
            <w:tcW w:w="1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3740" w:type="dxa"/>
            <w:vAlign w:val="bottom"/>
          </w:tcPr>
          <w:p>
            <w:pPr>
              <w:ind w:left="440"/>
              <w:spacing w:after="0"/>
              <w:rPr>
                <w:sz w:val="20"/>
                <w:szCs w:val="20"/>
                <w:color w:val="auto"/>
              </w:rPr>
            </w:pPr>
            <w:r>
              <w:rPr>
                <w:rFonts w:ascii="Courier New" w:cs="Courier New" w:eastAsia="Courier New" w:hAnsi="Courier New"/>
                <w:sz w:val="15"/>
                <w:szCs w:val="15"/>
                <w:color w:val="auto"/>
              </w:rPr>
              <w:t>with Company 401(k) Savings Plan</w:t>
            </w:r>
          </w:p>
        </w:tc>
        <w:tc>
          <w:tcPr>
            <w:tcW w:w="1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3740" w:type="dxa"/>
            <w:vAlign w:val="bottom"/>
          </w:tcPr>
          <w:p>
            <w:pPr>
              <w:ind w:left="440"/>
              <w:spacing w:after="0"/>
              <w:rPr>
                <w:sz w:val="20"/>
                <w:szCs w:val="20"/>
                <w:color w:val="auto"/>
              </w:rPr>
            </w:pPr>
            <w:r>
              <w:rPr>
                <w:rFonts w:ascii="Courier New" w:cs="Courier New" w:eastAsia="Courier New" w:hAnsi="Courier New"/>
                <w:sz w:val="15"/>
                <w:szCs w:val="15"/>
                <w:color w:val="auto"/>
              </w:rPr>
              <w:t>contribution</w:t>
            </w:r>
          </w:p>
        </w:tc>
        <w:tc>
          <w:tcPr>
            <w:tcW w:w="1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308</w:t>
            </w:r>
          </w:p>
        </w:tc>
        <w:tc>
          <w:tcPr>
            <w:tcW w:w="1260" w:type="dxa"/>
            <w:vAlign w:val="bottom"/>
          </w:tcPr>
          <w:p>
            <w:pPr>
              <w:spacing w:after="0"/>
              <w:rPr>
                <w:sz w:val="14"/>
                <w:szCs w:val="14"/>
                <w:color w:val="auto"/>
              </w:rPr>
            </w:pP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Conversion of Class A Stock to</w:t>
            </w:r>
          </w:p>
        </w:tc>
        <w:tc>
          <w:tcPr>
            <w:tcW w:w="1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3740" w:type="dxa"/>
            <w:vAlign w:val="bottom"/>
          </w:tcPr>
          <w:p>
            <w:pPr>
              <w:ind w:left="440"/>
              <w:spacing w:after="0"/>
              <w:rPr>
                <w:sz w:val="20"/>
                <w:szCs w:val="20"/>
                <w:color w:val="auto"/>
              </w:rPr>
            </w:pPr>
            <w:r>
              <w:rPr>
                <w:rFonts w:ascii="Courier New" w:cs="Courier New" w:eastAsia="Courier New" w:hAnsi="Courier New"/>
                <w:sz w:val="15"/>
                <w:szCs w:val="15"/>
                <w:color w:val="auto"/>
              </w:rPr>
              <w:t>Common Stock</w:t>
            </w:r>
          </w:p>
        </w:tc>
        <w:tc>
          <w:tcPr>
            <w:tcW w:w="1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76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(16,763)</w:t>
            </w:r>
          </w:p>
        </w:tc>
        <w:tc>
          <w:tcPr>
            <w:tcW w:w="2020" w:type="dxa"/>
            <w:vAlign w:val="bottom"/>
          </w:tcPr>
          <w:p>
            <w:pPr>
              <w:spacing w:after="0"/>
              <w:rPr>
                <w:sz w:val="14"/>
                <w:szCs w:val="14"/>
                <w:color w:val="auto"/>
              </w:rPr>
            </w:pP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(16,763)</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($16,763)</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Change in net unrealized (loss) gain</w:t>
            </w:r>
          </w:p>
        </w:tc>
        <w:tc>
          <w:tcPr>
            <w:tcW w:w="1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3740" w:type="dxa"/>
            <w:vAlign w:val="bottom"/>
          </w:tcPr>
          <w:p>
            <w:pPr>
              <w:ind w:left="440"/>
              <w:spacing w:after="0"/>
              <w:rPr>
                <w:sz w:val="20"/>
                <w:szCs w:val="20"/>
                <w:color w:val="auto"/>
              </w:rPr>
            </w:pPr>
            <w:r>
              <w:rPr>
                <w:rFonts w:ascii="Courier New" w:cs="Courier New" w:eastAsia="Courier New" w:hAnsi="Courier New"/>
                <w:sz w:val="15"/>
                <w:szCs w:val="15"/>
                <w:color w:val="auto"/>
              </w:rPr>
              <w:t>on marketable securities</w:t>
            </w:r>
          </w:p>
        </w:tc>
        <w:tc>
          <w:tcPr>
            <w:tcW w:w="1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(487)</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(487)</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(487)</w:t>
            </w:r>
          </w:p>
        </w:tc>
      </w:tr>
      <w:tr>
        <w:trPr>
          <w:trHeight w:val="170"/>
        </w:trPr>
        <w:tc>
          <w:tcPr>
            <w:tcW w:w="3740" w:type="dxa"/>
            <w:vAlign w:val="bottom"/>
          </w:tcPr>
          <w:p>
            <w:pPr>
              <w:spacing w:after="0"/>
              <w:rPr>
                <w:sz w:val="14"/>
                <w:szCs w:val="14"/>
                <w:color w:val="auto"/>
              </w:rPr>
            </w:pPr>
          </w:p>
        </w:tc>
        <w:tc>
          <w:tcPr>
            <w:tcW w:w="778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740" w:type="dxa"/>
            <w:vAlign w:val="bottom"/>
          </w:tcPr>
          <w:p>
            <w:pPr>
              <w:ind w:left="440"/>
              <w:spacing w:after="0"/>
              <w:rPr>
                <w:sz w:val="20"/>
                <w:szCs w:val="20"/>
                <w:color w:val="auto"/>
              </w:rPr>
            </w:pPr>
            <w:r>
              <w:rPr>
                <w:rFonts w:ascii="Courier New" w:cs="Courier New" w:eastAsia="Courier New" w:hAnsi="Courier New"/>
                <w:sz w:val="15"/>
                <w:szCs w:val="15"/>
                <w:color w:val="auto"/>
              </w:rPr>
              <w:t>Balance, June 30, 1999</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($180)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($193,996)</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($259)</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$115,396</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($17,250)</w:t>
            </w:r>
          </w:p>
        </w:tc>
      </w:tr>
      <w:tr>
        <w:trPr>
          <w:trHeight w:val="170"/>
        </w:trPr>
        <w:tc>
          <w:tcPr>
            <w:tcW w:w="3740" w:type="dxa"/>
            <w:vAlign w:val="bottom"/>
          </w:tcPr>
          <w:p>
            <w:pPr>
              <w:spacing w:after="0"/>
              <w:rPr>
                <w:sz w:val="14"/>
                <w:szCs w:val="14"/>
                <w:color w:val="auto"/>
              </w:rPr>
            </w:pPr>
          </w:p>
        </w:tc>
        <w:tc>
          <w:tcPr>
            <w:tcW w:w="778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5"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520"/>
          </w:cols>
          <w:pgMar w:left="240" w:top="791" w:right="139"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rPr>
          <w:sz w:val="20"/>
          <w:szCs w:val="20"/>
          <w:color w:val="auto"/>
        </w:rPr>
      </w:pPr>
      <w:r>
        <w:rPr>
          <w:rFonts w:ascii="Courier New" w:cs="Courier New" w:eastAsia="Courier New" w:hAnsi="Courier New"/>
          <w:sz w:val="15"/>
          <w:szCs w:val="15"/>
          <w:color w:val="auto"/>
        </w:rPr>
        <w:t>CONDENSED STATEMENTS OF CASH FLOWS (Unaudited)</w:t>
      </w:r>
    </w:p>
    <w:p>
      <w:pPr>
        <w:spacing w:after="0"/>
        <w:rPr>
          <w:sz w:val="20"/>
          <w:szCs w:val="20"/>
          <w:color w:val="auto"/>
        </w:rPr>
      </w:pPr>
      <w:r>
        <w:rPr>
          <w:rFonts w:ascii="Courier New" w:cs="Courier New" w:eastAsia="Courier New" w:hAnsi="Courier New"/>
          <w:sz w:val="15"/>
          <w:szCs w:val="15"/>
          <w:color w:val="auto"/>
        </w:rPr>
        <w:t>Increase (Decrease) in Cash and Cash Equivalents</w:t>
      </w:r>
    </w:p>
    <w:p>
      <w:pPr>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0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 June 30,</w:t>
            </w:r>
          </w:p>
        </w:tc>
      </w:tr>
      <w:tr>
        <w:trPr>
          <w:trHeight w:val="170"/>
        </w:trPr>
        <w:tc>
          <w:tcPr>
            <w:tcW w:w="6900" w:type="dxa"/>
            <w:vAlign w:val="bottom"/>
          </w:tcPr>
          <w:p>
            <w:pPr>
              <w:spacing w:after="0"/>
              <w:rPr>
                <w:sz w:val="14"/>
                <w:szCs w:val="14"/>
                <w:color w:val="auto"/>
              </w:rPr>
            </w:pP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6900" w:type="dxa"/>
            <w:vAlign w:val="bottom"/>
          </w:tcPr>
          <w:p>
            <w:pPr>
              <w:spacing w:after="0"/>
              <w:rPr>
                <w:sz w:val="14"/>
                <w:szCs w:val="14"/>
                <w:color w:val="auto"/>
              </w:rPr>
            </w:pP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509"/>
        </w:trPr>
        <w:tc>
          <w:tcPr>
            <w:tcW w:w="69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6900" w:type="dxa"/>
            <w:vAlign w:val="bottom"/>
          </w:tcPr>
          <w:p>
            <w:pPr>
              <w:ind w:left="340"/>
              <w:spacing w:after="0"/>
              <w:rPr>
                <w:sz w:val="20"/>
                <w:szCs w:val="20"/>
                <w:color w:val="auto"/>
              </w:rPr>
            </w:pPr>
            <w:r>
              <w:rPr>
                <w:rFonts w:ascii="Courier New" w:cs="Courier New" w:eastAsia="Courier New" w:hAnsi="Courier New"/>
                <w:sz w:val="15"/>
                <w:szCs w:val="15"/>
                <w:color w:val="auto"/>
              </w:rPr>
              <w:t>Net loss</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($16,763)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($1,689)</w:t>
            </w:r>
          </w:p>
        </w:tc>
      </w:tr>
      <w:tr>
        <w:trPr>
          <w:trHeight w:val="170"/>
        </w:trPr>
        <w:tc>
          <w:tcPr>
            <w:tcW w:w="6900" w:type="dxa"/>
            <w:vAlign w:val="bottom"/>
          </w:tcPr>
          <w:p>
            <w:pPr>
              <w:spacing w:after="0"/>
              <w:rPr>
                <w:sz w:val="14"/>
                <w:szCs w:val="14"/>
                <w:color w:val="auto"/>
              </w:rPr>
            </w:pP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900" w:type="dxa"/>
            <w:vAlign w:val="bottom"/>
          </w:tcPr>
          <w:p>
            <w:pPr>
              <w:ind w:left="340"/>
              <w:spacing w:after="0"/>
              <w:rPr>
                <w:sz w:val="20"/>
                <w:szCs w:val="20"/>
                <w:color w:val="auto"/>
              </w:rPr>
            </w:pPr>
            <w:r>
              <w:rPr>
                <w:rFonts w:ascii="Courier New" w:cs="Courier New" w:eastAsia="Courier New" w:hAnsi="Courier New"/>
                <w:sz w:val="15"/>
                <w:szCs w:val="15"/>
                <w:color w:val="auto"/>
              </w:rPr>
              <w:t>Adjustments to reconcile net loss to net cash</w:t>
            </w: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6900" w:type="dxa"/>
            <w:vAlign w:val="bottom"/>
          </w:tcPr>
          <w:p>
            <w:pPr>
              <w:ind w:left="520"/>
              <w:spacing w:after="0"/>
              <w:rPr>
                <w:sz w:val="20"/>
                <w:szCs w:val="20"/>
                <w:color w:val="auto"/>
              </w:rPr>
            </w:pPr>
            <w:r>
              <w:rPr>
                <w:rFonts w:ascii="Courier New" w:cs="Courier New" w:eastAsia="Courier New" w:hAnsi="Courier New"/>
                <w:sz w:val="15"/>
                <w:szCs w:val="15"/>
                <w:color w:val="auto"/>
              </w:rPr>
              <w:t>used in operating activities</w:t>
            </w: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6900" w:type="dxa"/>
            <w:vAlign w:val="bottom"/>
          </w:tcPr>
          <w:p>
            <w:pPr>
              <w:ind w:left="520"/>
              <w:spacing w:after="0"/>
              <w:rPr>
                <w:sz w:val="20"/>
                <w:szCs w:val="20"/>
                <w:color w:val="auto"/>
              </w:rPr>
            </w:pPr>
            <w:r>
              <w:rPr>
                <w:rFonts w:ascii="Courier New" w:cs="Courier New" w:eastAsia="Courier New" w:hAnsi="Courier New"/>
                <w:sz w:val="15"/>
                <w:szCs w:val="15"/>
                <w:color w:val="auto"/>
              </w:rPr>
              <w:t>Loss in Amgen-Regeneron Partners</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1,557</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873</w:t>
            </w:r>
          </w:p>
        </w:tc>
      </w:tr>
      <w:tr>
        <w:trPr>
          <w:trHeight w:val="170"/>
        </w:trPr>
        <w:tc>
          <w:tcPr>
            <w:tcW w:w="6900" w:type="dxa"/>
            <w:vAlign w:val="bottom"/>
          </w:tcPr>
          <w:p>
            <w:pPr>
              <w:ind w:left="520"/>
              <w:spacing w:after="0"/>
              <w:rPr>
                <w:sz w:val="20"/>
                <w:szCs w:val="20"/>
                <w:color w:val="auto"/>
              </w:rPr>
            </w:pPr>
            <w:r>
              <w:rPr>
                <w:rFonts w:ascii="Courier New" w:cs="Courier New" w:eastAsia="Courier New" w:hAnsi="Courier New"/>
                <w:sz w:val="15"/>
                <w:szCs w:val="15"/>
                <w:color w:val="auto"/>
              </w:rPr>
              <w:t>Depreciation and amortization</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1,554</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1,649</w:t>
            </w:r>
          </w:p>
        </w:tc>
      </w:tr>
      <w:tr>
        <w:trPr>
          <w:trHeight w:val="170"/>
        </w:trPr>
        <w:tc>
          <w:tcPr>
            <w:tcW w:w="6900" w:type="dxa"/>
            <w:vAlign w:val="bottom"/>
          </w:tcPr>
          <w:p>
            <w:pPr>
              <w:ind w:left="520"/>
              <w:spacing w:after="0"/>
              <w:rPr>
                <w:sz w:val="20"/>
                <w:szCs w:val="20"/>
                <w:color w:val="auto"/>
              </w:rPr>
            </w:pPr>
            <w:r>
              <w:rPr>
                <w:rFonts w:ascii="Courier New" w:cs="Courier New" w:eastAsia="Courier New" w:hAnsi="Courier New"/>
                <w:sz w:val="15"/>
                <w:szCs w:val="15"/>
                <w:color w:val="auto"/>
              </w:rPr>
              <w:t>Stock issued in consideration for services rendered</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180</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180</w:t>
            </w:r>
          </w:p>
        </w:tc>
      </w:tr>
      <w:tr>
        <w:trPr>
          <w:trHeight w:val="170"/>
        </w:trPr>
        <w:tc>
          <w:tcPr>
            <w:tcW w:w="6900" w:type="dxa"/>
            <w:vAlign w:val="bottom"/>
          </w:tcPr>
          <w:p>
            <w:pPr>
              <w:ind w:left="520"/>
              <w:spacing w:after="0"/>
              <w:rPr>
                <w:sz w:val="20"/>
                <w:szCs w:val="20"/>
                <w:color w:val="auto"/>
              </w:rPr>
            </w:pPr>
            <w:r>
              <w:rPr>
                <w:rFonts w:ascii="Courier New" w:cs="Courier New" w:eastAsia="Courier New" w:hAnsi="Courier New"/>
                <w:sz w:val="15"/>
                <w:szCs w:val="15"/>
                <w:color w:val="auto"/>
              </w:rPr>
              <w:t>Changes in assets and liabilities</w:t>
            </w: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6900" w:type="dxa"/>
            <w:vAlign w:val="bottom"/>
          </w:tcPr>
          <w:p>
            <w:pPr>
              <w:ind w:left="700"/>
              <w:spacing w:after="0"/>
              <w:rPr>
                <w:sz w:val="20"/>
                <w:szCs w:val="20"/>
                <w:color w:val="auto"/>
              </w:rPr>
            </w:pPr>
            <w:r>
              <w:rPr>
                <w:rFonts w:ascii="Courier New" w:cs="Courier New" w:eastAsia="Courier New" w:hAnsi="Courier New"/>
                <w:sz w:val="15"/>
                <w:szCs w:val="15"/>
                <w:color w:val="auto"/>
              </w:rPr>
              <w:t>Decrease (increase) in amounts due from The Procter &amp; Gamble Company</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(7,379)</w:t>
            </w:r>
          </w:p>
        </w:tc>
      </w:tr>
      <w:tr>
        <w:trPr>
          <w:trHeight w:val="170"/>
        </w:trPr>
        <w:tc>
          <w:tcPr>
            <w:tcW w:w="6900" w:type="dxa"/>
            <w:vAlign w:val="bottom"/>
          </w:tcPr>
          <w:p>
            <w:pPr>
              <w:ind w:left="700"/>
              <w:spacing w:after="0"/>
              <w:rPr>
                <w:sz w:val="20"/>
                <w:szCs w:val="20"/>
                <w:color w:val="auto"/>
              </w:rPr>
            </w:pPr>
            <w:r>
              <w:rPr>
                <w:rFonts w:ascii="Courier New" w:cs="Courier New" w:eastAsia="Courier New" w:hAnsi="Courier New"/>
                <w:sz w:val="15"/>
                <w:szCs w:val="15"/>
                <w:color w:val="auto"/>
              </w:rPr>
              <w:t>(Increase) decrease in amounts due from Merck &amp; Co., Inc.</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417</w:t>
            </w:r>
          </w:p>
        </w:tc>
      </w:tr>
      <w:tr>
        <w:trPr>
          <w:trHeight w:val="170"/>
        </w:trPr>
        <w:tc>
          <w:tcPr>
            <w:tcW w:w="6900" w:type="dxa"/>
            <w:vAlign w:val="bottom"/>
          </w:tcPr>
          <w:p>
            <w:pPr>
              <w:ind w:left="700"/>
              <w:spacing w:after="0"/>
              <w:rPr>
                <w:sz w:val="20"/>
                <w:szCs w:val="20"/>
                <w:color w:val="auto"/>
              </w:rPr>
            </w:pPr>
            <w:r>
              <w:rPr>
                <w:rFonts w:ascii="Courier New" w:cs="Courier New" w:eastAsia="Courier New" w:hAnsi="Courier New"/>
                <w:sz w:val="15"/>
                <w:szCs w:val="15"/>
                <w:color w:val="auto"/>
              </w:rPr>
              <w:t>Decrease (increase) in amounts due from Amgen-Regeneron Partners</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514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r>
      <w:tr>
        <w:trPr>
          <w:trHeight w:val="170"/>
        </w:trPr>
        <w:tc>
          <w:tcPr>
            <w:tcW w:w="6900" w:type="dxa"/>
            <w:vAlign w:val="bottom"/>
          </w:tcPr>
          <w:p>
            <w:pPr>
              <w:ind w:left="700"/>
              <w:spacing w:after="0"/>
              <w:rPr>
                <w:sz w:val="20"/>
                <w:szCs w:val="20"/>
                <w:color w:val="auto"/>
              </w:rPr>
            </w:pPr>
            <w:r>
              <w:rPr>
                <w:rFonts w:ascii="Courier New" w:cs="Courier New" w:eastAsia="Courier New" w:hAnsi="Courier New"/>
                <w:sz w:val="15"/>
                <w:szCs w:val="15"/>
                <w:color w:val="auto"/>
              </w:rPr>
              <w:t>Decrease in amounts due from Sumitomo Pharmaceuticals Co., Ltd.</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73</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1,180</w:t>
            </w:r>
          </w:p>
        </w:tc>
      </w:tr>
      <w:tr>
        <w:trPr>
          <w:trHeight w:val="170"/>
        </w:trPr>
        <w:tc>
          <w:tcPr>
            <w:tcW w:w="6900" w:type="dxa"/>
            <w:vAlign w:val="bottom"/>
          </w:tcPr>
          <w:p>
            <w:pPr>
              <w:ind w:left="700"/>
              <w:spacing w:after="0"/>
              <w:rPr>
                <w:sz w:val="20"/>
                <w:szCs w:val="20"/>
                <w:color w:val="auto"/>
              </w:rPr>
            </w:pPr>
            <w:r>
              <w:rPr>
                <w:rFonts w:ascii="Courier New" w:cs="Courier New" w:eastAsia="Courier New" w:hAnsi="Courier New"/>
                <w:sz w:val="15"/>
                <w:szCs w:val="15"/>
                <w:color w:val="auto"/>
              </w:rPr>
              <w:t>Increase in investment in Amgen-Regeneron Partners</w:t>
            </w:r>
          </w:p>
        </w:tc>
        <w:tc>
          <w:tcPr>
            <w:tcW w:w="1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(2,423)</w:t>
            </w:r>
          </w:p>
        </w:tc>
      </w:tr>
      <w:tr>
        <w:trPr>
          <w:trHeight w:val="170"/>
        </w:trPr>
        <w:tc>
          <w:tcPr>
            <w:tcW w:w="6900" w:type="dxa"/>
            <w:vAlign w:val="bottom"/>
          </w:tcPr>
          <w:p>
            <w:pPr>
              <w:ind w:left="700"/>
              <w:spacing w:after="0"/>
              <w:rPr>
                <w:sz w:val="20"/>
                <w:szCs w:val="20"/>
                <w:color w:val="auto"/>
              </w:rPr>
            </w:pPr>
            <w:r>
              <w:rPr>
                <w:rFonts w:ascii="Courier New" w:cs="Courier New" w:eastAsia="Courier New" w:hAnsi="Courier New"/>
                <w:sz w:val="15"/>
                <w:szCs w:val="15"/>
                <w:color w:val="auto"/>
              </w:rPr>
              <w:t>Increase in prepaid expenses and other assets</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(461)</w:t>
            </w:r>
          </w:p>
        </w:tc>
      </w:tr>
      <w:tr>
        <w:trPr>
          <w:trHeight w:val="170"/>
        </w:trPr>
        <w:tc>
          <w:tcPr>
            <w:tcW w:w="6900" w:type="dxa"/>
            <w:vAlign w:val="bottom"/>
          </w:tcPr>
          <w:p>
            <w:pPr>
              <w:ind w:left="700"/>
              <w:spacing w:after="0"/>
              <w:rPr>
                <w:sz w:val="20"/>
                <w:szCs w:val="20"/>
                <w:color w:val="auto"/>
              </w:rPr>
            </w:pPr>
            <w:r>
              <w:rPr>
                <w:rFonts w:ascii="Courier New" w:cs="Courier New" w:eastAsia="Courier New" w:hAnsi="Courier New"/>
                <w:sz w:val="15"/>
                <w:szCs w:val="15"/>
                <w:color w:val="auto"/>
              </w:rPr>
              <w:t>Decrease in deferred revenue</w:t>
            </w:r>
          </w:p>
        </w:tc>
        <w:tc>
          <w:tcPr>
            <w:tcW w:w="1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(1,807)</w:t>
            </w:r>
          </w:p>
        </w:tc>
      </w:tr>
      <w:tr>
        <w:trPr>
          <w:trHeight w:val="170"/>
        </w:trPr>
        <w:tc>
          <w:tcPr>
            <w:tcW w:w="6900" w:type="dxa"/>
            <w:vAlign w:val="bottom"/>
          </w:tcPr>
          <w:p>
            <w:pPr>
              <w:ind w:left="700"/>
              <w:spacing w:after="0"/>
              <w:rPr>
                <w:sz w:val="20"/>
                <w:szCs w:val="20"/>
                <w:color w:val="auto"/>
              </w:rPr>
            </w:pPr>
            <w:r>
              <w:rPr>
                <w:rFonts w:ascii="Courier New" w:cs="Courier New" w:eastAsia="Courier New" w:hAnsi="Courier New"/>
                <w:sz w:val="15"/>
                <w:szCs w:val="15"/>
                <w:color w:val="auto"/>
              </w:rPr>
              <w:t>(Decrease) increase in accounts payable, accrued expenses,</w:t>
            </w: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6900" w:type="dxa"/>
            <w:vAlign w:val="bottom"/>
          </w:tcPr>
          <w:p>
            <w:pPr>
              <w:ind w:left="960"/>
              <w:spacing w:after="0"/>
              <w:rPr>
                <w:sz w:val="20"/>
                <w:szCs w:val="20"/>
                <w:color w:val="auto"/>
              </w:rPr>
            </w:pPr>
            <w:r>
              <w:rPr>
                <w:rFonts w:ascii="Courier New" w:cs="Courier New" w:eastAsia="Courier New" w:hAnsi="Courier New"/>
                <w:sz w:val="15"/>
                <w:szCs w:val="15"/>
                <w:color w:val="auto"/>
              </w:rPr>
              <w:t>and other liabilities</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(364)</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881</w:t>
            </w:r>
          </w:p>
        </w:tc>
      </w:tr>
      <w:tr>
        <w:trPr>
          <w:trHeight w:val="170"/>
        </w:trPr>
        <w:tc>
          <w:tcPr>
            <w:tcW w:w="6900" w:type="dxa"/>
            <w:vAlign w:val="bottom"/>
          </w:tcPr>
          <w:p>
            <w:pPr>
              <w:spacing w:after="0"/>
              <w:rPr>
                <w:sz w:val="14"/>
                <w:szCs w:val="14"/>
                <w:color w:val="auto"/>
              </w:rPr>
            </w:pP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900" w:type="dxa"/>
            <w:vAlign w:val="bottom"/>
          </w:tcPr>
          <w:p>
            <w:pPr>
              <w:ind w:left="1580"/>
              <w:spacing w:after="0"/>
              <w:rPr>
                <w:sz w:val="20"/>
                <w:szCs w:val="20"/>
                <w:color w:val="auto"/>
              </w:rPr>
            </w:pPr>
            <w:r>
              <w:rPr>
                <w:rFonts w:ascii="Courier New" w:cs="Courier New" w:eastAsia="Courier New" w:hAnsi="Courier New"/>
                <w:sz w:val="15"/>
                <w:szCs w:val="15"/>
                <w:color w:val="auto"/>
              </w:rPr>
              <w:t>Total adjustments</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3,644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(7,008)</w:t>
            </w:r>
          </w:p>
        </w:tc>
      </w:tr>
      <w:tr>
        <w:trPr>
          <w:trHeight w:val="170"/>
        </w:trPr>
        <w:tc>
          <w:tcPr>
            <w:tcW w:w="6900" w:type="dxa"/>
            <w:vAlign w:val="bottom"/>
          </w:tcPr>
          <w:p>
            <w:pPr>
              <w:spacing w:after="0"/>
              <w:rPr>
                <w:sz w:val="14"/>
                <w:szCs w:val="14"/>
                <w:color w:val="auto"/>
              </w:rPr>
            </w:pP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900" w:type="dxa"/>
            <w:vAlign w:val="bottom"/>
          </w:tcPr>
          <w:p>
            <w:pPr>
              <w:ind w:left="960"/>
              <w:spacing w:after="0"/>
              <w:rPr>
                <w:sz w:val="20"/>
                <w:szCs w:val="20"/>
                <w:color w:val="auto"/>
              </w:rPr>
            </w:pPr>
            <w:r>
              <w:rPr>
                <w:rFonts w:ascii="Courier New" w:cs="Courier New" w:eastAsia="Courier New" w:hAnsi="Courier New"/>
                <w:sz w:val="15"/>
                <w:szCs w:val="15"/>
                <w:color w:val="auto"/>
              </w:rPr>
              <w:t>Net cash used in operating activities</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(13,119)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(8,697)</w:t>
            </w:r>
          </w:p>
        </w:tc>
      </w:tr>
      <w:tr>
        <w:trPr>
          <w:trHeight w:val="170"/>
        </w:trPr>
        <w:tc>
          <w:tcPr>
            <w:tcW w:w="6900" w:type="dxa"/>
            <w:vAlign w:val="bottom"/>
          </w:tcPr>
          <w:p>
            <w:pPr>
              <w:spacing w:after="0"/>
              <w:rPr>
                <w:sz w:val="14"/>
                <w:szCs w:val="14"/>
                <w:color w:val="auto"/>
              </w:rPr>
            </w:pP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9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6900" w:type="dxa"/>
            <w:vAlign w:val="bottom"/>
          </w:tcPr>
          <w:p>
            <w:pPr>
              <w:ind w:left="340"/>
              <w:spacing w:after="0"/>
              <w:rPr>
                <w:sz w:val="20"/>
                <w:szCs w:val="20"/>
                <w:color w:val="auto"/>
              </w:rPr>
            </w:pPr>
            <w:r>
              <w:rPr>
                <w:rFonts w:ascii="Courier New" w:cs="Courier New" w:eastAsia="Courier New" w:hAnsi="Courier New"/>
                <w:sz w:val="15"/>
                <w:szCs w:val="15"/>
                <w:color w:val="auto"/>
              </w:rPr>
              <w:t>Purchases of marketable securities</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(42,225)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(43,883)</w:t>
            </w:r>
          </w:p>
        </w:tc>
      </w:tr>
      <w:tr>
        <w:trPr>
          <w:trHeight w:val="170"/>
        </w:trPr>
        <w:tc>
          <w:tcPr>
            <w:tcW w:w="6900" w:type="dxa"/>
            <w:vAlign w:val="bottom"/>
          </w:tcPr>
          <w:p>
            <w:pPr>
              <w:ind w:left="340"/>
              <w:spacing w:after="0"/>
              <w:rPr>
                <w:sz w:val="20"/>
                <w:szCs w:val="20"/>
                <w:color w:val="auto"/>
              </w:rPr>
            </w:pPr>
            <w:r>
              <w:rPr>
                <w:rFonts w:ascii="Courier New" w:cs="Courier New" w:eastAsia="Courier New" w:hAnsi="Courier New"/>
                <w:sz w:val="15"/>
                <w:szCs w:val="15"/>
                <w:color w:val="auto"/>
              </w:rPr>
              <w:t>Sales of marketable securities</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59,503</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48,096</w:t>
            </w:r>
          </w:p>
        </w:tc>
      </w:tr>
      <w:tr>
        <w:trPr>
          <w:trHeight w:val="170"/>
        </w:trPr>
        <w:tc>
          <w:tcPr>
            <w:tcW w:w="6900" w:type="dxa"/>
            <w:vAlign w:val="bottom"/>
          </w:tcPr>
          <w:p>
            <w:pPr>
              <w:ind w:left="340"/>
              <w:spacing w:after="0"/>
              <w:rPr>
                <w:sz w:val="20"/>
                <w:szCs w:val="20"/>
                <w:color w:val="auto"/>
              </w:rPr>
            </w:pPr>
            <w:r>
              <w:rPr>
                <w:rFonts w:ascii="Courier New" w:cs="Courier New" w:eastAsia="Courier New" w:hAnsi="Courier New"/>
                <w:sz w:val="15"/>
                <w:szCs w:val="15"/>
                <w:color w:val="auto"/>
              </w:rPr>
              <w:t>Capital expenditures</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(3,728)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(1,090)</w:t>
            </w:r>
          </w:p>
        </w:tc>
      </w:tr>
      <w:tr>
        <w:trPr>
          <w:trHeight w:val="170"/>
        </w:trPr>
        <w:tc>
          <w:tcPr>
            <w:tcW w:w="6900" w:type="dxa"/>
            <w:vAlign w:val="bottom"/>
          </w:tcPr>
          <w:p>
            <w:pPr>
              <w:spacing w:after="0"/>
              <w:rPr>
                <w:sz w:val="14"/>
                <w:szCs w:val="14"/>
                <w:color w:val="auto"/>
              </w:rPr>
            </w:pP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900" w:type="dxa"/>
            <w:vAlign w:val="bottom"/>
          </w:tcPr>
          <w:p>
            <w:pPr>
              <w:ind w:left="960"/>
              <w:spacing w:after="0"/>
              <w:rPr>
                <w:sz w:val="20"/>
                <w:szCs w:val="20"/>
                <w:color w:val="auto"/>
              </w:rPr>
            </w:pPr>
            <w:r>
              <w:rPr>
                <w:rFonts w:ascii="Courier New" w:cs="Courier New" w:eastAsia="Courier New" w:hAnsi="Courier New"/>
                <w:sz w:val="15"/>
                <w:szCs w:val="15"/>
                <w:color w:val="auto"/>
              </w:rPr>
              <w:t>Net cash provided by investing activities</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13,550</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3,123</w:t>
            </w:r>
          </w:p>
        </w:tc>
      </w:tr>
      <w:tr>
        <w:trPr>
          <w:trHeight w:val="170"/>
        </w:trPr>
        <w:tc>
          <w:tcPr>
            <w:tcW w:w="6900" w:type="dxa"/>
            <w:vAlign w:val="bottom"/>
          </w:tcPr>
          <w:p>
            <w:pPr>
              <w:spacing w:after="0"/>
              <w:rPr>
                <w:sz w:val="14"/>
                <w:szCs w:val="14"/>
                <w:color w:val="auto"/>
              </w:rPr>
            </w:pP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9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6900" w:type="dxa"/>
            <w:vAlign w:val="bottom"/>
          </w:tcPr>
          <w:p>
            <w:pPr>
              <w:ind w:left="340"/>
              <w:spacing w:after="0"/>
              <w:rPr>
                <w:sz w:val="20"/>
                <w:szCs w:val="20"/>
                <w:color w:val="auto"/>
              </w:rPr>
            </w:pPr>
            <w:r>
              <w:rPr>
                <w:rFonts w:ascii="Courier New" w:cs="Courier New" w:eastAsia="Courier New" w:hAnsi="Courier New"/>
                <w:sz w:val="15"/>
                <w:szCs w:val="15"/>
                <w:color w:val="auto"/>
              </w:rPr>
              <w:t>Net proceeds from the issuance of stock</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931</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407</w:t>
            </w:r>
          </w:p>
        </w:tc>
      </w:tr>
      <w:tr>
        <w:trPr>
          <w:trHeight w:val="170"/>
        </w:trPr>
        <w:tc>
          <w:tcPr>
            <w:tcW w:w="6900" w:type="dxa"/>
            <w:vAlign w:val="bottom"/>
          </w:tcPr>
          <w:p>
            <w:pPr>
              <w:ind w:left="340"/>
              <w:spacing w:after="0"/>
              <w:rPr>
                <w:sz w:val="20"/>
                <w:szCs w:val="20"/>
                <w:color w:val="auto"/>
              </w:rPr>
            </w:pPr>
            <w:r>
              <w:rPr>
                <w:rFonts w:ascii="Courier New" w:cs="Courier New" w:eastAsia="Courier New" w:hAnsi="Courier New"/>
                <w:sz w:val="15"/>
                <w:szCs w:val="15"/>
                <w:color w:val="auto"/>
              </w:rPr>
              <w:t>Principal payments on note payable</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0"/>
        </w:trPr>
        <w:tc>
          <w:tcPr>
            <w:tcW w:w="6900" w:type="dxa"/>
            <w:vAlign w:val="bottom"/>
          </w:tcPr>
          <w:p>
            <w:pPr>
              <w:ind w:left="340"/>
              <w:spacing w:after="0"/>
              <w:rPr>
                <w:sz w:val="20"/>
                <w:szCs w:val="20"/>
                <w:color w:val="auto"/>
              </w:rPr>
            </w:pPr>
            <w:r>
              <w:rPr>
                <w:rFonts w:ascii="Courier New" w:cs="Courier New" w:eastAsia="Courier New" w:hAnsi="Courier New"/>
                <w:sz w:val="15"/>
                <w:szCs w:val="15"/>
                <w:color w:val="auto"/>
              </w:rPr>
              <w:t>Capital lease payments</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(1,180)</w:t>
            </w:r>
          </w:p>
        </w:tc>
      </w:tr>
      <w:tr>
        <w:trPr>
          <w:trHeight w:val="170"/>
        </w:trPr>
        <w:tc>
          <w:tcPr>
            <w:tcW w:w="6900" w:type="dxa"/>
            <w:vAlign w:val="bottom"/>
          </w:tcPr>
          <w:p>
            <w:pPr>
              <w:spacing w:after="0"/>
              <w:rPr>
                <w:sz w:val="14"/>
                <w:szCs w:val="14"/>
                <w:color w:val="auto"/>
              </w:rPr>
            </w:pP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900" w:type="dxa"/>
            <w:vAlign w:val="bottom"/>
          </w:tcPr>
          <w:p>
            <w:pPr>
              <w:ind w:left="960"/>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(809)</w:t>
            </w:r>
          </w:p>
        </w:tc>
      </w:tr>
      <w:tr>
        <w:trPr>
          <w:trHeight w:val="170"/>
        </w:trPr>
        <w:tc>
          <w:tcPr>
            <w:tcW w:w="6900" w:type="dxa"/>
            <w:vAlign w:val="bottom"/>
          </w:tcPr>
          <w:p>
            <w:pPr>
              <w:spacing w:after="0"/>
              <w:rPr>
                <w:sz w:val="14"/>
                <w:szCs w:val="14"/>
                <w:color w:val="auto"/>
              </w:rPr>
            </w:pP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900" w:type="dxa"/>
            <w:vAlign w:val="bottom"/>
          </w:tcPr>
          <w:p>
            <w:pPr>
              <w:ind w:left="960"/>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803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(6,383)</w:t>
            </w:r>
          </w:p>
        </w:tc>
      </w:tr>
      <w:tr>
        <w:trPr>
          <w:trHeight w:val="170"/>
        </w:trPr>
        <w:tc>
          <w:tcPr>
            <w:tcW w:w="6900" w:type="dxa"/>
            <w:vAlign w:val="bottom"/>
          </w:tcPr>
          <w:p>
            <w:pPr>
              <w:spacing w:after="0"/>
              <w:rPr>
                <w:sz w:val="14"/>
                <w:szCs w:val="14"/>
                <w:color w:val="auto"/>
              </w:rPr>
            </w:pP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9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19,757</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28,921</w:t>
            </w:r>
          </w:p>
        </w:tc>
      </w:tr>
      <w:tr>
        <w:trPr>
          <w:trHeight w:val="170"/>
        </w:trPr>
        <w:tc>
          <w:tcPr>
            <w:tcW w:w="6900" w:type="dxa"/>
            <w:vAlign w:val="bottom"/>
          </w:tcPr>
          <w:p>
            <w:pPr>
              <w:spacing w:after="0"/>
              <w:rPr>
                <w:sz w:val="14"/>
                <w:szCs w:val="14"/>
                <w:color w:val="auto"/>
              </w:rPr>
            </w:pP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900" w:type="dxa"/>
            <w:vAlign w:val="bottom"/>
          </w:tcPr>
          <w:p>
            <w:pPr>
              <w:ind w:left="960"/>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$20,560</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$22,538</w:t>
            </w:r>
          </w:p>
        </w:tc>
      </w:tr>
      <w:tr>
        <w:trPr>
          <w:trHeight w:val="170"/>
        </w:trPr>
        <w:tc>
          <w:tcPr>
            <w:tcW w:w="6900" w:type="dxa"/>
            <w:vAlign w:val="bottom"/>
          </w:tcPr>
          <w:p>
            <w:pPr>
              <w:spacing w:after="0"/>
              <w:rPr>
                <w:sz w:val="14"/>
                <w:szCs w:val="14"/>
                <w:color w:val="auto"/>
              </w:rPr>
            </w:pP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791" w:right="1440" w:bottom="1440" w:gutter="0" w:footer="0" w:header="0"/>
        </w:sectPr>
      </w:pPr>
    </w:p>
    <w:bookmarkStart w:id="6" w:name="page7"/>
    <w:bookmarkEnd w:id="6"/>
    <w:p>
      <w:pPr>
        <w:ind w:left="10"/>
        <w:spacing w:after="0"/>
        <w:rPr>
          <w:sz w:val="20"/>
          <w:szCs w:val="20"/>
          <w:color w:val="auto"/>
        </w:rPr>
      </w:pPr>
      <w:r>
        <w:rPr>
          <w:rFonts w:ascii="Courier New" w:cs="Courier New" w:eastAsia="Courier New" w:hAnsi="Courier New"/>
          <w:sz w:val="15"/>
          <w:szCs w:val="15"/>
          <w:color w:val="auto"/>
        </w:rPr>
        <w:t>REGENERON PHARMACEUTICALS, INC.</w:t>
      </w:r>
    </w:p>
    <w:p>
      <w:pPr>
        <w:ind w:left="10"/>
        <w:spacing w:after="0"/>
        <w:rPr>
          <w:sz w:val="20"/>
          <w:szCs w:val="20"/>
          <w:color w:val="auto"/>
        </w:rPr>
      </w:pPr>
      <w:r>
        <w:rPr>
          <w:rFonts w:ascii="Courier New" w:cs="Courier New" w:eastAsia="Courier New" w:hAnsi="Courier New"/>
          <w:sz w:val="15"/>
          <w:szCs w:val="15"/>
          <w:color w:val="auto"/>
        </w:rPr>
        <w:t>Notes to Condensed Financial Statements</w:t>
      </w:r>
    </w:p>
    <w:p>
      <w:pPr>
        <w:ind w:left="1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38" w:lineRule="exact"/>
        <w:rPr>
          <w:sz w:val="20"/>
          <w:szCs w:val="20"/>
          <w:color w:val="auto"/>
        </w:rPr>
      </w:pPr>
    </w:p>
    <w:p>
      <w:pPr>
        <w:ind w:left="790" w:hanging="790"/>
        <w:spacing w:after="0"/>
        <w:tabs>
          <w:tab w:leader="none" w:pos="79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Interim Financial Statements</w:t>
      </w:r>
    </w:p>
    <w:p>
      <w:pPr>
        <w:spacing w:after="0" w:line="174" w:lineRule="exact"/>
        <w:rPr>
          <w:rFonts w:ascii="Courier New" w:cs="Courier New" w:eastAsia="Courier New" w:hAnsi="Courier New"/>
          <w:sz w:val="15"/>
          <w:szCs w:val="15"/>
          <w:color w:val="auto"/>
        </w:rPr>
      </w:pPr>
    </w:p>
    <w:p>
      <w:pPr>
        <w:ind w:left="79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interim Condensed Financial Statements of Regeneron Pharmaceuticals, Inc.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generally accepted accounting principles. In the opinion of management, these financial statements reflect all adjustments, consisting only of normal recurring accruals, necessary for a fair presentation of the Company's financial position, results of operation, and cash flows for such periods. The results of operations for any interim periods are not necessarily indicative of the results for the full year. These financial statements should be read in conjunction with the financial statements and notes thereto contained in the Company's Annual Report on Form 10-K for the year ended December 31, 1998.</w:t>
      </w:r>
    </w:p>
    <w:p>
      <w:pPr>
        <w:spacing w:after="0" w:line="328"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Cash Flows</w:t>
      </w:r>
    </w:p>
    <w:p>
      <w:pPr>
        <w:spacing w:after="0" w:line="169"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disclosure of noncash investing and financing activities:</w:t>
      </w:r>
    </w:p>
    <w:p>
      <w:pPr>
        <w:spacing w:after="0" w:line="174" w:lineRule="exact"/>
        <w:rPr>
          <w:rFonts w:ascii="Courier New" w:cs="Courier New" w:eastAsia="Courier New" w:hAnsi="Courier New"/>
          <w:sz w:val="15"/>
          <w:szCs w:val="15"/>
          <w:color w:val="auto"/>
        </w:rPr>
      </w:pPr>
    </w:p>
    <w:p>
      <w:pPr>
        <w:ind w:left="790" w:right="317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Included in accounts payable and accrued expenses at June 30, 1999 and December 31, 1998 were approximately $455 and $469, respectively, of accrued capital expenditures. Included in accounts payable and accrued expenses at June 30, 1998 and December 31, 1997 were approximately $190 and $635, respectively, of accrued capital expenditures.</w:t>
      </w:r>
    </w:p>
    <w:p>
      <w:pPr>
        <w:spacing w:after="0" w:line="164" w:lineRule="exact"/>
        <w:rPr>
          <w:rFonts w:ascii="Courier New" w:cs="Courier New" w:eastAsia="Courier New" w:hAnsi="Courier New"/>
          <w:sz w:val="15"/>
          <w:szCs w:val="15"/>
          <w:color w:val="auto"/>
        </w:rPr>
      </w:pPr>
    </w:p>
    <w:p>
      <w:pPr>
        <w:ind w:left="79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accounts payable and accrued expenses at December 31, 1998 was approximately $308 of accrued Company 401(k) Savings Plan contribution expense. During January 1999 the Company contributed approximately thirty-eight thousand shares of Common Stock to the 401(k) Savings Plan in satisfaction of this obligation.</w:t>
      </w:r>
    </w:p>
    <w:p>
      <w:pPr>
        <w:spacing w:after="0" w:line="178" w:lineRule="exact"/>
        <w:rPr>
          <w:rFonts w:ascii="Courier New" w:cs="Courier New" w:eastAsia="Courier New" w:hAnsi="Courier New"/>
          <w:sz w:val="15"/>
          <w:szCs w:val="15"/>
          <w:color w:val="auto"/>
        </w:rPr>
      </w:pPr>
    </w:p>
    <w:p>
      <w:pPr>
        <w:ind w:left="790" w:right="34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Capital lease obligations of $451 were incurred during the first six months of 1998 when the Company leased new equipment.</w:t>
      </w:r>
    </w:p>
    <w:p>
      <w:pPr>
        <w:spacing w:after="0" w:line="339"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Payable and Accrued Expenses</w:t>
      </w:r>
    </w:p>
    <w:p>
      <w:pPr>
        <w:spacing w:after="0" w:line="174" w:lineRule="exact"/>
        <w:rPr>
          <w:rFonts w:ascii="Courier New" w:cs="Courier New" w:eastAsia="Courier New" w:hAnsi="Courier New"/>
          <w:sz w:val="15"/>
          <w:szCs w:val="15"/>
          <w:color w:val="auto"/>
        </w:rPr>
      </w:pPr>
    </w:p>
    <w:p>
      <w:pPr>
        <w:ind w:left="790" w:right="32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payable and accrued expenses as of June 30, 1999 and December 31, 1998 consist of the following:</w:t>
      </w:r>
    </w:p>
    <w:p>
      <w:pPr>
        <w:spacing w:after="0" w:line="200" w:lineRule="exact"/>
        <w:rPr>
          <w:sz w:val="20"/>
          <w:szCs w:val="20"/>
          <w:color w:val="auto"/>
        </w:rPr>
      </w:pPr>
    </w:p>
    <w:p>
      <w:pPr>
        <w:spacing w:after="0" w:line="309" w:lineRule="exact"/>
        <w:rPr>
          <w:sz w:val="20"/>
          <w:szCs w:val="20"/>
          <w:color w:val="auto"/>
        </w:rPr>
      </w:pPr>
    </w:p>
    <w:tbl>
      <w:tblPr>
        <w:tblLayout w:type="fixed"/>
        <w:tblInd w:w="133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1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June 30,</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3740" w:type="dxa"/>
            <w:vAlign w:val="bottom"/>
          </w:tcPr>
          <w:p>
            <w:pPr>
              <w:spacing w:after="0"/>
              <w:rPr>
                <w:sz w:val="14"/>
                <w:szCs w:val="14"/>
                <w:color w:val="auto"/>
              </w:rPr>
            </w:pP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1999</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3740" w:type="dxa"/>
            <w:vAlign w:val="bottom"/>
          </w:tcPr>
          <w:p>
            <w:pPr>
              <w:spacing w:after="0"/>
              <w:rPr>
                <w:sz w:val="14"/>
                <w:szCs w:val="14"/>
                <w:color w:val="auto"/>
              </w:rPr>
            </w:pP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339"/>
        </w:trPr>
        <w:tc>
          <w:tcPr>
            <w:tcW w:w="374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18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$1,680</w:t>
            </w:r>
          </w:p>
        </w:tc>
        <w:tc>
          <w:tcPr>
            <w:tcW w:w="1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$2,223</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Accrued payroll and related costs</w:t>
            </w:r>
          </w:p>
        </w:tc>
        <w:tc>
          <w:tcPr>
            <w:tcW w:w="18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2,056</w:t>
            </w:r>
          </w:p>
        </w:tc>
        <w:tc>
          <w:tcPr>
            <w:tcW w:w="1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1,346</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Accrued clinical trial expense</w:t>
            </w:r>
          </w:p>
        </w:tc>
        <w:tc>
          <w:tcPr>
            <w:tcW w:w="18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300</w:t>
            </w:r>
          </w:p>
        </w:tc>
        <w:tc>
          <w:tcPr>
            <w:tcW w:w="1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1,336</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Accrued expenses, other</w:t>
            </w:r>
          </w:p>
        </w:tc>
        <w:tc>
          <w:tcPr>
            <w:tcW w:w="18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531</w:t>
            </w:r>
          </w:p>
        </w:tc>
        <w:tc>
          <w:tcPr>
            <w:tcW w:w="1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359</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Deferred compensation</w:t>
            </w:r>
          </w:p>
        </w:tc>
        <w:tc>
          <w:tcPr>
            <w:tcW w:w="18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287</w:t>
            </w:r>
          </w:p>
        </w:tc>
        <w:tc>
          <w:tcPr>
            <w:tcW w:w="1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287</w:t>
            </w:r>
          </w:p>
        </w:tc>
      </w:tr>
      <w:tr>
        <w:trPr>
          <w:trHeight w:val="170"/>
        </w:trPr>
        <w:tc>
          <w:tcPr>
            <w:tcW w:w="3740" w:type="dxa"/>
            <w:vAlign w:val="bottom"/>
          </w:tcPr>
          <w:p>
            <w:pPr>
              <w:spacing w:after="0"/>
              <w:rPr>
                <w:sz w:val="14"/>
                <w:szCs w:val="14"/>
                <w:color w:val="auto"/>
              </w:rPr>
            </w:pPr>
          </w:p>
        </w:tc>
        <w:tc>
          <w:tcPr>
            <w:tcW w:w="18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40" w:type="dxa"/>
            <w:vAlign w:val="bottom"/>
          </w:tcPr>
          <w:p>
            <w:pPr>
              <w:spacing w:after="0"/>
              <w:rPr>
                <w:sz w:val="14"/>
                <w:szCs w:val="14"/>
                <w:color w:val="auto"/>
              </w:rPr>
            </w:pPr>
          </w:p>
        </w:tc>
        <w:tc>
          <w:tcPr>
            <w:tcW w:w="18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$4,854</w:t>
            </w:r>
          </w:p>
        </w:tc>
        <w:tc>
          <w:tcPr>
            <w:tcW w:w="1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$5,551</w:t>
            </w:r>
          </w:p>
        </w:tc>
      </w:tr>
      <w:tr>
        <w:trPr>
          <w:trHeight w:val="170"/>
        </w:trPr>
        <w:tc>
          <w:tcPr>
            <w:tcW w:w="3740" w:type="dxa"/>
            <w:vAlign w:val="bottom"/>
          </w:tcPr>
          <w:p>
            <w:pPr>
              <w:spacing w:after="0"/>
              <w:rPr>
                <w:sz w:val="14"/>
                <w:szCs w:val="14"/>
                <w:color w:val="auto"/>
              </w:rPr>
            </w:pPr>
          </w:p>
        </w:tc>
        <w:tc>
          <w:tcPr>
            <w:tcW w:w="18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509"/>
        </w:trPr>
        <w:tc>
          <w:tcPr>
            <w:tcW w:w="3740" w:type="dxa"/>
            <w:vAlign w:val="bottom"/>
          </w:tcPr>
          <w:p>
            <w:pPr>
              <w:ind w:left="2100"/>
              <w:spacing w:after="0"/>
              <w:rPr>
                <w:sz w:val="20"/>
                <w:szCs w:val="20"/>
                <w:color w:val="auto"/>
              </w:rPr>
            </w:pPr>
            <w:r>
              <w:rPr>
                <w:rFonts w:ascii="Courier New" w:cs="Courier New" w:eastAsia="Courier New" w:hAnsi="Courier New"/>
                <w:sz w:val="15"/>
                <w:szCs w:val="15"/>
                <w:color w:val="auto"/>
              </w:rPr>
              <w:t>7</w:t>
            </w:r>
          </w:p>
        </w:tc>
        <w:tc>
          <w:tcPr>
            <w:tcW w:w="18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229"/>
          </w:cols>
          <w:pgMar w:left="230" w:top="622" w:right="1440" w:bottom="1440" w:gutter="0" w:footer="0" w:header="0"/>
        </w:sectPr>
      </w:pPr>
    </w:p>
    <w:bookmarkStart w:id="7" w:name="page8"/>
    <w:bookmarkEnd w:id="7"/>
    <w:p>
      <w:pPr>
        <w:ind w:left="10"/>
        <w:spacing w:after="0"/>
        <w:rPr>
          <w:sz w:val="20"/>
          <w:szCs w:val="20"/>
          <w:color w:val="auto"/>
        </w:rPr>
      </w:pPr>
      <w:r>
        <w:rPr>
          <w:rFonts w:ascii="Courier New" w:cs="Courier New" w:eastAsia="Courier New" w:hAnsi="Courier New"/>
          <w:sz w:val="15"/>
          <w:szCs w:val="15"/>
          <w:color w:val="auto"/>
        </w:rPr>
        <w:t>REGENERON PHARMACEUTICALS, INC.</w:t>
      </w:r>
    </w:p>
    <w:p>
      <w:pPr>
        <w:ind w:left="10"/>
        <w:spacing w:after="0"/>
        <w:rPr>
          <w:sz w:val="20"/>
          <w:szCs w:val="20"/>
          <w:color w:val="auto"/>
        </w:rPr>
      </w:pPr>
      <w:r>
        <w:rPr>
          <w:rFonts w:ascii="Courier New" w:cs="Courier New" w:eastAsia="Courier New" w:hAnsi="Courier New"/>
          <w:sz w:val="15"/>
          <w:szCs w:val="15"/>
          <w:color w:val="auto"/>
        </w:rPr>
        <w:t>Notes to Condensed Financial Statements</w:t>
      </w:r>
    </w:p>
    <w:p>
      <w:pPr>
        <w:ind w:left="1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90" w:hanging="790"/>
        <w:spacing w:after="0"/>
        <w:tabs>
          <w:tab w:leader="none" w:pos="79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Amgen-Regeneron Partners Research Collaboration Agreement</w:t>
      </w:r>
    </w:p>
    <w:p>
      <w:pPr>
        <w:spacing w:after="0" w:line="174" w:lineRule="exact"/>
        <w:rPr>
          <w:rFonts w:ascii="Courier New" w:cs="Courier New" w:eastAsia="Courier New" w:hAnsi="Courier New"/>
          <w:sz w:val="15"/>
          <w:szCs w:val="15"/>
          <w:color w:val="auto"/>
        </w:rPr>
      </w:pPr>
    </w:p>
    <w:p>
      <w:pPr>
        <w:ind w:left="79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1990, the Company entered into a collaboration agreement with Amgen Inc. ("Amgen") to develop and attempt to commercialize BDNF and NT-3. Pursuant to that agreement, the Company and Amgen formed a partnership, Amgen-Regeneron Partners (the "Partnership"), whereby the revenues earned and expenses incurred by the Partnership for the research and development of BDNF and NT-3 are shared equally. The Company accounts for its investment in the Partnership in accordance with the equity method of accounting.</w:t>
      </w:r>
    </w:p>
    <w:p>
      <w:pPr>
        <w:spacing w:after="0" w:line="178" w:lineRule="exact"/>
        <w:rPr>
          <w:sz w:val="20"/>
          <w:szCs w:val="20"/>
          <w:color w:val="auto"/>
        </w:rPr>
      </w:pPr>
    </w:p>
    <w:p>
      <w:pPr>
        <w:ind w:left="790" w:right="3259"/>
        <w:spacing w:after="0" w:line="235" w:lineRule="auto"/>
        <w:rPr>
          <w:sz w:val="20"/>
          <w:szCs w:val="20"/>
          <w:color w:val="auto"/>
        </w:rPr>
      </w:pPr>
      <w:r>
        <w:rPr>
          <w:rFonts w:ascii="Courier New" w:cs="Courier New" w:eastAsia="Courier New" w:hAnsi="Courier New"/>
          <w:sz w:val="15"/>
          <w:szCs w:val="15"/>
          <w:color w:val="auto"/>
        </w:rPr>
        <w:t>Selected operating statement data of the Partnership for the three and six months ended June 30, 1999 and 1998 are as follows:</w:t>
      </w:r>
    </w:p>
    <w:p>
      <w:pPr>
        <w:spacing w:after="0" w:line="170"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1540" w:type="dxa"/>
            <w:vAlign w:val="bottom"/>
          </w:tcPr>
          <w:p>
            <w:pPr>
              <w:spacing w:after="0"/>
              <w:rPr>
                <w:sz w:val="14"/>
                <w:szCs w:val="14"/>
                <w:color w:val="auto"/>
              </w:rPr>
            </w:pPr>
          </w:p>
        </w:tc>
        <w:tc>
          <w:tcPr>
            <w:tcW w:w="2480" w:type="dxa"/>
            <w:vAlign w:val="bottom"/>
            <w:gridSpan w:val="2"/>
          </w:tcPr>
          <w:p>
            <w:pPr>
              <w:jc w:val="center"/>
              <w:ind w:right="27"/>
              <w:spacing w:after="0"/>
              <w:rPr>
                <w:sz w:val="20"/>
                <w:szCs w:val="20"/>
                <w:color w:val="auto"/>
              </w:rPr>
            </w:pPr>
            <w:r>
              <w:rPr>
                <w:rFonts w:ascii="Courier New" w:cs="Courier New" w:eastAsia="Courier New" w:hAnsi="Courier New"/>
                <w:sz w:val="15"/>
                <w:szCs w:val="15"/>
                <w:color w:val="auto"/>
                <w:w w:val="97"/>
              </w:rPr>
              <w:t>Three Months Ended</w:t>
            </w:r>
          </w:p>
        </w:tc>
        <w:tc>
          <w:tcPr>
            <w:tcW w:w="2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1540" w:type="dxa"/>
            <w:vAlign w:val="bottom"/>
          </w:tcPr>
          <w:p>
            <w:pPr>
              <w:spacing w:after="0"/>
              <w:rPr>
                <w:sz w:val="14"/>
                <w:szCs w:val="14"/>
                <w:color w:val="auto"/>
              </w:rPr>
            </w:pPr>
          </w:p>
        </w:tc>
        <w:tc>
          <w:tcPr>
            <w:tcW w:w="1600" w:type="dxa"/>
            <w:vAlign w:val="bottom"/>
          </w:tcPr>
          <w:p>
            <w:pPr>
              <w:jc w:val="center"/>
              <w:ind w:left="707"/>
              <w:spacing w:after="0"/>
              <w:rPr>
                <w:sz w:val="20"/>
                <w:szCs w:val="20"/>
                <w:color w:val="auto"/>
              </w:rPr>
            </w:pPr>
            <w:r>
              <w:rPr>
                <w:rFonts w:ascii="Courier New" w:cs="Courier New" w:eastAsia="Courier New" w:hAnsi="Courier New"/>
                <w:sz w:val="15"/>
                <w:szCs w:val="15"/>
                <w:color w:val="auto"/>
                <w:w w:val="97"/>
              </w:rPr>
              <w:t>June 30,</w:t>
            </w:r>
          </w:p>
        </w:tc>
        <w:tc>
          <w:tcPr>
            <w:tcW w:w="880" w:type="dxa"/>
            <w:vAlign w:val="bottom"/>
          </w:tcPr>
          <w:p>
            <w:pPr>
              <w:spacing w:after="0"/>
              <w:rPr>
                <w:sz w:val="14"/>
                <w:szCs w:val="14"/>
                <w:color w:val="auto"/>
              </w:rPr>
            </w:pPr>
          </w:p>
        </w:tc>
        <w:tc>
          <w:tcPr>
            <w:tcW w:w="22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June 30,</w:t>
            </w:r>
          </w:p>
        </w:tc>
      </w:tr>
      <w:tr>
        <w:trPr>
          <w:trHeight w:val="170"/>
        </w:trPr>
        <w:tc>
          <w:tcPr>
            <w:tcW w:w="1540" w:type="dxa"/>
            <w:vAlign w:val="bottom"/>
          </w:tcPr>
          <w:p>
            <w:pPr>
              <w:spacing w:after="0"/>
              <w:rPr>
                <w:sz w:val="14"/>
                <w:szCs w:val="14"/>
                <w:color w:val="auto"/>
              </w:rPr>
            </w:pPr>
          </w:p>
        </w:tc>
        <w:tc>
          <w:tcPr>
            <w:tcW w:w="2480" w:type="dxa"/>
            <w:vAlign w:val="bottom"/>
            <w:gridSpan w:val="2"/>
          </w:tcPr>
          <w:p>
            <w:pPr>
              <w:jc w:val="center"/>
              <w:ind w:right="27"/>
              <w:spacing w:after="0"/>
              <w:rPr>
                <w:sz w:val="20"/>
                <w:szCs w:val="20"/>
                <w:color w:val="auto"/>
              </w:rPr>
            </w:pPr>
            <w:r>
              <w:rPr>
                <w:rFonts w:ascii="Courier New" w:cs="Courier New" w:eastAsia="Courier New" w:hAnsi="Courier New"/>
                <w:sz w:val="15"/>
                <w:szCs w:val="15"/>
                <w:color w:val="auto"/>
                <w:w w:val="97"/>
              </w:rPr>
              <w:t>------------------</w:t>
            </w:r>
          </w:p>
        </w:tc>
        <w:tc>
          <w:tcPr>
            <w:tcW w:w="2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540" w:type="dxa"/>
            <w:vAlign w:val="bottom"/>
          </w:tcPr>
          <w:p>
            <w:pPr>
              <w:spacing w:after="0"/>
              <w:rPr>
                <w:sz w:val="14"/>
                <w:szCs w:val="14"/>
                <w:color w:val="auto"/>
              </w:rPr>
            </w:pPr>
          </w:p>
        </w:tc>
        <w:tc>
          <w:tcPr>
            <w:tcW w:w="16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1540" w:type="dxa"/>
            <w:vAlign w:val="bottom"/>
          </w:tcPr>
          <w:p>
            <w:pPr>
              <w:spacing w:after="0"/>
              <w:rPr>
                <w:sz w:val="14"/>
                <w:szCs w:val="14"/>
                <w:color w:val="auto"/>
              </w:rPr>
            </w:pPr>
          </w:p>
        </w:tc>
        <w:tc>
          <w:tcPr>
            <w:tcW w:w="16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6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$90</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$43</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w:t>
            </w:r>
          </w:p>
        </w:tc>
      </w:t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Total expenses</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(1,272)</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(416)</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(3,320)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(1,829)</w:t>
            </w:r>
          </w:p>
        </w:tc>
      </w:tr>
      <w:tr>
        <w:trPr>
          <w:trHeight w:val="170"/>
        </w:trPr>
        <w:tc>
          <w:tcPr>
            <w:tcW w:w="1540" w:type="dxa"/>
            <w:vAlign w:val="bottom"/>
          </w:tcPr>
          <w:p>
            <w:pPr>
              <w:spacing w:after="0"/>
              <w:rPr>
                <w:sz w:val="14"/>
                <w:szCs w:val="14"/>
                <w:color w:val="auto"/>
              </w:rPr>
            </w:pP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($1,182)</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9"/>
              </w:rPr>
              <w:t>($373)</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($3,114)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($1,746)</w:t>
            </w:r>
          </w:p>
        </w:tc>
      </w:tr>
      <w:tr>
        <w:trPr>
          <w:trHeight w:val="170"/>
        </w:trPr>
        <w:tc>
          <w:tcPr>
            <w:tcW w:w="1540" w:type="dxa"/>
            <w:vAlign w:val="bottom"/>
          </w:tcPr>
          <w:p>
            <w:pPr>
              <w:spacing w:after="0"/>
              <w:rPr>
                <w:sz w:val="14"/>
                <w:szCs w:val="14"/>
                <w:color w:val="auto"/>
              </w:rPr>
            </w:pP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ind w:left="790" w:hanging="790"/>
        <w:spacing w:after="0"/>
        <w:tabs>
          <w:tab w:leader="none" w:pos="79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Loss</w:t>
      </w:r>
    </w:p>
    <w:p>
      <w:pPr>
        <w:spacing w:after="0" w:line="174" w:lineRule="exact"/>
        <w:rPr>
          <w:rFonts w:ascii="Courier New" w:cs="Courier New" w:eastAsia="Courier New" w:hAnsi="Courier New"/>
          <w:sz w:val="15"/>
          <w:szCs w:val="15"/>
          <w:color w:val="auto"/>
        </w:rPr>
      </w:pPr>
    </w:p>
    <w:p>
      <w:pPr>
        <w:ind w:left="79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loss represents the change in net assets of a business enterprise during a period from transactions and other events and circumstances from non-owner sources. Comprehensive loss of the Company includes net loss adjusted for the change in net unrealized gain or loss on marketable securities. The net effect of income taxes on comprehensive loss is immaterial. The comprehensive loss for the six months ended June 30, 1999 has been included in the Statement of Stockholders' Equity. For the six months ended June 30, 1998, the components of comprehensive loss were:</w:t>
      </w:r>
    </w:p>
    <w:p>
      <w:pPr>
        <w:spacing w:after="0" w:line="173"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51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51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1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($1,689)</w:t>
            </w:r>
          </w:p>
        </w:tc>
      </w:tr>
      <w:tr>
        <w:trPr>
          <w:trHeight w:val="170"/>
        </w:trPr>
        <w:tc>
          <w:tcPr>
            <w:tcW w:w="5120" w:type="dxa"/>
            <w:vAlign w:val="bottom"/>
          </w:tcPr>
          <w:p>
            <w:pPr>
              <w:spacing w:after="0"/>
              <w:rPr>
                <w:sz w:val="20"/>
                <w:szCs w:val="20"/>
                <w:color w:val="auto"/>
              </w:rPr>
            </w:pPr>
            <w:r>
              <w:rPr>
                <w:rFonts w:ascii="Courier New" w:cs="Courier New" w:eastAsia="Courier New" w:hAnsi="Courier New"/>
                <w:sz w:val="15"/>
                <w:szCs w:val="15"/>
                <w:color w:val="auto"/>
              </w:rPr>
              <w:t>Change in net unrealized gain on marketable securities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0"/>
        </w:trPr>
        <w:tc>
          <w:tcPr>
            <w:tcW w:w="512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120" w:type="dxa"/>
            <w:vAlign w:val="bottom"/>
          </w:tcPr>
          <w:p>
            <w:pPr>
              <w:ind w:left="440"/>
              <w:spacing w:after="0"/>
              <w:rPr>
                <w:sz w:val="20"/>
                <w:szCs w:val="20"/>
                <w:color w:val="auto"/>
              </w:rPr>
            </w:pPr>
            <w:r>
              <w:rPr>
                <w:rFonts w:ascii="Courier New" w:cs="Courier New" w:eastAsia="Courier New" w:hAnsi="Courier New"/>
                <w:sz w:val="15"/>
                <w:szCs w:val="15"/>
                <w:color w:val="auto"/>
              </w:rPr>
              <w:t>Total comprehensive loss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($1,712)</w:t>
            </w:r>
          </w:p>
        </w:tc>
      </w:tr>
      <w:tr>
        <w:trPr>
          <w:trHeight w:val="170"/>
        </w:trPr>
        <w:tc>
          <w:tcPr>
            <w:tcW w:w="512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120" w:type="dxa"/>
            <w:vAlign w:val="bottom"/>
          </w:tcPr>
          <w:p>
            <w:pPr>
              <w:jc w:val="right"/>
              <w:ind w:right="2307"/>
              <w:spacing w:after="0"/>
              <w:rPr>
                <w:sz w:val="20"/>
                <w:szCs w:val="20"/>
                <w:color w:val="auto"/>
              </w:rPr>
            </w:pPr>
            <w:r>
              <w:rPr>
                <w:rFonts w:ascii="Courier New" w:cs="Courier New" w:eastAsia="Courier New" w:hAnsi="Courier New"/>
                <w:sz w:val="15"/>
                <w:szCs w:val="15"/>
                <w:color w:val="auto"/>
              </w:rPr>
              <w:t>8</w:t>
            </w:r>
          </w:p>
        </w:tc>
        <w:tc>
          <w:tcPr>
            <w:tcW w:w="1060" w:type="dxa"/>
            <w:vAlign w:val="bottom"/>
          </w:tcPr>
          <w:p>
            <w:pPr>
              <w:spacing w:after="0"/>
              <w:rPr>
                <w:sz w:val="24"/>
                <w:szCs w:val="24"/>
                <w:color w:val="auto"/>
              </w:rPr>
            </w:pPr>
          </w:p>
        </w:tc>
      </w:tr>
    </w:tbl>
    <w:p>
      <w:pPr>
        <w:sectPr>
          <w:pgSz w:w="11900" w:h="16838" w:orient="portrait"/>
          <w:cols w:equalWidth="0" w:num="1">
            <w:col w:w="10229"/>
          </w:cols>
          <w:pgMar w:left="230" w:top="791" w:right="1440" w:bottom="1440" w:gutter="0" w:footer="0" w:header="0"/>
        </w:sectPr>
      </w:pPr>
    </w:p>
    <w:bookmarkStart w:id="8" w:name="page9"/>
    <w:bookmarkEnd w:id="8"/>
    <w:p>
      <w:pPr>
        <w:ind w:left="10"/>
        <w:spacing w:after="0"/>
        <w:rPr>
          <w:sz w:val="20"/>
          <w:szCs w:val="20"/>
          <w:color w:val="auto"/>
        </w:rPr>
      </w:pPr>
      <w:r>
        <w:rPr>
          <w:rFonts w:ascii="Courier New" w:cs="Courier New" w:eastAsia="Courier New" w:hAnsi="Courier New"/>
          <w:sz w:val="15"/>
          <w:szCs w:val="15"/>
          <w:color w:val="auto"/>
        </w:rPr>
        <w:t>REGENERON PHARMACEUTICALS, INC.</w:t>
      </w:r>
    </w:p>
    <w:p>
      <w:pPr>
        <w:ind w:left="10"/>
        <w:spacing w:after="0"/>
        <w:rPr>
          <w:sz w:val="20"/>
          <w:szCs w:val="20"/>
          <w:color w:val="auto"/>
        </w:rPr>
      </w:pPr>
      <w:r>
        <w:rPr>
          <w:rFonts w:ascii="Courier New" w:cs="Courier New" w:eastAsia="Courier New" w:hAnsi="Courier New"/>
          <w:sz w:val="15"/>
          <w:szCs w:val="15"/>
          <w:color w:val="auto"/>
        </w:rPr>
        <w:t>Notes to Condensed Financial Statements</w:t>
      </w:r>
    </w:p>
    <w:p>
      <w:pPr>
        <w:ind w:left="1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38" w:lineRule="exact"/>
        <w:rPr>
          <w:sz w:val="20"/>
          <w:szCs w:val="20"/>
          <w:color w:val="auto"/>
        </w:rPr>
      </w:pPr>
    </w:p>
    <w:p>
      <w:pPr>
        <w:ind w:left="790" w:hanging="790"/>
        <w:spacing w:after="0"/>
        <w:tabs>
          <w:tab w:leader="none" w:pos="79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Share Data</w:t>
      </w:r>
    </w:p>
    <w:p>
      <w:pPr>
        <w:spacing w:after="0" w:line="174" w:lineRule="exact"/>
        <w:rPr>
          <w:rFonts w:ascii="Courier New" w:cs="Courier New" w:eastAsia="Courier New" w:hAnsi="Courier New"/>
          <w:sz w:val="15"/>
          <w:szCs w:val="15"/>
          <w:color w:val="auto"/>
        </w:rPr>
      </w:pPr>
    </w:p>
    <w:p>
      <w:pPr>
        <w:ind w:left="790" w:right="370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basic net (loss) income per share amounts have been computed by dividing net (loss) income by the weighted average number of Common and Class A shares outstanding. For the three months ended June 30, 1998, the Company reported net income; therefore, common stock equivalents were included in the computation of diluted net income per share. For the three months ended June 30, 1999 and for the six months ended June 30, 1999 and 1998, the Company reported net losses; therefore, no common stock equivalents were included in the computation of diluted net loss per share, since such inclusion would have been antidilutive. The calculations of basic and diluted net (loss) income per share are as follows:</w:t>
      </w:r>
    </w:p>
    <w:p>
      <w:pPr>
        <w:sectPr>
          <w:pgSz w:w="11900" w:h="16838" w:orient="portrait"/>
          <w:cols w:equalWidth="0" w:num="1">
            <w:col w:w="10750"/>
          </w:cols>
          <w:pgMar w:left="230" w:top="791"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90"/>
        <w:spacing w:after="0"/>
        <w:rPr>
          <w:sz w:val="20"/>
          <w:szCs w:val="20"/>
          <w:color w:val="auto"/>
        </w:rPr>
      </w:pPr>
      <w:r>
        <w:rPr>
          <w:rFonts w:ascii="Courier New" w:cs="Courier New" w:eastAsia="Courier New" w:hAnsi="Courier New"/>
          <w:sz w:val="15"/>
          <w:szCs w:val="15"/>
          <w:color w:val="auto"/>
        </w:rPr>
        <w:t>Three Months Ended June 30,</w:t>
      </w:r>
    </w:p>
    <w:p>
      <w:pPr>
        <w:spacing w:after="0" w:line="5" w:lineRule="exact"/>
        <w:rPr>
          <w:sz w:val="20"/>
          <w:szCs w:val="20"/>
          <w:color w:val="auto"/>
        </w:rPr>
      </w:pPr>
    </w:p>
    <w:p>
      <w:pPr>
        <w:ind w:left="485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850"/>
        <w:spacing w:after="0"/>
        <w:tabs>
          <w:tab w:leader="none" w:pos="7209" w:val="left"/>
        </w:tabs>
        <w:rPr>
          <w:sz w:val="20"/>
          <w:szCs w:val="20"/>
          <w:color w:val="auto"/>
        </w:rPr>
      </w:pPr>
      <w:r>
        <w:rPr>
          <w:rFonts w:ascii="Courier New" w:cs="Courier New" w:eastAsia="Courier New" w:hAnsi="Courier New"/>
          <w:sz w:val="15"/>
          <w:szCs w:val="15"/>
          <w:color w:val="auto"/>
        </w:rPr>
        <w:t>Net (Loss) Income</w:t>
      </w:r>
      <w:r>
        <w:rPr>
          <w:sz w:val="20"/>
          <w:szCs w:val="20"/>
          <w:color w:val="auto"/>
        </w:rPr>
        <w:tab/>
      </w:r>
      <w:r>
        <w:rPr>
          <w:rFonts w:ascii="Courier New" w:cs="Courier New" w:eastAsia="Courier New" w:hAnsi="Courier New"/>
          <w:sz w:val="14"/>
          <w:szCs w:val="14"/>
          <w:color w:val="auto"/>
        </w:rPr>
        <w:t>Shares</w:t>
      </w:r>
    </w:p>
    <w:p>
      <w:pPr>
        <w:ind w:left="5110"/>
        <w:spacing w:after="0"/>
        <w:tabs>
          <w:tab w:leader="none" w:pos="6849" w:val="left"/>
        </w:tabs>
        <w:rPr>
          <w:sz w:val="20"/>
          <w:szCs w:val="20"/>
          <w:color w:val="auto"/>
        </w:rPr>
      </w:pPr>
      <w:r>
        <w:rPr>
          <w:rFonts w:ascii="Courier New" w:cs="Courier New" w:eastAsia="Courier New" w:hAnsi="Courier New"/>
          <w:sz w:val="15"/>
          <w:szCs w:val="15"/>
          <w:color w:val="auto"/>
        </w:rPr>
        <w:t>(Numerator)</w:t>
      </w:r>
      <w:r>
        <w:rPr>
          <w:sz w:val="20"/>
          <w:szCs w:val="20"/>
          <w:color w:val="auto"/>
        </w:rPr>
        <w:tab/>
      </w:r>
      <w:r>
        <w:rPr>
          <w:rFonts w:ascii="Courier New" w:cs="Courier New" w:eastAsia="Courier New" w:hAnsi="Courier New"/>
          <w:sz w:val="15"/>
          <w:szCs w:val="15"/>
          <w:color w:val="auto"/>
        </w:rPr>
        <w:t>(Denominator)</w:t>
      </w:r>
    </w:p>
    <w:p>
      <w:pPr>
        <w:spacing w:after="0" w:line="5" w:lineRule="exact"/>
        <w:rPr>
          <w:sz w:val="20"/>
          <w:szCs w:val="20"/>
          <w:color w:val="auto"/>
        </w:rPr>
      </w:pPr>
    </w:p>
    <w:p>
      <w:pPr>
        <w:ind w:left="4850"/>
        <w:spacing w:after="0"/>
        <w:tabs>
          <w:tab w:leader="none" w:pos="684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20"/>
        <w:spacing w:after="0" w:line="237" w:lineRule="auto"/>
        <w:rPr>
          <w:sz w:val="20"/>
          <w:szCs w:val="20"/>
          <w:color w:val="auto"/>
        </w:rPr>
      </w:pPr>
      <w:r>
        <w:rPr>
          <w:rFonts w:ascii="Courier New" w:cs="Courier New" w:eastAsia="Courier New" w:hAnsi="Courier New"/>
          <w:sz w:val="15"/>
          <w:szCs w:val="15"/>
          <w:color w:val="auto"/>
        </w:rPr>
        <w:t>----------------- Net (Loss) Income Per Share ---------</w:t>
      </w:r>
    </w:p>
    <w:p>
      <w:pPr>
        <w:spacing w:after="0" w:line="176" w:lineRule="exact"/>
        <w:rPr>
          <w:sz w:val="20"/>
          <w:szCs w:val="20"/>
          <w:color w:val="auto"/>
        </w:rPr>
      </w:pPr>
    </w:p>
    <w:p>
      <w:pPr>
        <w:sectPr>
          <w:pgSz w:w="11900" w:h="16838" w:orient="portrait"/>
          <w:cols w:equalWidth="0" w:num="2">
            <w:col w:w="8110" w:space="620"/>
            <w:col w:w="2020"/>
          </w:cols>
          <w:pgMar w:left="230" w:top="791" w:right="919" w:bottom="1440" w:gutter="0" w:footer="0" w:header="0"/>
          <w:type w:val="continuous"/>
        </w:sectPr>
      </w:pPr>
    </w:p>
    <w:p>
      <w:pPr>
        <w:ind w:left="970"/>
        <w:spacing w:after="0"/>
        <w:rPr>
          <w:sz w:val="20"/>
          <w:szCs w:val="20"/>
          <w:color w:val="auto"/>
        </w:rPr>
      </w:pPr>
      <w:r>
        <w:rPr>
          <w:rFonts w:ascii="Courier New" w:cs="Courier New" w:eastAsia="Courier New" w:hAnsi="Courier New"/>
          <w:sz w:val="14"/>
          <w:szCs w:val="14"/>
          <w:color w:val="auto"/>
        </w:rPr>
        <w:t>1999:</w:t>
      </w:r>
    </w:p>
    <w:p>
      <w:pPr>
        <w:sectPr>
          <w:pgSz w:w="11900" w:h="16838" w:orient="portrait"/>
          <w:cols w:equalWidth="0" w:num="1">
            <w:col w:w="10750"/>
          </w:cols>
          <w:pgMar w:left="230" w:top="791" w:right="919" w:bottom="1440" w:gutter="0" w:footer="0" w:header="0"/>
          <w:type w:val="continuous"/>
        </w:sectPr>
      </w:pPr>
    </w:p>
    <w:p>
      <w:pPr>
        <w:spacing w:after="0" w:line="11" w:lineRule="exact"/>
        <w:rPr>
          <w:sz w:val="20"/>
          <w:szCs w:val="20"/>
          <w:color w:val="auto"/>
        </w:rPr>
      </w:pPr>
    </w:p>
    <w:p>
      <w:pPr>
        <w:ind w:left="1330"/>
        <w:spacing w:after="0"/>
        <w:rPr>
          <w:sz w:val="20"/>
          <w:szCs w:val="20"/>
          <w:color w:val="auto"/>
        </w:rPr>
      </w:pPr>
      <w:r>
        <w:rPr>
          <w:rFonts w:ascii="Courier New" w:cs="Courier New" w:eastAsia="Courier New" w:hAnsi="Courier New"/>
          <w:sz w:val="14"/>
          <w:szCs w:val="14"/>
          <w:color w:val="auto"/>
        </w:rPr>
        <w:t>Basic and Diluted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($7,833)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31,303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($0.25)</w:t>
      </w:r>
    </w:p>
    <w:p>
      <w:pPr>
        <w:spacing w:after="0" w:line="11" w:lineRule="exact"/>
        <w:rPr>
          <w:sz w:val="20"/>
          <w:szCs w:val="20"/>
          <w:color w:val="auto"/>
        </w:rPr>
      </w:pPr>
    </w:p>
    <w:p>
      <w:pPr>
        <w:sectPr>
          <w:pgSz w:w="11900" w:h="16838" w:orient="portrait"/>
          <w:cols w:equalWidth="0" w:num="4">
            <w:col w:w="4490" w:space="720"/>
            <w:col w:w="1300" w:space="720"/>
            <w:col w:w="1300" w:space="720"/>
            <w:col w:w="1500"/>
          </w:cols>
          <w:pgMar w:left="230" w:top="791" w:right="919" w:bottom="1440" w:gutter="0" w:footer="0" w:header="0"/>
          <w:type w:val="continuous"/>
        </w:sectPr>
      </w:pPr>
    </w:p>
    <w:p>
      <w:pPr>
        <w:ind w:left="970"/>
        <w:spacing w:after="0"/>
        <w:rPr>
          <w:sz w:val="20"/>
          <w:szCs w:val="20"/>
          <w:color w:val="auto"/>
        </w:rPr>
      </w:pPr>
      <w:r>
        <w:rPr>
          <w:rFonts w:ascii="Courier New" w:cs="Courier New" w:eastAsia="Courier New" w:hAnsi="Courier New"/>
          <w:sz w:val="14"/>
          <w:szCs w:val="14"/>
          <w:color w:val="auto"/>
        </w:rPr>
        <w:t>1998:</w:t>
      </w:r>
    </w:p>
    <w:p>
      <w:pPr>
        <w:sectPr>
          <w:pgSz w:w="11900" w:h="16838" w:orient="portrait"/>
          <w:cols w:equalWidth="0" w:num="1">
            <w:col w:w="10750"/>
          </w:cols>
          <w:pgMar w:left="230" w:top="791" w:right="919" w:bottom="1440" w:gutter="0" w:footer="0" w:header="0"/>
          <w:type w:val="continuous"/>
        </w:sectPr>
      </w:pPr>
    </w:p>
    <w:p>
      <w:pPr>
        <w:spacing w:after="0" w:line="11" w:lineRule="exact"/>
        <w:rPr>
          <w:sz w:val="20"/>
          <w:szCs w:val="20"/>
          <w:color w:val="auto"/>
        </w:rPr>
      </w:pPr>
    </w:p>
    <w:p>
      <w:pPr>
        <w:ind w:left="1330"/>
        <w:spacing w:after="0"/>
        <w:rPr>
          <w:sz w:val="20"/>
          <w:szCs w:val="20"/>
          <w:color w:val="auto"/>
        </w:rPr>
      </w:pPr>
      <w:r>
        <w:rPr>
          <w:rFonts w:ascii="Courier New" w:cs="Courier New" w:eastAsia="Courier New" w:hAnsi="Courier New"/>
          <w:sz w:val="14"/>
          <w:szCs w:val="14"/>
          <w:color w:val="auto"/>
        </w:rPr>
        <w:t>Basic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$2,140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31,003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$0.07</w:t>
      </w:r>
    </w:p>
    <w:p>
      <w:pPr>
        <w:spacing w:after="0" w:line="11" w:lineRule="exact"/>
        <w:rPr>
          <w:sz w:val="20"/>
          <w:szCs w:val="20"/>
          <w:color w:val="auto"/>
        </w:rPr>
      </w:pPr>
    </w:p>
    <w:p>
      <w:pPr>
        <w:sectPr>
          <w:pgSz w:w="11900" w:h="16838" w:orient="portrait"/>
          <w:cols w:equalWidth="0" w:num="4">
            <w:col w:w="4570" w:space="720"/>
            <w:col w:w="1220" w:space="720"/>
            <w:col w:w="1400" w:space="720"/>
            <w:col w:w="1400"/>
          </w:cols>
          <w:pgMar w:left="230" w:top="791" w:right="919" w:bottom="1440" w:gutter="0" w:footer="0" w:header="0"/>
          <w:type w:val="continuous"/>
        </w:sectPr>
      </w:pPr>
    </w:p>
    <w:p>
      <w:pPr>
        <w:ind w:left="1330"/>
        <w:spacing w:after="0"/>
        <w:rPr>
          <w:sz w:val="20"/>
          <w:szCs w:val="20"/>
          <w:color w:val="auto"/>
        </w:rPr>
      </w:pPr>
      <w:r>
        <w:rPr>
          <w:rFonts w:ascii="Courier New" w:cs="Courier New" w:eastAsia="Courier New" w:hAnsi="Courier New"/>
          <w:sz w:val="14"/>
          <w:szCs w:val="14"/>
          <w:color w:val="auto"/>
        </w:rPr>
        <w:t>Effect of dilutive securities:</w:t>
      </w:r>
    </w:p>
    <w:p>
      <w:pPr>
        <w:sectPr>
          <w:pgSz w:w="11900" w:h="16838" w:orient="portrait"/>
          <w:cols w:equalWidth="0" w:num="1">
            <w:col w:w="10750"/>
          </w:cols>
          <w:pgMar w:left="230" w:top="791" w:right="919" w:bottom="1440" w:gutter="0" w:footer="0" w:header="0"/>
          <w:type w:val="continuous"/>
        </w:sectPr>
      </w:pPr>
    </w:p>
    <w:p>
      <w:pPr>
        <w:spacing w:after="0" w:line="11" w:lineRule="exact"/>
        <w:rPr>
          <w:sz w:val="20"/>
          <w:szCs w:val="20"/>
          <w:color w:val="auto"/>
        </w:rPr>
      </w:pPr>
    </w:p>
    <w:p>
      <w:pPr>
        <w:ind w:left="1590"/>
        <w:spacing w:after="0"/>
        <w:rPr>
          <w:sz w:val="20"/>
          <w:szCs w:val="20"/>
          <w:color w:val="auto"/>
        </w:rPr>
      </w:pPr>
      <w:r>
        <w:rPr>
          <w:rFonts w:ascii="Courier New" w:cs="Courier New" w:eastAsia="Courier New" w:hAnsi="Courier New"/>
          <w:sz w:val="14"/>
          <w:szCs w:val="14"/>
          <w:color w:val="auto"/>
        </w:rPr>
        <w:t>Options</w:t>
      </w:r>
    </w:p>
    <w:p>
      <w:pPr>
        <w:spacing w:after="0" w:line="175"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Diluted</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$2,140</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985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31,988</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$0.07</w:t>
      </w:r>
    </w:p>
    <w:p>
      <w:pPr>
        <w:spacing w:after="0" w:line="369" w:lineRule="exact"/>
        <w:rPr>
          <w:sz w:val="20"/>
          <w:szCs w:val="20"/>
          <w:color w:val="auto"/>
        </w:rPr>
      </w:pPr>
    </w:p>
    <w:p>
      <w:pPr>
        <w:sectPr>
          <w:pgSz w:w="11900" w:h="16838" w:orient="portrait"/>
          <w:cols w:equalWidth="0" w:num="4">
            <w:col w:w="4570" w:space="720"/>
            <w:col w:w="1220" w:space="720"/>
            <w:col w:w="1400" w:space="720"/>
            <w:col w:w="1400"/>
          </w:cols>
          <w:pgMar w:left="230" w:top="791" w:right="919" w:bottom="1440" w:gutter="0" w:footer="0" w:header="0"/>
          <w:type w:val="continuous"/>
        </w:sectPr>
      </w:pPr>
    </w:p>
    <w:p>
      <w:pPr>
        <w:spacing w:after="0" w:line="150" w:lineRule="exact"/>
        <w:rPr>
          <w:sz w:val="20"/>
          <w:szCs w:val="20"/>
          <w:color w:val="auto"/>
        </w:rPr>
      </w:pPr>
    </w:p>
    <w:p>
      <w:pPr>
        <w:ind w:left="790" w:right="3700"/>
        <w:spacing w:after="0" w:line="237" w:lineRule="auto"/>
        <w:rPr>
          <w:sz w:val="20"/>
          <w:szCs w:val="20"/>
          <w:color w:val="auto"/>
        </w:rPr>
      </w:pPr>
      <w:r>
        <w:rPr>
          <w:rFonts w:ascii="Courier New" w:cs="Courier New" w:eastAsia="Courier New" w:hAnsi="Courier New"/>
          <w:sz w:val="15"/>
          <w:szCs w:val="15"/>
          <w:color w:val="auto"/>
        </w:rPr>
        <w:t>Options and warrants which have been excluded from the diluted per share amounts because their effect would have been antidilutive include the following:</w:t>
      </w:r>
    </w:p>
    <w:p>
      <w:pPr>
        <w:sectPr>
          <w:pgSz w:w="11900" w:h="16838" w:orient="portrait"/>
          <w:cols w:equalWidth="0" w:num="1">
            <w:col w:w="10750"/>
          </w:cols>
          <w:pgMar w:left="230" w:top="791" w:right="919"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left="6870"/>
        <w:spacing w:after="0"/>
        <w:rPr>
          <w:sz w:val="20"/>
          <w:szCs w:val="20"/>
          <w:color w:val="auto"/>
        </w:rPr>
      </w:pPr>
      <w:r>
        <w:rPr>
          <w:rFonts w:ascii="Courier New" w:cs="Courier New" w:eastAsia="Courier New" w:hAnsi="Courier New"/>
          <w:sz w:val="14"/>
          <w:szCs w:val="14"/>
          <w:color w:val="auto"/>
        </w:rPr>
        <w:t>Three Months Ended June 30,</w:t>
      </w:r>
    </w:p>
    <w:p>
      <w:pPr>
        <w:spacing w:after="0" w:line="11" w:lineRule="exact"/>
        <w:rPr>
          <w:sz w:val="20"/>
          <w:szCs w:val="20"/>
          <w:color w:val="auto"/>
        </w:rPr>
      </w:pPr>
    </w:p>
    <w:p>
      <w:pPr>
        <w:ind w:left="687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6690"/>
        <w:spacing w:after="0"/>
        <w:rPr>
          <w:sz w:val="20"/>
          <w:szCs w:val="20"/>
          <w:color w:val="auto"/>
        </w:rPr>
      </w:pPr>
      <w:r>
        <w:rPr>
          <w:rFonts w:ascii="Courier New" w:cs="Courier New" w:eastAsia="Courier New" w:hAnsi="Courier New"/>
          <w:sz w:val="15"/>
          <w:szCs w:val="15"/>
          <w:color w:val="auto"/>
        </w:rPr>
        <w:t>1999</w:t>
      </w:r>
    </w:p>
    <w:p>
      <w:pPr>
        <w:ind w:left="669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9250" w:space="0"/>
            <w:col w:w="1500"/>
          </w:cols>
          <w:pgMar w:left="230" w:top="791" w:right="919" w:bottom="1440" w:gutter="0" w:footer="0" w:header="0"/>
          <w:type w:val="continuous"/>
        </w:sectPr>
      </w:pPr>
    </w:p>
    <w:tbl>
      <w:tblPr>
        <w:tblLayout w:type="fixed"/>
        <w:tblInd w:w="1330" w:type="dxa"/>
        <w:tblCellMar>
          <w:top w:w="0" w:type="dxa"/>
          <w:left w:w="0" w:type="dxa"/>
          <w:bottom w:w="0" w:type="dxa"/>
          <w:right w:w="0" w:type="dxa"/>
        </w:tblCellMar>
      </w:tblPr>
      <w:tr>
        <w:trPr>
          <w:trHeight w:val="169"/>
        </w:trPr>
        <w:tc>
          <w:tcPr>
            <w:tcW w:w="3740" w:type="dxa"/>
            <w:vAlign w:val="bottom"/>
          </w:tcPr>
          <w:p>
            <w:pPr>
              <w:spacing w:after="0"/>
              <w:rPr>
                <w:sz w:val="14"/>
                <w:szCs w:val="14"/>
                <w:color w:val="auto"/>
              </w:rPr>
            </w:pPr>
          </w:p>
        </w:tc>
        <w:tc>
          <w:tcPr>
            <w:tcW w:w="1720" w:type="dxa"/>
            <w:vAlign w:val="bottom"/>
          </w:tcPr>
          <w:p>
            <w:pPr>
              <w:ind w:left="740"/>
              <w:spacing w:after="0"/>
              <w:rPr>
                <w:sz w:val="20"/>
                <w:szCs w:val="20"/>
                <w:color w:val="auto"/>
              </w:rPr>
            </w:pPr>
            <w:r>
              <w:rPr>
                <w:rFonts w:ascii="Courier New" w:cs="Courier New" w:eastAsia="Courier New" w:hAnsi="Courier New"/>
                <w:sz w:val="15"/>
                <w:szCs w:val="15"/>
                <w:color w:val="auto"/>
              </w:rPr>
              <w:t>Weighted</w:t>
            </w:r>
          </w:p>
        </w:tc>
        <w:tc>
          <w:tcPr>
            <w:tcW w:w="16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Weighted</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Weighted</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Weighted</w:t>
            </w:r>
          </w:p>
        </w:tc>
      </w:tr>
      <w:tr>
        <w:trPr>
          <w:trHeight w:val="170"/>
        </w:trPr>
        <w:tc>
          <w:tcPr>
            <w:tcW w:w="3740" w:type="dxa"/>
            <w:vAlign w:val="bottom"/>
          </w:tcPr>
          <w:p>
            <w:pPr>
              <w:spacing w:after="0"/>
              <w:rPr>
                <w:sz w:val="14"/>
                <w:szCs w:val="14"/>
                <w:color w:val="auto"/>
              </w:rPr>
            </w:pPr>
          </w:p>
        </w:tc>
        <w:tc>
          <w:tcPr>
            <w:tcW w:w="1720" w:type="dxa"/>
            <w:vAlign w:val="bottom"/>
          </w:tcPr>
          <w:p>
            <w:pPr>
              <w:ind w:left="840"/>
              <w:spacing w:after="0"/>
              <w:rPr>
                <w:sz w:val="20"/>
                <w:szCs w:val="20"/>
                <w:color w:val="auto"/>
              </w:rPr>
            </w:pPr>
            <w:r>
              <w:rPr>
                <w:rFonts w:ascii="Courier New" w:cs="Courier New" w:eastAsia="Courier New" w:hAnsi="Courier New"/>
                <w:sz w:val="15"/>
                <w:szCs w:val="15"/>
                <w:color w:val="auto"/>
              </w:rPr>
              <w:t>Average</w:t>
            </w:r>
          </w:p>
        </w:tc>
        <w:tc>
          <w:tcPr>
            <w:tcW w:w="1620" w:type="dxa"/>
            <w:vAlign w:val="bottom"/>
          </w:tcPr>
          <w:p>
            <w:pPr>
              <w:ind w:left="620"/>
              <w:spacing w:after="0"/>
              <w:rPr>
                <w:sz w:val="20"/>
                <w:szCs w:val="20"/>
                <w:color w:val="auto"/>
              </w:rPr>
            </w:pPr>
            <w:r>
              <w:rPr>
                <w:rFonts w:ascii="Courier New" w:cs="Courier New" w:eastAsia="Courier New" w:hAnsi="Courier New"/>
                <w:sz w:val="15"/>
                <w:szCs w:val="15"/>
                <w:color w:val="auto"/>
              </w:rPr>
              <w:t>Average</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Average</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3740" w:type="dxa"/>
            <w:vAlign w:val="bottom"/>
          </w:tcPr>
          <w:p>
            <w:pPr>
              <w:spacing w:after="0"/>
              <w:rPr>
                <w:sz w:val="14"/>
                <w:szCs w:val="14"/>
                <w:color w:val="auto"/>
              </w:rPr>
            </w:pPr>
          </w:p>
        </w:tc>
        <w:tc>
          <w:tcPr>
            <w:tcW w:w="1720" w:type="dxa"/>
            <w:vAlign w:val="bottom"/>
          </w:tcPr>
          <w:p>
            <w:pPr>
              <w:ind w:left="840"/>
              <w:spacing w:after="0"/>
              <w:rPr>
                <w:sz w:val="20"/>
                <w:szCs w:val="20"/>
                <w:color w:val="auto"/>
              </w:rPr>
            </w:pPr>
            <w:r>
              <w:rPr>
                <w:rFonts w:ascii="Courier New" w:cs="Courier New" w:eastAsia="Courier New" w:hAnsi="Courier New"/>
                <w:sz w:val="15"/>
                <w:szCs w:val="15"/>
                <w:color w:val="auto"/>
              </w:rPr>
              <w:t>Number</w:t>
            </w:r>
          </w:p>
        </w:tc>
        <w:tc>
          <w:tcPr>
            <w:tcW w:w="16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Exercise Price</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Number</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170"/>
        </w:trPr>
        <w:tc>
          <w:tcPr>
            <w:tcW w:w="3740" w:type="dxa"/>
            <w:vAlign w:val="bottom"/>
          </w:tcPr>
          <w:p>
            <w:pPr>
              <w:spacing w:after="0"/>
              <w:rPr>
                <w:sz w:val="14"/>
                <w:szCs w:val="14"/>
                <w:color w:val="auto"/>
              </w:rPr>
            </w:pPr>
          </w:p>
        </w:tc>
        <w:tc>
          <w:tcPr>
            <w:tcW w:w="172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40" w:type="dxa"/>
            <w:vAlign w:val="bottom"/>
          </w:tcPr>
          <w:p>
            <w:pPr>
              <w:spacing w:after="0"/>
              <w:rPr>
                <w:sz w:val="20"/>
                <w:szCs w:val="20"/>
                <w:color w:val="auto"/>
              </w:rPr>
            </w:pPr>
            <w:r>
              <w:rPr>
                <w:rFonts w:ascii="Courier New" w:cs="Courier New" w:eastAsia="Courier New" w:hAnsi="Courier New"/>
                <w:sz w:val="15"/>
                <w:szCs w:val="15"/>
                <w:color w:val="auto"/>
              </w:rPr>
              <w:t>Options with exercise prices below</w:t>
            </w:r>
          </w:p>
        </w:tc>
        <w:tc>
          <w:tcPr>
            <w:tcW w:w="1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the average fair market value of</w:t>
            </w:r>
          </w:p>
        </w:tc>
        <w:tc>
          <w:tcPr>
            <w:tcW w:w="1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the Company's common stock for</w:t>
            </w:r>
          </w:p>
        </w:tc>
        <w:tc>
          <w:tcPr>
            <w:tcW w:w="1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the respective period</w:t>
            </w:r>
          </w:p>
        </w:tc>
        <w:tc>
          <w:tcPr>
            <w:tcW w:w="1720" w:type="dxa"/>
            <w:vAlign w:val="bottom"/>
          </w:tcPr>
          <w:p>
            <w:pPr>
              <w:ind w:left="840"/>
              <w:spacing w:after="0"/>
              <w:rPr>
                <w:sz w:val="20"/>
                <w:szCs w:val="20"/>
                <w:color w:val="auto"/>
              </w:rPr>
            </w:pPr>
            <w:r>
              <w:rPr>
                <w:rFonts w:ascii="Courier New" w:cs="Courier New" w:eastAsia="Courier New" w:hAnsi="Courier New"/>
                <w:sz w:val="15"/>
                <w:szCs w:val="15"/>
                <w:color w:val="auto"/>
              </w:rPr>
              <w:t>1,567</w:t>
            </w:r>
          </w:p>
        </w:tc>
        <w:tc>
          <w:tcPr>
            <w:tcW w:w="1620" w:type="dxa"/>
            <w:vAlign w:val="bottom"/>
          </w:tcPr>
          <w:p>
            <w:pPr>
              <w:ind w:left="700"/>
              <w:spacing w:after="0"/>
              <w:rPr>
                <w:sz w:val="20"/>
                <w:szCs w:val="20"/>
                <w:color w:val="auto"/>
              </w:rPr>
            </w:pPr>
            <w:r>
              <w:rPr>
                <w:rFonts w:ascii="Courier New" w:cs="Courier New" w:eastAsia="Courier New" w:hAnsi="Courier New"/>
                <w:sz w:val="15"/>
                <w:szCs w:val="15"/>
                <w:color w:val="auto"/>
              </w:rPr>
              <w:t>$4.76</w:t>
            </w:r>
          </w:p>
        </w:tc>
        <w:tc>
          <w:tcPr>
            <w:tcW w:w="9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509"/>
        </w:trPr>
        <w:tc>
          <w:tcPr>
            <w:tcW w:w="3740" w:type="dxa"/>
            <w:vAlign w:val="bottom"/>
          </w:tcPr>
          <w:p>
            <w:pPr>
              <w:spacing w:after="0"/>
              <w:rPr>
                <w:sz w:val="20"/>
                <w:szCs w:val="20"/>
                <w:color w:val="auto"/>
              </w:rPr>
            </w:pPr>
            <w:r>
              <w:rPr>
                <w:rFonts w:ascii="Courier New" w:cs="Courier New" w:eastAsia="Courier New" w:hAnsi="Courier New"/>
                <w:sz w:val="15"/>
                <w:szCs w:val="15"/>
                <w:color w:val="auto"/>
              </w:rPr>
              <w:t>Options and warrants with</w:t>
            </w:r>
          </w:p>
        </w:tc>
        <w:tc>
          <w:tcPr>
            <w:tcW w:w="1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exercise prices above the average</w:t>
            </w:r>
          </w:p>
        </w:tc>
        <w:tc>
          <w:tcPr>
            <w:tcW w:w="1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fair market value of the</w:t>
            </w:r>
          </w:p>
        </w:tc>
        <w:tc>
          <w:tcPr>
            <w:tcW w:w="1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Company's common stock for the</w:t>
            </w:r>
          </w:p>
        </w:tc>
        <w:tc>
          <w:tcPr>
            <w:tcW w:w="1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respective period</w:t>
            </w:r>
          </w:p>
        </w:tc>
        <w:tc>
          <w:tcPr>
            <w:tcW w:w="1720" w:type="dxa"/>
            <w:vAlign w:val="bottom"/>
          </w:tcPr>
          <w:p>
            <w:pPr>
              <w:ind w:left="840"/>
              <w:spacing w:after="0"/>
              <w:rPr>
                <w:sz w:val="20"/>
                <w:szCs w:val="20"/>
                <w:color w:val="auto"/>
              </w:rPr>
            </w:pPr>
            <w:r>
              <w:rPr>
                <w:rFonts w:ascii="Courier New" w:cs="Courier New" w:eastAsia="Courier New" w:hAnsi="Courier New"/>
                <w:sz w:val="15"/>
                <w:szCs w:val="15"/>
                <w:color w:val="auto"/>
              </w:rPr>
              <w:t>5,538</w:t>
            </w:r>
          </w:p>
        </w:tc>
        <w:tc>
          <w:tcPr>
            <w:tcW w:w="1620" w:type="dxa"/>
            <w:vAlign w:val="bottom"/>
          </w:tcPr>
          <w:p>
            <w:pPr>
              <w:ind w:left="700"/>
              <w:spacing w:after="0"/>
              <w:rPr>
                <w:sz w:val="20"/>
                <w:szCs w:val="20"/>
                <w:color w:val="auto"/>
              </w:rPr>
            </w:pPr>
            <w:r>
              <w:rPr>
                <w:rFonts w:ascii="Courier New" w:cs="Courier New" w:eastAsia="Courier New" w:hAnsi="Courier New"/>
                <w:sz w:val="15"/>
                <w:szCs w:val="15"/>
                <w:color w:val="auto"/>
              </w:rPr>
              <w:t>$10.82</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4,002</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$12.05</w:t>
            </w:r>
          </w:p>
        </w:tc>
      </w:tr>
      <w:tr>
        <w:trPr>
          <w:trHeight w:val="170"/>
        </w:trPr>
        <w:tc>
          <w:tcPr>
            <w:tcW w:w="3740" w:type="dxa"/>
            <w:vAlign w:val="bottom"/>
          </w:tcPr>
          <w:p>
            <w:pPr>
              <w:spacing w:after="0"/>
              <w:rPr>
                <w:sz w:val="14"/>
                <w:szCs w:val="14"/>
                <w:color w:val="auto"/>
              </w:rPr>
            </w:pPr>
          </w:p>
        </w:tc>
        <w:tc>
          <w:tcPr>
            <w:tcW w:w="172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r>
      <w:tr>
        <w:trPr>
          <w:trHeight w:val="170"/>
        </w:trPr>
        <w:tc>
          <w:tcPr>
            <w:tcW w:w="37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Total</w:t>
            </w:r>
          </w:p>
        </w:tc>
        <w:tc>
          <w:tcPr>
            <w:tcW w:w="1720" w:type="dxa"/>
            <w:vAlign w:val="bottom"/>
          </w:tcPr>
          <w:p>
            <w:pPr>
              <w:ind w:left="840"/>
              <w:spacing w:after="0"/>
              <w:rPr>
                <w:sz w:val="20"/>
                <w:szCs w:val="20"/>
                <w:color w:val="auto"/>
              </w:rPr>
            </w:pPr>
            <w:r>
              <w:rPr>
                <w:rFonts w:ascii="Courier New" w:cs="Courier New" w:eastAsia="Courier New" w:hAnsi="Courier New"/>
                <w:sz w:val="15"/>
                <w:szCs w:val="15"/>
                <w:color w:val="auto"/>
              </w:rPr>
              <w:t>7,105</w:t>
            </w:r>
          </w:p>
        </w:tc>
        <w:tc>
          <w:tcPr>
            <w:tcW w:w="162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4,002</w:t>
            </w:r>
          </w:p>
        </w:tc>
        <w:tc>
          <w:tcPr>
            <w:tcW w:w="1360" w:type="dxa"/>
            <w:vAlign w:val="bottom"/>
          </w:tcPr>
          <w:p>
            <w:pPr>
              <w:spacing w:after="0"/>
              <w:rPr>
                <w:sz w:val="14"/>
                <w:szCs w:val="14"/>
                <w:color w:val="auto"/>
              </w:rPr>
            </w:pPr>
          </w:p>
        </w:tc>
      </w:tr>
      <w:tr>
        <w:trPr>
          <w:trHeight w:val="170"/>
        </w:trPr>
        <w:tc>
          <w:tcPr>
            <w:tcW w:w="3740" w:type="dxa"/>
            <w:vAlign w:val="bottom"/>
          </w:tcPr>
          <w:p>
            <w:pPr>
              <w:spacing w:after="0"/>
              <w:rPr>
                <w:sz w:val="14"/>
                <w:szCs w:val="14"/>
                <w:color w:val="auto"/>
              </w:rPr>
            </w:pPr>
          </w:p>
        </w:tc>
        <w:tc>
          <w:tcPr>
            <w:tcW w:w="172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r>
      <w:tr>
        <w:trPr>
          <w:trHeight w:val="848"/>
        </w:trPr>
        <w:tc>
          <w:tcPr>
            <w:tcW w:w="374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9</w:t>
            </w:r>
          </w:p>
        </w:tc>
        <w:tc>
          <w:tcPr>
            <w:tcW w:w="1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0750"/>
          </w:cols>
          <w:pgMar w:left="230" w:top="791" w:right="919" w:bottom="1440" w:gutter="0" w:footer="0" w:header="0"/>
          <w:type w:val="continuous"/>
        </w:sectPr>
      </w:pPr>
    </w:p>
    <w:bookmarkStart w:id="9" w:name="page10"/>
    <w:bookmarkEnd w:id="9"/>
    <w:p>
      <w:pPr>
        <w:ind w:left="10"/>
        <w:spacing w:after="0"/>
        <w:rPr>
          <w:sz w:val="20"/>
          <w:szCs w:val="20"/>
          <w:color w:val="auto"/>
        </w:rPr>
      </w:pPr>
      <w:r>
        <w:rPr>
          <w:rFonts w:ascii="Courier New" w:cs="Courier New" w:eastAsia="Courier New" w:hAnsi="Courier New"/>
          <w:sz w:val="15"/>
          <w:szCs w:val="15"/>
          <w:color w:val="auto"/>
        </w:rPr>
        <w:t>REGENERON PHARMACEUTICALS, INC.</w:t>
      </w:r>
    </w:p>
    <w:p>
      <w:pPr>
        <w:ind w:left="10"/>
        <w:spacing w:after="0"/>
        <w:rPr>
          <w:sz w:val="20"/>
          <w:szCs w:val="20"/>
          <w:color w:val="auto"/>
        </w:rPr>
      </w:pPr>
      <w:r>
        <w:rPr>
          <w:rFonts w:ascii="Courier New" w:cs="Courier New" w:eastAsia="Courier New" w:hAnsi="Courier New"/>
          <w:sz w:val="15"/>
          <w:szCs w:val="15"/>
          <w:color w:val="auto"/>
        </w:rPr>
        <w:t>Notes to Condensed Financial Statements</w:t>
      </w:r>
    </w:p>
    <w:p>
      <w:pPr>
        <w:ind w:left="1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77"/>
              </w:rPr>
              <w:t>6.</w:t>
            </w:r>
          </w:p>
        </w:tc>
        <w:tc>
          <w:tcPr>
            <w:tcW w:w="3260" w:type="dxa"/>
            <w:vAlign w:val="bottom"/>
          </w:tcPr>
          <w:p>
            <w:pPr>
              <w:ind w:left="300"/>
              <w:spacing w:after="0"/>
              <w:rPr>
                <w:sz w:val="20"/>
                <w:szCs w:val="20"/>
                <w:color w:val="auto"/>
              </w:rPr>
            </w:pPr>
            <w:r>
              <w:rPr>
                <w:rFonts w:ascii="Courier New" w:cs="Courier New" w:eastAsia="Courier New" w:hAnsi="Courier New"/>
                <w:sz w:val="15"/>
                <w:szCs w:val="15"/>
                <w:color w:val="auto"/>
              </w:rPr>
              <w:t>Per Share Data (continued)</w:t>
            </w:r>
          </w:p>
        </w:tc>
        <w:tc>
          <w:tcPr>
            <w:tcW w:w="20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678"/>
        </w:trPr>
        <w:tc>
          <w:tcPr>
            <w:tcW w:w="4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10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Six Months Ended June 30,</w:t>
            </w:r>
          </w:p>
        </w:tc>
        <w:tc>
          <w:tcPr>
            <w:tcW w:w="1320" w:type="dxa"/>
            <w:vAlign w:val="bottom"/>
          </w:tcPr>
          <w:p>
            <w:pPr>
              <w:spacing w:after="0"/>
              <w:rPr>
                <w:sz w:val="24"/>
                <w:szCs w:val="24"/>
                <w:color w:val="auto"/>
              </w:rPr>
            </w:pPr>
          </w:p>
        </w:tc>
      </w:tr>
      <w:tr>
        <w:trPr>
          <w:trHeight w:val="170"/>
        </w:trPr>
        <w:tc>
          <w:tcPr>
            <w:tcW w:w="4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1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0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Net Loss</w:t>
            </w:r>
          </w:p>
        </w:tc>
        <w:tc>
          <w:tcPr>
            <w:tcW w:w="20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Shares</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Per Share</w:t>
            </w:r>
          </w:p>
        </w:tc>
      </w:tr>
      <w:tr>
        <w:trPr>
          <w:trHeight w:val="170"/>
        </w:trPr>
        <w:tc>
          <w:tcPr>
            <w:tcW w:w="4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(Numerator)</w:t>
            </w: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(Denominator)</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Amount</w:t>
            </w:r>
          </w:p>
        </w:tc>
      </w:tr>
      <w:tr>
        <w:trPr>
          <w:trHeight w:val="170"/>
        </w:trPr>
        <w:tc>
          <w:tcPr>
            <w:tcW w:w="4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80" w:type="dxa"/>
            <w:vAlign w:val="bottom"/>
          </w:tcPr>
          <w:p>
            <w:pPr>
              <w:spacing w:after="0"/>
              <w:rPr>
                <w:sz w:val="24"/>
                <w:szCs w:val="24"/>
                <w:color w:val="auto"/>
              </w:rPr>
            </w:pPr>
          </w:p>
        </w:tc>
        <w:tc>
          <w:tcPr>
            <w:tcW w:w="3260" w:type="dxa"/>
            <w:vAlign w:val="bottom"/>
          </w:tcPr>
          <w:p>
            <w:pPr>
              <w:ind w:left="300"/>
              <w:spacing w:after="0"/>
              <w:rPr>
                <w:sz w:val="20"/>
                <w:szCs w:val="20"/>
                <w:color w:val="auto"/>
              </w:rPr>
            </w:pPr>
            <w:r>
              <w:rPr>
                <w:rFonts w:ascii="Courier New" w:cs="Courier New" w:eastAsia="Courier New" w:hAnsi="Courier New"/>
                <w:sz w:val="15"/>
                <w:szCs w:val="15"/>
                <w:color w:val="auto"/>
              </w:rPr>
              <w:t>1999:</w:t>
            </w:r>
          </w:p>
        </w:tc>
        <w:tc>
          <w:tcPr>
            <w:tcW w:w="2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480" w:type="dxa"/>
            <w:vAlign w:val="bottom"/>
          </w:tcPr>
          <w:p>
            <w:pPr>
              <w:spacing w:after="0"/>
              <w:rPr>
                <w:sz w:val="14"/>
                <w:szCs w:val="14"/>
                <w:color w:val="auto"/>
              </w:rPr>
            </w:pPr>
          </w:p>
        </w:tc>
        <w:tc>
          <w:tcPr>
            <w:tcW w:w="3260" w:type="dxa"/>
            <w:vAlign w:val="bottom"/>
          </w:tcPr>
          <w:p>
            <w:pPr>
              <w:ind w:left="560"/>
              <w:spacing w:after="0"/>
              <w:rPr>
                <w:sz w:val="20"/>
                <w:szCs w:val="20"/>
                <w:color w:val="auto"/>
              </w:rPr>
            </w:pPr>
            <w:r>
              <w:rPr>
                <w:rFonts w:ascii="Courier New" w:cs="Courier New" w:eastAsia="Courier New" w:hAnsi="Courier New"/>
                <w:sz w:val="15"/>
                <w:szCs w:val="15"/>
                <w:color w:val="auto"/>
              </w:rPr>
              <w:t>Basic and Diluted</w:t>
            </w:r>
          </w:p>
        </w:tc>
        <w:tc>
          <w:tcPr>
            <w:tcW w:w="2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($16,763)</w:t>
            </w:r>
          </w:p>
        </w:tc>
        <w:tc>
          <w:tcPr>
            <w:tcW w:w="20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31,289</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($0.54)</w:t>
            </w:r>
          </w:p>
        </w:tc>
      </w:tr>
      <w:tr>
        <w:trPr>
          <w:trHeight w:val="339"/>
        </w:trPr>
        <w:tc>
          <w:tcPr>
            <w:tcW w:w="480" w:type="dxa"/>
            <w:vAlign w:val="bottom"/>
          </w:tcPr>
          <w:p>
            <w:pPr>
              <w:spacing w:after="0"/>
              <w:rPr>
                <w:sz w:val="24"/>
                <w:szCs w:val="24"/>
                <w:color w:val="auto"/>
              </w:rPr>
            </w:pPr>
          </w:p>
        </w:tc>
        <w:tc>
          <w:tcPr>
            <w:tcW w:w="3260" w:type="dxa"/>
            <w:vAlign w:val="bottom"/>
          </w:tcPr>
          <w:p>
            <w:pPr>
              <w:ind w:left="300"/>
              <w:spacing w:after="0"/>
              <w:rPr>
                <w:sz w:val="20"/>
                <w:szCs w:val="20"/>
                <w:color w:val="auto"/>
              </w:rPr>
            </w:pPr>
            <w:r>
              <w:rPr>
                <w:rFonts w:ascii="Courier New" w:cs="Courier New" w:eastAsia="Courier New" w:hAnsi="Courier New"/>
                <w:sz w:val="15"/>
                <w:szCs w:val="15"/>
                <w:color w:val="auto"/>
              </w:rPr>
              <w:t>1998:</w:t>
            </w:r>
          </w:p>
        </w:tc>
        <w:tc>
          <w:tcPr>
            <w:tcW w:w="2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480" w:type="dxa"/>
            <w:vAlign w:val="bottom"/>
          </w:tcPr>
          <w:p>
            <w:pPr>
              <w:spacing w:after="0"/>
              <w:rPr>
                <w:sz w:val="14"/>
                <w:szCs w:val="14"/>
                <w:color w:val="auto"/>
              </w:rPr>
            </w:pPr>
          </w:p>
        </w:tc>
        <w:tc>
          <w:tcPr>
            <w:tcW w:w="3260" w:type="dxa"/>
            <w:vAlign w:val="bottom"/>
          </w:tcPr>
          <w:p>
            <w:pPr>
              <w:ind w:left="560"/>
              <w:spacing w:after="0"/>
              <w:rPr>
                <w:sz w:val="20"/>
                <w:szCs w:val="20"/>
                <w:color w:val="auto"/>
              </w:rPr>
            </w:pPr>
            <w:r>
              <w:rPr>
                <w:rFonts w:ascii="Courier New" w:cs="Courier New" w:eastAsia="Courier New" w:hAnsi="Courier New"/>
                <w:sz w:val="15"/>
                <w:szCs w:val="15"/>
                <w:color w:val="auto"/>
              </w:rPr>
              <w:t>Basic and Diluted</w:t>
            </w:r>
          </w:p>
        </w:tc>
        <w:tc>
          <w:tcPr>
            <w:tcW w:w="2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($1,689)</w:t>
            </w:r>
          </w:p>
        </w:tc>
        <w:tc>
          <w:tcPr>
            <w:tcW w:w="20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30,968</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r>
    </w:tbl>
    <w:p>
      <w:pPr>
        <w:spacing w:after="0" w:line="344" w:lineRule="exact"/>
        <w:rPr>
          <w:sz w:val="20"/>
          <w:szCs w:val="20"/>
          <w:color w:val="auto"/>
        </w:rPr>
      </w:pPr>
    </w:p>
    <w:p>
      <w:pPr>
        <w:ind w:left="790" w:right="3700"/>
        <w:spacing w:after="0" w:line="237" w:lineRule="auto"/>
        <w:rPr>
          <w:sz w:val="20"/>
          <w:szCs w:val="20"/>
          <w:color w:val="auto"/>
        </w:rPr>
      </w:pPr>
      <w:r>
        <w:rPr>
          <w:rFonts w:ascii="Courier New" w:cs="Courier New" w:eastAsia="Courier New" w:hAnsi="Courier New"/>
          <w:sz w:val="15"/>
          <w:szCs w:val="15"/>
          <w:color w:val="auto"/>
        </w:rPr>
        <w:t>Options and warrants which have been excluded from the diluted per share amounts because their effect would have been antidilutive include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150"/>
        <w:spacing w:after="0"/>
        <w:rPr>
          <w:sz w:val="20"/>
          <w:szCs w:val="20"/>
          <w:color w:val="auto"/>
        </w:rPr>
      </w:pPr>
      <w:r>
        <w:rPr>
          <w:rFonts w:ascii="Courier New" w:cs="Courier New" w:eastAsia="Courier New" w:hAnsi="Courier New"/>
          <w:sz w:val="15"/>
          <w:szCs w:val="15"/>
          <w:color w:val="auto"/>
        </w:rPr>
        <w:t>Six Months Ended June 30,</w:t>
      </w:r>
    </w:p>
    <w:p>
      <w:pPr>
        <w:spacing w:after="0" w:line="5" w:lineRule="exact"/>
        <w:rPr>
          <w:sz w:val="20"/>
          <w:szCs w:val="20"/>
          <w:color w:val="auto"/>
        </w:rPr>
      </w:pPr>
    </w:p>
    <w:p>
      <w:pPr>
        <w:ind w:left="581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6690"/>
        <w:spacing w:after="0"/>
        <w:tabs>
          <w:tab w:leader="none" w:pos="9229"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ind w:left="6690"/>
        <w:spacing w:after="0"/>
        <w:tabs>
          <w:tab w:leader="none" w:pos="922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750"/>
          </w:cols>
          <w:pgMar w:left="230" w:top="1300" w:right="919" w:bottom="1440" w:gutter="0" w:footer="0" w:header="0"/>
        </w:sectPr>
      </w:pPr>
    </w:p>
    <w:p>
      <w:pPr>
        <w:ind w:left="5810"/>
        <w:spacing w:after="0"/>
        <w:rPr>
          <w:sz w:val="20"/>
          <w:szCs w:val="20"/>
          <w:color w:val="auto"/>
        </w:rPr>
      </w:pPr>
      <w:r>
        <w:rPr>
          <w:rFonts w:ascii="Courier New" w:cs="Courier New" w:eastAsia="Courier New" w:hAnsi="Courier New"/>
          <w:sz w:val="15"/>
          <w:szCs w:val="15"/>
          <w:color w:val="auto"/>
        </w:rPr>
        <w:t>Weighted</w:t>
      </w:r>
    </w:p>
    <w:p>
      <w:pPr>
        <w:spacing w:after="0" w:line="4" w:lineRule="exact"/>
        <w:rPr>
          <w:sz w:val="20"/>
          <w:szCs w:val="20"/>
          <w:color w:val="auto"/>
        </w:rPr>
      </w:pPr>
    </w:p>
    <w:p>
      <w:pPr>
        <w:ind w:left="5910"/>
        <w:spacing w:after="0"/>
        <w:rPr>
          <w:sz w:val="20"/>
          <w:szCs w:val="20"/>
          <w:color w:val="auto"/>
        </w:rPr>
      </w:pPr>
      <w:r>
        <w:rPr>
          <w:rFonts w:ascii="Courier New" w:cs="Courier New" w:eastAsia="Courier New" w:hAnsi="Courier New"/>
          <w:sz w:val="14"/>
          <w:szCs w:val="14"/>
          <w:color w:val="auto"/>
        </w:rPr>
        <w:t>Average</w:t>
      </w:r>
    </w:p>
    <w:p>
      <w:pPr>
        <w:spacing w:after="0" w:line="5" w:lineRule="exact"/>
        <w:rPr>
          <w:sz w:val="20"/>
          <w:szCs w:val="20"/>
          <w:color w:val="auto"/>
        </w:rPr>
      </w:pPr>
    </w:p>
    <w:p>
      <w:pPr>
        <w:ind w:left="5910"/>
        <w:spacing w:after="0"/>
        <w:rPr>
          <w:sz w:val="20"/>
          <w:szCs w:val="20"/>
          <w:color w:val="auto"/>
        </w:rPr>
      </w:pPr>
      <w:r>
        <w:rPr>
          <w:rFonts w:ascii="Courier New" w:cs="Courier New" w:eastAsia="Courier New" w:hAnsi="Courier New"/>
          <w:sz w:val="15"/>
          <w:szCs w:val="15"/>
          <w:color w:val="auto"/>
        </w:rPr>
        <w:t>Number</w:t>
      </w:r>
    </w:p>
    <w:p>
      <w:pPr>
        <w:ind w:left="591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firstLine="264"/>
        <w:spacing w:after="0" w:line="259" w:lineRule="auto"/>
        <w:rPr>
          <w:sz w:val="20"/>
          <w:szCs w:val="20"/>
          <w:color w:val="auto"/>
        </w:rPr>
      </w:pPr>
      <w:r>
        <w:rPr>
          <w:rFonts w:ascii="Courier New" w:cs="Courier New" w:eastAsia="Courier New" w:hAnsi="Courier New"/>
          <w:sz w:val="14"/>
          <w:szCs w:val="14"/>
          <w:color w:val="auto"/>
        </w:rPr>
        <w:t>Weighted Average Exercise Price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Weighted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Average</w:t>
      </w:r>
    </w:p>
    <w:p>
      <w:pPr>
        <w:ind w:left="80"/>
        <w:spacing w:after="0"/>
        <w:rPr>
          <w:sz w:val="20"/>
          <w:szCs w:val="20"/>
          <w:color w:val="auto"/>
        </w:rPr>
      </w:pPr>
      <w:r>
        <w:rPr>
          <w:rFonts w:ascii="Courier New" w:cs="Courier New" w:eastAsia="Courier New" w:hAnsi="Courier New"/>
          <w:sz w:val="15"/>
          <w:szCs w:val="15"/>
          <w:color w:val="auto"/>
        </w:rPr>
        <w:t>Number</w:t>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Weighted</w:t>
      </w:r>
    </w:p>
    <w:p>
      <w:pPr>
        <w:ind w:left="360"/>
        <w:spacing w:after="0" w:line="238" w:lineRule="auto"/>
        <w:rPr>
          <w:sz w:val="20"/>
          <w:szCs w:val="20"/>
          <w:color w:val="auto"/>
        </w:rPr>
      </w:pPr>
      <w:r>
        <w:rPr>
          <w:rFonts w:ascii="Courier New" w:cs="Courier New" w:eastAsia="Courier New" w:hAnsi="Courier New"/>
          <w:sz w:val="15"/>
          <w:szCs w:val="15"/>
          <w:color w:val="auto"/>
        </w:rPr>
        <w:t>Average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Price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4">
            <w:col w:w="6530" w:space="520"/>
            <w:col w:w="1240" w:space="260"/>
            <w:col w:w="700" w:space="260"/>
            <w:col w:w="1240"/>
          </w:cols>
          <w:pgMar w:left="230" w:top="1300" w:right="919" w:bottom="1440" w:gutter="0" w:footer="0" w:header="0"/>
          <w:type w:val="continuous"/>
        </w:sectPr>
      </w:pPr>
    </w:p>
    <w:p>
      <w:pPr>
        <w:ind w:left="1330"/>
        <w:spacing w:after="0"/>
        <w:rPr>
          <w:sz w:val="20"/>
          <w:szCs w:val="20"/>
          <w:color w:val="auto"/>
        </w:rPr>
      </w:pPr>
      <w:r>
        <w:rPr>
          <w:rFonts w:ascii="Courier New" w:cs="Courier New" w:eastAsia="Courier New" w:hAnsi="Courier New"/>
          <w:sz w:val="14"/>
          <w:szCs w:val="14"/>
          <w:color w:val="auto"/>
        </w:rPr>
        <w:t>Options with exercise prices below</w:t>
      </w:r>
    </w:p>
    <w:p>
      <w:pPr>
        <w:spacing w:after="0" w:line="5"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the average fair market value of</w:t>
      </w:r>
    </w:p>
    <w:p>
      <w:pPr>
        <w:ind w:left="1330"/>
        <w:spacing w:after="0"/>
        <w:rPr>
          <w:sz w:val="20"/>
          <w:szCs w:val="20"/>
          <w:color w:val="auto"/>
        </w:rPr>
      </w:pPr>
      <w:r>
        <w:rPr>
          <w:rFonts w:ascii="Courier New" w:cs="Courier New" w:eastAsia="Courier New" w:hAnsi="Courier New"/>
          <w:sz w:val="15"/>
          <w:szCs w:val="15"/>
          <w:color w:val="auto"/>
        </w:rPr>
        <w:t>the Company's common stock for</w:t>
      </w:r>
    </w:p>
    <w:p>
      <w:pPr>
        <w:sectPr>
          <w:pgSz w:w="11900" w:h="16838" w:orient="portrait"/>
          <w:cols w:equalWidth="0" w:num="1">
            <w:col w:w="10750"/>
          </w:cols>
          <w:pgMar w:left="230" w:top="1300" w:right="919" w:bottom="1440" w:gutter="0" w:footer="0" w:header="0"/>
          <w:type w:val="continuous"/>
        </w:sectPr>
      </w:pPr>
    </w:p>
    <w:p>
      <w:pPr>
        <w:spacing w:after="0" w:line="5" w:lineRule="exact"/>
        <w:rPr>
          <w:sz w:val="20"/>
          <w:szCs w:val="20"/>
          <w:color w:val="auto"/>
        </w:rPr>
      </w:pPr>
    </w:p>
    <w:p>
      <w:pPr>
        <w:ind w:left="1330"/>
        <w:spacing w:after="0"/>
        <w:rPr>
          <w:sz w:val="20"/>
          <w:szCs w:val="20"/>
          <w:color w:val="auto"/>
        </w:rPr>
      </w:pPr>
      <w:r>
        <w:rPr>
          <w:rFonts w:ascii="Courier New" w:cs="Courier New" w:eastAsia="Courier New" w:hAnsi="Courier New"/>
          <w:sz w:val="14"/>
          <w:szCs w:val="14"/>
          <w:color w:val="auto"/>
        </w:rPr>
        <w:t>the respective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2,328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$5.43</w:t>
      </w:r>
    </w:p>
    <w:p>
      <w:pPr>
        <w:spacing w:after="0" w:line="200" w:lineRule="exact"/>
        <w:rPr>
          <w:sz w:val="20"/>
          <w:szCs w:val="20"/>
          <w:color w:val="auto"/>
        </w:rPr>
      </w:pPr>
    </w:p>
    <w:p>
      <w:pPr>
        <w:sectPr>
          <w:pgSz w:w="11900" w:h="16838" w:orient="portrait"/>
          <w:cols w:equalWidth="0" w:num="5">
            <w:col w:w="5190" w:space="720"/>
            <w:col w:w="960" w:space="720"/>
            <w:col w:w="440" w:space="600"/>
            <w:col w:w="700" w:space="720"/>
            <w:col w:w="700"/>
          </w:cols>
          <w:pgMar w:left="230" w:top="1300" w:right="919" w:bottom="1440" w:gutter="0" w:footer="0" w:header="0"/>
          <w:type w:val="continuous"/>
        </w:sectPr>
      </w:pPr>
    </w:p>
    <w:p>
      <w:pPr>
        <w:spacing w:after="0" w:line="144"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Options and warrants with</w:t>
      </w:r>
    </w:p>
    <w:p>
      <w:pPr>
        <w:spacing w:after="0" w:line="5" w:lineRule="exact"/>
        <w:rPr>
          <w:sz w:val="20"/>
          <w:szCs w:val="20"/>
          <w:color w:val="auto"/>
        </w:rPr>
      </w:pPr>
    </w:p>
    <w:p>
      <w:pPr>
        <w:ind w:left="1330"/>
        <w:spacing w:after="0"/>
        <w:rPr>
          <w:sz w:val="20"/>
          <w:szCs w:val="20"/>
          <w:color w:val="auto"/>
        </w:rPr>
      </w:pPr>
      <w:r>
        <w:rPr>
          <w:rFonts w:ascii="Courier New" w:cs="Courier New" w:eastAsia="Courier New" w:hAnsi="Courier New"/>
          <w:sz w:val="14"/>
          <w:szCs w:val="14"/>
          <w:color w:val="auto"/>
        </w:rPr>
        <w:t>exercise prices above the average</w:t>
      </w:r>
    </w:p>
    <w:p>
      <w:pPr>
        <w:spacing w:after="0" w:line="5"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fair market value of the</w:t>
      </w:r>
    </w:p>
    <w:p>
      <w:pPr>
        <w:ind w:left="1330"/>
        <w:spacing w:after="0"/>
        <w:rPr>
          <w:sz w:val="20"/>
          <w:szCs w:val="20"/>
          <w:color w:val="auto"/>
        </w:rPr>
      </w:pPr>
      <w:r>
        <w:rPr>
          <w:rFonts w:ascii="Courier New" w:cs="Courier New" w:eastAsia="Courier New" w:hAnsi="Courier New"/>
          <w:sz w:val="15"/>
          <w:szCs w:val="15"/>
          <w:color w:val="auto"/>
        </w:rPr>
        <w:t>Company's common stock for the</w:t>
      </w:r>
    </w:p>
    <w:p>
      <w:pPr>
        <w:sectPr>
          <w:pgSz w:w="11900" w:h="16838" w:orient="portrait"/>
          <w:cols w:equalWidth="0" w:num="1">
            <w:col w:w="10750"/>
          </w:cols>
          <w:pgMar w:left="230" w:top="1300" w:right="919" w:bottom="1440" w:gutter="0" w:footer="0" w:header="0"/>
          <w:type w:val="continuous"/>
        </w:sectPr>
      </w:pPr>
    </w:p>
    <w:p>
      <w:pPr>
        <w:spacing w:after="0" w:line="5" w:lineRule="exact"/>
        <w:rPr>
          <w:sz w:val="20"/>
          <w:szCs w:val="20"/>
          <w:color w:val="auto"/>
        </w:rPr>
      </w:pPr>
    </w:p>
    <w:p>
      <w:pPr>
        <w:ind w:left="1330"/>
        <w:spacing w:after="0"/>
        <w:rPr>
          <w:sz w:val="20"/>
          <w:szCs w:val="20"/>
          <w:color w:val="auto"/>
        </w:rPr>
      </w:pPr>
      <w:r>
        <w:rPr>
          <w:rFonts w:ascii="Courier New" w:cs="Courier New" w:eastAsia="Courier New" w:hAnsi="Courier New"/>
          <w:sz w:val="14"/>
          <w:szCs w:val="14"/>
          <w:color w:val="auto"/>
        </w:rPr>
        <w:t>respective period</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5,479</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7,049</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$10.85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4,010</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6,338</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$12.04</w:t>
      </w:r>
    </w:p>
    <w:p>
      <w:pPr>
        <w:spacing w:after="0" w:line="708" w:lineRule="exact"/>
        <w:rPr>
          <w:sz w:val="20"/>
          <w:szCs w:val="20"/>
          <w:color w:val="auto"/>
        </w:rPr>
      </w:pPr>
    </w:p>
    <w:p>
      <w:pPr>
        <w:sectPr>
          <w:pgSz w:w="11900" w:h="16838" w:orient="portrait"/>
          <w:cols w:equalWidth="0" w:num="6">
            <w:col w:w="2830" w:space="260"/>
            <w:col w:w="2100" w:space="720"/>
            <w:col w:w="860" w:space="720"/>
            <w:col w:w="540" w:space="600"/>
            <w:col w:w="620" w:space="720"/>
            <w:col w:w="780"/>
          </w:cols>
          <w:pgMar w:left="230" w:top="1300" w:right="9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90" w:hanging="790"/>
        <w:spacing w:after="0"/>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Incentive Plan</w:t>
      </w:r>
    </w:p>
    <w:p>
      <w:pPr>
        <w:spacing w:after="0" w:line="174" w:lineRule="exact"/>
        <w:rPr>
          <w:rFonts w:ascii="Courier New" w:cs="Courier New" w:eastAsia="Courier New" w:hAnsi="Courier New"/>
          <w:sz w:val="15"/>
          <w:szCs w:val="15"/>
          <w:color w:val="auto"/>
        </w:rPr>
      </w:pPr>
    </w:p>
    <w:p>
      <w:pPr>
        <w:ind w:left="790" w:right="370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1999, the Regeneron Pharmaceuticals, Inc. Amended and Restated 1990 Long-Term Incentive Plan ("Incentive Plan") was amended to increase by 1,500 the number of shares reserved for issuance under the plan. As amended, the Incentive Plan provides for a maximum of 6,900 shares of Common Stock for awards. Such awards include Restricted Share Rights, Incentive Stock Rights, Stock Options, Stock Appreciation Rights, and Performance Unit Rights, as defined.</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750"/>
          </w:cols>
          <w:pgMar w:left="230" w:top="1300" w:right="919" w:bottom="1440" w:gutter="0" w:footer="0" w:header="0"/>
          <w:type w:val="continuous"/>
        </w:sectPr>
      </w:pPr>
    </w:p>
    <w:bookmarkStart w:id="10" w:name="page11"/>
    <w:bookmarkEnd w:id="10"/>
    <w:p>
      <w:pPr>
        <w:ind w:left="780" w:right="3179" w:hanging="792"/>
        <w:spacing w:after="0" w:line="235" w:lineRule="auto"/>
        <w:tabs>
          <w:tab w:leader="none" w:pos="760" w:val="left"/>
        </w:tabs>
        <w:rPr>
          <w:sz w:val="20"/>
          <w:szCs w:val="20"/>
          <w:color w:val="auto"/>
        </w:rPr>
      </w:pPr>
      <w:r>
        <w:rPr>
          <w:rFonts w:ascii="Courier New" w:cs="Courier New" w:eastAsia="Courier New" w:hAnsi="Courier New"/>
          <w:sz w:val="15"/>
          <w:szCs w:val="15"/>
          <w:color w:val="auto"/>
        </w:rPr>
        <w:t>Item 2.</w:t>
        <w:tab/>
        <w:t>Management's Discussion and Analysis of Financial Condition and Results of Operations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Overview. The discussion below contains forward-looking statements that involve risks and uncertainties relating to the future financial performance of Regeneron Pharmaceuticals, Inc. ("Regeneron" or the "Company") and actual events or results may differ materially. These statements concern, among other things, the possible therapeutic applications of the Company's product candidates and research programs, the timing and nature of the Company's clinical and research programs now underway or planned, a variety of items described herein and in the footnotes to the Company's financial statements (including the useful life of assets, the anticipated length of agreements, and other matters), and the future uses of capital and financial needs of the Company. These statements are made by the Company based on management's current beliefs and judgment. In evaluating such statements, stockholders and potential investors should specifically consider the various factors identified under the caption "Factors That May Affect Future Operating Results" which could cause actual results to differ materially from those indicated by such forward-looking statements.</w:t>
      </w:r>
    </w:p>
    <w:p>
      <w:pPr>
        <w:spacing w:after="0" w:line="16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Regeneron is a leader in the application of molecular and cell biology to discover novel potential therapeutics for human medical conditions and is seeking to develop and commercialize these discoveries. The Company is applying its technological expertise in protein growth factors, their receptors, and their mechanisms of action to the discovery and development of protein-based drugs and orally active, small molecule drugs.</w:t>
      </w:r>
    </w:p>
    <w:p>
      <w:pPr>
        <w:spacing w:after="0" w:line="176" w:lineRule="exact"/>
        <w:rPr>
          <w:sz w:val="20"/>
          <w:szCs w:val="20"/>
          <w:color w:val="auto"/>
        </w:rPr>
      </w:pPr>
    </w:p>
    <w:p>
      <w:pPr>
        <w:ind w:right="3799" w:firstLine="793"/>
        <w:spacing w:after="0" w:line="235" w:lineRule="auto"/>
        <w:rPr>
          <w:sz w:val="20"/>
          <w:szCs w:val="20"/>
          <w:color w:val="auto"/>
        </w:rPr>
      </w:pPr>
      <w:r>
        <w:rPr>
          <w:rFonts w:ascii="Courier New" w:cs="Courier New" w:eastAsia="Courier New" w:hAnsi="Courier New"/>
          <w:sz w:val="15"/>
          <w:szCs w:val="15"/>
          <w:color w:val="auto"/>
        </w:rPr>
        <w:t>The Company is pursuing research and development programs in the following areas:</w:t>
      </w:r>
    </w:p>
    <w:p>
      <w:pPr>
        <w:spacing w:after="0" w:line="176" w:lineRule="exact"/>
        <w:rPr>
          <w:sz w:val="20"/>
          <w:szCs w:val="20"/>
          <w:color w:val="auto"/>
        </w:rPr>
      </w:pPr>
    </w:p>
    <w:p>
      <w:pPr>
        <w:ind w:left="1040" w:right="3439" w:hanging="256"/>
        <w:spacing w:after="0" w:line="237" w:lineRule="auto"/>
        <w:tabs>
          <w:tab w:leader="none" w:pos="10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AXOKINE(Registered) second generation ciliary neurotrophic factor for the treatment of Type II diabetes in obese patients and uncomplicated obesity,</w:t>
      </w:r>
    </w:p>
    <w:p>
      <w:pPr>
        <w:spacing w:after="0" w:line="174" w:lineRule="exact"/>
        <w:rPr>
          <w:rFonts w:ascii="Courier New" w:cs="Courier New" w:eastAsia="Courier New" w:hAnsi="Courier New"/>
          <w:sz w:val="15"/>
          <w:szCs w:val="15"/>
          <w:color w:val="auto"/>
        </w:rPr>
      </w:pPr>
    </w:p>
    <w:p>
      <w:pPr>
        <w:ind w:left="1040" w:right="3179" w:hanging="256"/>
        <w:spacing w:after="0" w:line="237" w:lineRule="auto"/>
        <w:tabs>
          <w:tab w:leader="none" w:pos="10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Brain-derived neurotrophic factor ("BDNF") for the treatment of amyotrophic lateral sclerosis ("ALS," commonly known as Lou Gehrig's disease),</w:t>
      </w:r>
    </w:p>
    <w:p>
      <w:pPr>
        <w:spacing w:after="0" w:line="174" w:lineRule="exact"/>
        <w:rPr>
          <w:rFonts w:ascii="Courier New" w:cs="Courier New" w:eastAsia="Courier New" w:hAnsi="Courier New"/>
          <w:sz w:val="15"/>
          <w:szCs w:val="15"/>
          <w:color w:val="auto"/>
        </w:rPr>
      </w:pPr>
    </w:p>
    <w:p>
      <w:pPr>
        <w:ind w:left="1040" w:right="4139" w:hanging="256"/>
        <w:spacing w:after="0" w:line="235" w:lineRule="auto"/>
        <w:tabs>
          <w:tab w:leader="none" w:pos="10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Neurotrophin-3 ("NT-3") for the treatment of constipating conditions,</w:t>
      </w:r>
    </w:p>
    <w:p>
      <w:pPr>
        <w:spacing w:after="0" w:line="175" w:lineRule="exact"/>
        <w:rPr>
          <w:rFonts w:ascii="Courier New" w:cs="Courier New" w:eastAsia="Courier New" w:hAnsi="Courier New"/>
          <w:sz w:val="15"/>
          <w:szCs w:val="15"/>
          <w:color w:val="auto"/>
        </w:rPr>
      </w:pPr>
    </w:p>
    <w:p>
      <w:pPr>
        <w:ind w:left="1040" w:right="3179" w:hanging="256"/>
        <w:spacing w:after="0" w:line="258" w:lineRule="auto"/>
        <w:tabs>
          <w:tab w:leader="none" w:pos="10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Angiogenesis, including stimulating blood vessel growth in settings where more blood flow is desired and blocking blood vessel growth in abnormal conditions such as cancer. The angiogenesis program is based on Regeneron's discovery of Angiopoietins, a new family of ligands (and their receptors, called the TIE family of receptors) that appears to regulate blood vessel formation,</w:t>
      </w:r>
    </w:p>
    <w:p>
      <w:pPr>
        <w:spacing w:after="0" w:line="163" w:lineRule="exact"/>
        <w:rPr>
          <w:rFonts w:ascii="Courier New" w:cs="Courier New" w:eastAsia="Courier New" w:hAnsi="Courier New"/>
          <w:sz w:val="14"/>
          <w:szCs w:val="14"/>
          <w:color w:val="auto"/>
        </w:rPr>
      </w:pPr>
    </w:p>
    <w:p>
      <w:pPr>
        <w:ind w:left="1040" w:right="3259" w:hanging="256"/>
        <w:spacing w:after="0" w:line="237" w:lineRule="auto"/>
        <w:tabs>
          <w:tab w:leader="none" w:pos="10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Protein antagonists for cytokines such as interleukin-1 ("IL-1"), interleukin-4 ("IL-4"), interleukin-6 ("IL-6"), and interleukin-13 ("IL-13") as potential treatment of inflammatory diseases, allergic disorders, and cancer,</w:t>
      </w:r>
    </w:p>
    <w:p>
      <w:pPr>
        <w:spacing w:after="0" w:line="176" w:lineRule="exact"/>
        <w:rPr>
          <w:rFonts w:ascii="Courier New" w:cs="Courier New" w:eastAsia="Courier New" w:hAnsi="Courier New"/>
          <w:sz w:val="15"/>
          <w:szCs w:val="15"/>
          <w:color w:val="auto"/>
        </w:rPr>
      </w:pPr>
    </w:p>
    <w:p>
      <w:pPr>
        <w:ind w:left="1040" w:right="3799" w:hanging="256"/>
        <w:spacing w:after="0" w:line="235" w:lineRule="auto"/>
        <w:tabs>
          <w:tab w:leader="none" w:pos="10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Muscle atrophy, using a variety of approaches to identify and validate drug targets, and</w:t>
      </w:r>
    </w:p>
    <w:p>
      <w:pPr>
        <w:spacing w:after="0" w:line="175" w:lineRule="exact"/>
        <w:rPr>
          <w:rFonts w:ascii="Courier New" w:cs="Courier New" w:eastAsia="Courier New" w:hAnsi="Courier New"/>
          <w:sz w:val="15"/>
          <w:szCs w:val="15"/>
          <w:color w:val="auto"/>
        </w:rPr>
      </w:pPr>
    </w:p>
    <w:p>
      <w:pPr>
        <w:ind w:left="1040" w:right="3439" w:hanging="256"/>
        <w:spacing w:after="0" w:line="237" w:lineRule="auto"/>
        <w:tabs>
          <w:tab w:leader="none" w:pos="10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programs to discover orally active, small molecule-based drugs, some of which may mimic or antagonize protein- or receptor-based drug candidates that the Company is developing.</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27" w:right="1440" w:bottom="1440" w:gutter="0" w:footer="0" w:header="0"/>
        </w:sectPr>
      </w:pPr>
    </w:p>
    <w:bookmarkStart w:id="11" w:name="page12"/>
    <w:bookmarkEnd w:id="11"/>
    <w:p>
      <w:pPr>
        <w:ind w:right="3179" w:firstLine="793"/>
        <w:spacing w:after="0" w:line="239" w:lineRule="auto"/>
        <w:rPr>
          <w:sz w:val="20"/>
          <w:szCs w:val="20"/>
          <w:color w:val="auto"/>
        </w:rPr>
      </w:pPr>
      <w:r>
        <w:rPr>
          <w:rFonts w:ascii="Courier New" w:cs="Courier New" w:eastAsia="Courier New" w:hAnsi="Courier New"/>
          <w:sz w:val="15"/>
          <w:szCs w:val="15"/>
          <w:color w:val="auto"/>
        </w:rPr>
        <w:t>Discussion of Second Quarter 1999 Activities. In the second quarter of 1999, the Company continued to develop AXOKINE under the Company's collaboration agreement ("the P&amp;G Agreement") with The Procter and Gamble Company ("Procter &amp; Gamble"). The Company and Procter &amp; Gamble filed an Investigational New Drug application ("IND") with the United States Food and Drug Administration ("FDA") in the first quarter of 1999 and commenced a Phase I clinical study to determine the safety of AXOKINE administered subcutaneously for a short duration to mildly to moderately obese healthy volunteers. AXOKINE is being developed for the treatment of Type II diabetes in obese patients and uncomplicated obesity. No assurance can be made regarding the timing or result of this or any further clinical trial of AXOKINE. AXOKINE has never been administered to people. Its safety and efficacy in the treatment of any human condition have not been established and can not be predicted. Previous clinical studies of ciliary neurotrophic factor ("CNTF"), the parent molecule of AXOKINE, in addition to weight loss, resulted in the creation of neutralizing antibodies and adverse events (side effects) in patients, including cough, nausea, malaise, and increased herpes simplex cold sores. While certain aspects of the development of AXOKINE by the Company and Procter &amp; Gamble have focused on attempting to avoid or minimize antibody production or adverse events, no assurance may be given that these problems will be avoided or minimized or that they will not lead to the failure, delay, or additional difficulty in conducting AXOKINE clinical trials.</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The Company and Procter &amp; Gamble also continued to collaborate in research and development in the fields of angiogenesis, bone growth and related areas, muscle injury and atrophy, and small molecule (orally active) drugs. The majority of the Company's scientific resources are devoted to its collaborative activities with Procter &amp; Gamble.</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During the second quarter of 1999, the Company continued to develop independent of any corporate collaboration its proprietary cytokine traps for the potential treatment of asthma, inflammatory disease, cancer, and rheumatoid arthritis. The Company has conducted research with Pharmacopeia, Inc. in the area of small molecule drugs since 1996 under a collaboration agreement that will terminate, subject to certain continuing obligations, in the fourth quarter of 1999.</w:t>
      </w:r>
    </w:p>
    <w:p>
      <w:pPr>
        <w:spacing w:after="0" w:line="177"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During the second quarter of 1999, Amgen-Regeneron Partners, the partnership equally owned by Regeneron and Amgen Inc. ("Amgen"), continued to develop BDNF and NT-3. BDNF is currently being developed by Amgen-Regeneron Partners for potential use in treating ALS through two routes of administration: intrathecal (infusion into the spinal fluid through an implanted pump) and subcutaneous (injection under the skin). In the fourth quarter of 1998, Amgen, on behalf of the partnership began an intrathecal study in more than 200 patients with ALS. Subcutaneous studies conducted by Regeneron on behalf of the partnership began in the first quarter of 1998. The subcutaneous studies are based on an analysis of the Amgen-Regeneron Partners Phase III trial of BDNF for ALS that was completed in 1996. That trial failed to achieve its predetermined end points, but subsequent analyses indicated that a retrospectively-defined subset of ALS patients in the trial may have received a survival benefit from BDNF treatment. A multi-center study of more than 300 ALS patients who will receive BDNF subcutaneously began in August 1999.</w:t>
      </w:r>
    </w:p>
    <w:p>
      <w:pPr>
        <w:spacing w:after="0" w:line="200" w:lineRule="exact"/>
        <w:rPr>
          <w:sz w:val="20"/>
          <w:szCs w:val="20"/>
          <w:color w:val="auto"/>
        </w:rPr>
      </w:pPr>
    </w:p>
    <w:p>
      <w:pPr>
        <w:spacing w:after="0" w:line="29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797" w:right="1440" w:bottom="1440" w:gutter="0" w:footer="0" w:header="0"/>
        </w:sectPr>
      </w:pPr>
    </w:p>
    <w:bookmarkStart w:id="12" w:name="page13"/>
    <w:bookmarkEnd w:id="12"/>
    <w:p>
      <w:pPr>
        <w:ind w:right="3179" w:firstLine="793"/>
        <w:spacing w:after="0" w:line="238" w:lineRule="auto"/>
        <w:rPr>
          <w:sz w:val="20"/>
          <w:szCs w:val="20"/>
          <w:color w:val="auto"/>
        </w:rPr>
      </w:pPr>
      <w:r>
        <w:rPr>
          <w:rFonts w:ascii="Courier New" w:cs="Courier New" w:eastAsia="Courier New" w:hAnsi="Courier New"/>
          <w:sz w:val="15"/>
          <w:szCs w:val="15"/>
          <w:color w:val="auto"/>
        </w:rPr>
        <w:t>The Company and Sumitomo Pharmaceuticals Co., Ltd. ("Sumitomo Pharmaceuticals") are collaborating in the development of BDNF in Japan, initially for the treatment of ALS. In March 1998, Sumitomo Pharmaceuticals commenced a Phase I safety assessment of BDNF delivered subcutaneously to normal volunteers. In August 1998, Sumitomo Pharmaceuticals signed a license agreement for the development of BDNF in Japan. Pursuant to the license agreement, Sumitomo Pharmaceuticals made a $5.0 million research progress payment (reduced by $0.5 million of Japanese withholding tax) to Regeneron in August 1998 and will be required to make additional payments upon the achievement of specified milestones. Sumitomo Pharmaceuticals will also pay a royalty on sales of BDNF in Japan.</w:t>
      </w:r>
    </w:p>
    <w:p>
      <w:pPr>
        <w:spacing w:after="0" w:line="181"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Amgen-Regeneron Partners' clinical development of NT-3 is currently focused on constipating conditions. In 1998, Regeneron, on behalf of Amgen-Regeneron Partners, completed a small clinical study that included healthy volunteers and patients suffering from severe idiopathic constipation, and began additional small studies that continued through the second quarter of 1999 in patients who suffer from constipation associated with conditions such as spinal cord injury and Parkinson's disease.</w:t>
      </w:r>
    </w:p>
    <w:p>
      <w:pPr>
        <w:spacing w:after="0" w:line="177"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No assurance can be given that extended administration of BDNF or NT-3 will be safe or effective. The treatment of ALS has been shown, in a number of clinical settings using a variety of treatment modalities (including Amgen-Regeneron Partners' earlier clinical studies), to present significant difficulties. The design of an ALS clinical study presents special difficulties and risks, as do the facts that ALS is a progressive disease that afflicts individual patients differently and other ALS treatments are approved or have been or are currently being tested, creating the possibility that patients in any BDNF study may also receive other therapeutics during all or part of the BDNF trial. The treatment of constipating conditions may present additional clinical trial risks in light of the complex and not wholly understood mechanisms of action that lead to the conditions, the concurrent use of other drugs to treat the underlying illnesses as well as the gastrointestinal condition, the potential difficulty of designing and achieving significant clinical end points, and other factors. No assurance can be given that these or any other studies of BDNF or NT-3 will be successful or that BDNF or NT-3 will be commercialized.</w:t>
      </w:r>
    </w:p>
    <w:p>
      <w:pPr>
        <w:spacing w:after="0" w:line="18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Substantial risk is inherent in the research, development, and commercialization of drugs. In addition, in each of the areas of the Company's independent and collaborative activities, other companies and entities are actively pursuing competitive paths toward similar objectives. The results of the Company's and its collaborators' past activities in connection with the research and development of AXOKINE, cytokine traps, angiopoietins, abnormal bone growth, muscle atrophy, small molecules, BDNF, NT-3, and other programs or areas of research or development do not necessarily predict the results or success of current or future activities including, but not limited to, any additional preclinical or clinical studies. The Company cannot predict whether, when, or under what conditions any of its research or product candidates, including without limitation AXOKINE, BDNF, or NT-3, will be shown to be safe or effective to treat any human condition or be approved for marketing by any regulatory agency. The delay or failure of current or future studies to demonstrate the safety or efficacy of the Company's product candidates to treat human conditions or to be approved for marketing could have a material adverse impact on the Company.</w:t>
      </w:r>
    </w:p>
    <w:p>
      <w:pPr>
        <w:spacing w:after="0" w:line="187" w:lineRule="exact"/>
        <w:rPr>
          <w:sz w:val="20"/>
          <w:szCs w:val="20"/>
          <w:color w:val="auto"/>
        </w:rPr>
      </w:pPr>
    </w:p>
    <w:p>
      <w:pPr>
        <w:jc w:val="both"/>
        <w:ind w:right="3359" w:firstLine="793"/>
        <w:spacing w:after="0" w:line="237" w:lineRule="auto"/>
        <w:rPr>
          <w:sz w:val="20"/>
          <w:szCs w:val="20"/>
          <w:color w:val="auto"/>
        </w:rPr>
      </w:pPr>
      <w:r>
        <w:rPr>
          <w:rFonts w:ascii="Courier New" w:cs="Courier New" w:eastAsia="Courier New" w:hAnsi="Courier New"/>
          <w:sz w:val="15"/>
          <w:szCs w:val="15"/>
          <w:color w:val="auto"/>
        </w:rPr>
        <w:t>To date, Regeneron has not received any revenues from the commercial sale of products and may never receive such revenues. Before such revenues can be realized, the</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797" w:right="1440" w:bottom="1440" w:gutter="0" w:footer="0" w:header="0"/>
        </w:sectPr>
      </w:pPr>
    </w:p>
    <w:bookmarkStart w:id="13" w:name="page14"/>
    <w:bookmarkEnd w:id="13"/>
    <w:p>
      <w:pPr>
        <w:ind w:right="3359"/>
        <w:spacing w:after="0" w:line="258" w:lineRule="auto"/>
        <w:rPr>
          <w:sz w:val="20"/>
          <w:szCs w:val="20"/>
          <w:color w:val="auto"/>
        </w:rPr>
      </w:pPr>
      <w:r>
        <w:rPr>
          <w:rFonts w:ascii="Courier New" w:cs="Courier New" w:eastAsia="Courier New" w:hAnsi="Courier New"/>
          <w:sz w:val="14"/>
          <w:szCs w:val="14"/>
          <w:color w:val="auto"/>
        </w:rPr>
        <w:t>Company (or its collaborators) must overcome a number of hurdles which include successfully completing its research and development efforts and obtaining regulatory approval from the FDA or regulatory authorities in other countries. In addition, the biotechnology and pharmaceutical industries are rapidly evolving and highly competitive, and new developments may render the Company's products and technologies noncompetitive and obsolete.</w:t>
      </w:r>
    </w:p>
    <w:p>
      <w:pPr>
        <w:spacing w:after="0" w:line="164"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From inception on January 8, 1988 through June 30, 1999, Regeneron had a cumulative loss of $194.0 million. In the absence of revenues from commercial product sales or other sources (the amount, timing, nature, or source of which cannot be predicted), the Company's losses will continue as the Company conducts its research and development activities. The Company's activities may expand over time and may require additional resources, and the Company's operating losses may be substantial over at least the next several years. The Company's losses may fluctuate from quarter to quarter and will depend, among other factors, on the timing of certain expenses and on the progress of the Company's research and development efforts.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ind w:right="3179" w:firstLine="793"/>
        <w:spacing w:after="0" w:line="239" w:lineRule="auto"/>
        <w:rPr>
          <w:sz w:val="20"/>
          <w:szCs w:val="20"/>
          <w:color w:val="auto"/>
        </w:rPr>
      </w:pPr>
      <w:r>
        <w:rPr>
          <w:rFonts w:ascii="Courier New" w:cs="Courier New" w:eastAsia="Courier New" w:hAnsi="Courier New"/>
          <w:sz w:val="15"/>
          <w:szCs w:val="15"/>
          <w:color w:val="auto"/>
        </w:rPr>
        <w:t>Three months ended June 30, 1999 and 1998. The Company's total revenue decreased to $7.2 million for the second quarter of 1999 from $15.2 million for the same period in 1998. Contract research and development revenue decreased to $3.4 million for the second quarter of 1999 from $6.2 million for the same period in 1998. The Company earned nominal revenue in the second quarter of 1999 from its ongoing collaboration with Sumitomo Pharmaceuticals, versus revenue of $1.0 million for the same period in 1998, as revenue from research payments under the Company's collaboration agreement with Sumitomo Pharmaceuticals ended in 1998 and because the Company did not supply any BDNF to Sumitomo Pharmaceuticals in the first half of 1999 for preclinical and clinical use. Contract research and development revenue related to the P&amp;G Agreement also decreased in the second quarter of 1999 versus the same period in 1998 as research activity on AXOKINE declined as AXOKINE progressed into clinical trials. In addition, the Company earned a non-recurring $5.0 million research progress payment from Procter &amp; Gamble in the second quarter of 1998 in connection with the AXOKINE collaboration. Contract manufacturing revenue related to the long-term manufacturing agreement (the "Merck Agreement") with Merck &amp; Co., Inc. ("Merck") increased to $2.5 million for the second quarter of 1999, compared to $2.3 million for the same period in 1998, as a result of increased activity in preparation for manufacturing a product for Merck at the Company's Rensselaer facility. Investment income in the second quarter of 1999 decreased to $1.3 million from $1.7 million for the same period in 1998, due primarily to lower levels of interest-bearing investments as the Company funds its operations.</w:t>
      </w:r>
    </w:p>
    <w:p>
      <w:pPr>
        <w:spacing w:after="0" w:line="17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Company's total operating expenses increased to $15.0 million in the second quarter of 1999 from $13.1 million for the same period in 1998. Research and development expenses increased to $10.8 million in the second quarter of 1999 from $9.1 million for the same period in 1998, primarily as a result of higher staffing and increased activity in the Company's preclinical and clinical research programs. The Company's share of the loss in Amgen-Regeneron Partners increased to $0.6 million in the second quarter of 1999 from $0.2 million for the same period in 1998, as a result of the partnership's increased clinical trial activity on BDNF and NT-3. Research and development expenses (including loss in Amgen-Regeneron Partners) were</w:t>
      </w:r>
    </w:p>
    <w:p>
      <w:pPr>
        <w:spacing w:after="0" w:line="3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797" w:right="1440" w:bottom="1440" w:gutter="0" w:footer="0" w:header="0"/>
        </w:sectPr>
      </w:pPr>
    </w:p>
    <w:bookmarkStart w:id="14" w:name="page15"/>
    <w:bookmarkEnd w:id="14"/>
    <w:p>
      <w:pPr>
        <w:ind w:right="3539"/>
        <w:spacing w:after="0" w:line="235" w:lineRule="auto"/>
        <w:rPr>
          <w:sz w:val="20"/>
          <w:szCs w:val="20"/>
          <w:color w:val="auto"/>
        </w:rPr>
      </w:pPr>
      <w:r>
        <w:rPr>
          <w:rFonts w:ascii="Courier New" w:cs="Courier New" w:eastAsia="Courier New" w:hAnsi="Courier New"/>
          <w:sz w:val="15"/>
          <w:szCs w:val="15"/>
          <w:color w:val="auto"/>
        </w:rPr>
        <w:t>approximately 76% of total operating expenses in the second quarter of 1999, compared to 71% for the same period in 1998.</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General and administrative expenses decreased to $1.5 million in the second quarter of 1999 from $1.7 million for the same period in 1998 due primarily to lower legal and insurance expenses. Depreciation and amortization expense was $0.8 million for both the second quarter of 1999 and 1998. Contract manufacturing expenses, which are expenses directly related to the Merck Agreement and are reimbursed by Merck, were $1.2 million for both the second quarter of 1999 and 1998. Interest expense was $0.1 million for both the second quarter of 1999 and 1998.</w:t>
      </w:r>
    </w:p>
    <w:p>
      <w:pPr>
        <w:spacing w:after="0" w:line="178" w:lineRule="exact"/>
        <w:rPr>
          <w:sz w:val="20"/>
          <w:szCs w:val="20"/>
          <w:color w:val="auto"/>
        </w:rPr>
      </w:pPr>
    </w:p>
    <w:p>
      <w:pPr>
        <w:ind w:right="3179" w:firstLine="793"/>
        <w:spacing w:after="0" w:line="260" w:lineRule="auto"/>
        <w:rPr>
          <w:sz w:val="20"/>
          <w:szCs w:val="20"/>
          <w:color w:val="auto"/>
        </w:rPr>
      </w:pPr>
      <w:r>
        <w:rPr>
          <w:rFonts w:ascii="Courier New" w:cs="Courier New" w:eastAsia="Courier New" w:hAnsi="Courier New"/>
          <w:sz w:val="14"/>
          <w:szCs w:val="14"/>
          <w:color w:val="auto"/>
        </w:rPr>
        <w:t>The Company's net loss for the second quarter of 1999 was $7.8 million, or $0.25 per share (basic and diluted), compared to net income of $2.1 million, or $0.07 per share (basic and diluted), for the same period in 1998.</w:t>
      </w:r>
    </w:p>
    <w:p>
      <w:pPr>
        <w:spacing w:after="0" w:line="163" w:lineRule="exact"/>
        <w:rPr>
          <w:sz w:val="20"/>
          <w:szCs w:val="20"/>
          <w:color w:val="auto"/>
        </w:rPr>
      </w:pPr>
    </w:p>
    <w:p>
      <w:pPr>
        <w:ind w:right="3179" w:firstLine="793"/>
        <w:spacing w:after="0" w:line="239" w:lineRule="auto"/>
        <w:rPr>
          <w:sz w:val="20"/>
          <w:szCs w:val="20"/>
          <w:color w:val="auto"/>
        </w:rPr>
      </w:pPr>
      <w:r>
        <w:rPr>
          <w:rFonts w:ascii="Courier New" w:cs="Courier New" w:eastAsia="Courier New" w:hAnsi="Courier New"/>
          <w:sz w:val="15"/>
          <w:szCs w:val="15"/>
          <w:color w:val="auto"/>
        </w:rPr>
        <w:t>Six months ended June 30, 1999 and 1998. The Company's total revenue decreased to $14.1 million for the six months ended June 30, 1999 from $23.4 million for the same period in 1998. Contract research and development revenue decreased to $6.7 million for the six months ended June 30, 1999 from $10.8 million for the same period in 1998. The Company earned nominal revenue in the first half of 1999 from its ongoing collaboration with Sumitomo Pharmaceuticals, versus revenue of $2.7 million for the same period in 1998, as revenue from research payments under the Company's collaboration agreement with Sumitomo Pharmaceuticals ended in 1998 and because the Company did not supply any BDNF to Sumitomo Pharmaceuticals in the first half of 1999 for preclinical and clinical use. Contract research and development revenue related to the P&amp;G Agreement also decreased in the first six months of 1999 versus the same period in 1998 as research activity on AXOKINE declined as AXOKINE progressed into clinical trials. In addition, the Company earned a non-recurring $5.0 million research progress payment from Procter &amp; Gamble in the second quarter of 1998 in connection with the AXOKINE collaboration. Contract manufacturing revenue related to the Merck Agreement increased to $4.6 million for the first six months of 1999, compared to $4.2 million for the same period in 1998, as a result of increased activity in preparation for manufacturing a product for Merck at the Company's Rensselaer facility. Investment income for the six months ended June 30, 1999 decreased to $2.8 million from $3.5 million for the same period in 1998, due mainly to lower levels of interest-bearing investments as the Company funds its operations.</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The Company's total operating expenses increased to $30.9 million for the six months ended June 30, 1999 from $25.1 million for the same period in 1998. Research and development expenses increased to $22.0 million in the first six months of 1999 from $17.2 million for the same period in 1998, primarily as a result of higher staffing and increased activity in the Company's preclinical and clinical research programs. The Company's share of the loss in Amgen-Regeneron Partners increased to $1.6 million in the first half of 1999 from $0.9 million for the same period in 1998, as a result of the partnership's increased clinical trial activity on BDNF and NT-3. Research and development expenses (including loss in Amgen-Regeneron Partners) were approximately 76% of total operating expenses in the first six months of 1999, compared to 72% for the same period in 1998.</w:t>
      </w:r>
    </w:p>
    <w:p>
      <w:pPr>
        <w:spacing w:after="0" w:line="182"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General and administrative expenses and depreciation and amortization expense were $3.1 million and $1.6 million, respectively, for both the first six months of 1999 and 1998. Contract manufacturing expenses, which are direct expenses related to the Merck</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797" w:right="1440" w:bottom="1440" w:gutter="0" w:footer="0" w:header="0"/>
        </w:sectPr>
      </w:pPr>
    </w:p>
    <w:bookmarkStart w:id="15" w:name="page16"/>
    <w:bookmarkEnd w:id="15"/>
    <w:p>
      <w:pPr>
        <w:ind w:right="3439"/>
        <w:spacing w:after="0" w:line="237" w:lineRule="auto"/>
        <w:rPr>
          <w:sz w:val="20"/>
          <w:szCs w:val="20"/>
          <w:color w:val="auto"/>
        </w:rPr>
      </w:pPr>
      <w:r>
        <w:rPr>
          <w:rFonts w:ascii="Courier New" w:cs="Courier New" w:eastAsia="Courier New" w:hAnsi="Courier New"/>
          <w:sz w:val="15"/>
          <w:szCs w:val="15"/>
          <w:color w:val="auto"/>
        </w:rPr>
        <w:t>Agreement and are reimbursed by Merck, increased to $2.4 million in the first half of 1999 from $2.1 million in the same period of 1998, primarily due to increased activity in preparation for manufacturing a product for Merck. Interest expense was $0.2 million for both the first six months of 1999 and 1998.</w:t>
      </w:r>
    </w:p>
    <w:p>
      <w:pPr>
        <w:spacing w:after="0" w:line="178" w:lineRule="exact"/>
        <w:rPr>
          <w:sz w:val="20"/>
          <w:szCs w:val="20"/>
          <w:color w:val="auto"/>
        </w:rPr>
      </w:pPr>
    </w:p>
    <w:p>
      <w:pPr>
        <w:ind w:right="3179" w:firstLine="793"/>
        <w:spacing w:after="0" w:line="260" w:lineRule="auto"/>
        <w:rPr>
          <w:sz w:val="20"/>
          <w:szCs w:val="20"/>
          <w:color w:val="auto"/>
        </w:rPr>
      </w:pPr>
      <w:r>
        <w:rPr>
          <w:rFonts w:ascii="Courier New" w:cs="Courier New" w:eastAsia="Courier New" w:hAnsi="Courier New"/>
          <w:sz w:val="14"/>
          <w:szCs w:val="14"/>
          <w:color w:val="auto"/>
        </w:rPr>
        <w:t>The Company's net loss for the six months ended June 30, 1999 was $16.8 million, or $0.54 per share (basic and diluted), compared to a net loss of $1.7 million, or $0.05 per share (basic and diluted), for the same period in 1998.</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Since its inception in 1988, the Company has financed its operations primarily through private placements and public offerings of its equity securities, revenue earned under the several agreements between the Company and each of Amgen, Sumitomo Chemical Company, Ltd., Sumitomo Pharmaceuticals, Merck, and Procter &amp; Gamble and investment income.</w:t>
      </w:r>
    </w:p>
    <w:p>
      <w:pPr>
        <w:spacing w:after="0" w:line="178"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In May 1997, the Company and Procter &amp; Gamble entered into the P&amp;G Agreement. Procter &amp; Gamble agreed over the first five years of the P&amp;G Agreement to purchase up to $60.0 million in Regeneron equity (of which $42.9 million was purchased in June 1997) and provide up to $94.7 million in support of Regeneron's research efforts related to the collaboration (of which $8.8 million was received through June 30, 1999). During the second five years of the P&amp;G Agreement, the companies will share all research costs equally. Clinical testing and commercialization expenses for jointly developed products will generally be shared equally throughout the ten years of the collaboration. The companies expect jointly to develop and market worldwide any products resulting from the collaboration and share equally in profits. Either company may terminate the P&amp;G Agreement at the end of five years with at least one year prior notice or earlier if a defined event of default occurs. In September 1997, the Company and Procter &amp; Gamble expanded the P&amp;G Agreement to include AXOKINE and related molecules (delivered systemically), and agreed to develop AXOKINE initially to treat obesity associated with Type II diabetes. Procter &amp; Gamble agreed to reimburse the Company for certain research and development costs and pay as much as $15.0 million in additional funding, partly subject to achieving certain milestones related to AXOKINE. Of the $15.0 million, $5.0 million was paid in 1997 and $5.0 million was paid in 1998. Beginning in the third quarter of 1999, research support provided from Procter &amp; Gamble, in addition to amounts paid to support development of AXOKINE (which vary from quarter to quarter), will increase from $1.1 million per quarter to at least $6.3 million per quarter for the following three years of the companies' collaboration agreement.</w:t>
      </w:r>
    </w:p>
    <w:p>
      <w:pPr>
        <w:spacing w:after="0" w:line="34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In connection with the Company's agreement to collaborate with Sumitomo Pharmaceuticals in the research and development of BDNF in Japan, Sumitomo Pharmaceuticals paid the Company $25.0 million through December 1997. The Company also received a $5.0 million research progress payment from Sumitomo Pharmaceuticals (reduced by $0.5 million of Japanese withholding tax) in August 1998. In addition, Sumitomo Pharmaceuticals has paid the Company $27.6 million through June 30, 1999 in connection with supplying BDNF for preclinical and clinical use. Regeneron expects to resume supplying BDNF to Sumitomo Pharmaceuticals later in 1999.</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797" w:right="1440" w:bottom="1440" w:gutter="0" w:footer="0" w:header="0"/>
        </w:sectPr>
      </w:pPr>
    </w:p>
    <w:bookmarkStart w:id="16" w:name="page17"/>
    <w:bookmarkEnd w:id="16"/>
    <w:p>
      <w:pPr>
        <w:ind w:right="3179" w:firstLine="793"/>
        <w:spacing w:after="0" w:line="257" w:lineRule="auto"/>
        <w:rPr>
          <w:sz w:val="20"/>
          <w:szCs w:val="20"/>
          <w:color w:val="auto"/>
        </w:rPr>
      </w:pPr>
      <w:r>
        <w:rPr>
          <w:rFonts w:ascii="Courier New" w:cs="Courier New" w:eastAsia="Courier New" w:hAnsi="Courier New"/>
          <w:sz w:val="14"/>
          <w:szCs w:val="14"/>
          <w:color w:val="auto"/>
        </w:rPr>
        <w:t>The Company's activities relating to BDNF and NT-3, as agreed upon by Amgen and Regeneron, are being reimbursed by Amgen-Regeneron Partners, and the Company recognizes such reimbursement as revenue. The funding of Amgen-Regeneron Partners is through capital contributions from Amgen and Regeneron, who must make equal payments in order to maintain equal ownership and equal sharing of any profits or losses from the partnership. The Company has made capital contributions totaling approximately $50.4 million to Amgen-Regeneron Partners from the partnership's inception in June 1993 through June 30, 1999. The Company expects that its capital contributions in 1999 will total at least $3.0 million for the full year. These contributions could increase or decrease, depending upon (among other things) the nature and cost of BDNF and NT-3 studies that Amgen-Regeneron Partners' may conduct and the outcomes of those studies.</w:t>
      </w:r>
    </w:p>
    <w:p>
      <w:pPr>
        <w:spacing w:after="0" w:line="16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From its inception in January 1988 through June 30, 1999, the Company invested approximately $63.3 million in property, plant, and equipment. This includes $16.8 million to acquire and renovate the Rensselaer facility and an additional $14.1 million to complete construction at the facility pursuant to the Merck Agreement. In connection with the purchase and renovation of the Rensselaer facility, the Company obtained financing of $2.0 million from the New York State Urban Development Corporation, of which $1.6 million is outstanding. Under the terms of such financing, the Company is not permitted to declare or pay dividends on its equity securities.</w:t>
      </w:r>
    </w:p>
    <w:p>
      <w:pPr>
        <w:spacing w:after="0" w:line="179"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The Company expects that expenses related to the filing, prosecution, defense, and enforcement of patent and other intellectual property claims will continue to be substantial as a result of patent filings and prosecutions in the United States and foreign countries. The Company is currently involved in interference proceedings in the Patent and Trademark Office between Regeneron's patent applications and patents relating to CNTF issued to Synergen, Inc. ("Synergen"). Amgen acquired all outstanding shares of Synergen in 1994. In March 1998, the Company and Amgen entered into a covenant not to sue each other which, among other things, resolved their patent interference and related patent proceedings relating to CNTF and AXOKINE. The Company also granted Amgen a license to use CNTF and second generation CNTFs other than AXOKINE to treat retinal degenerative conditions. Neither party will pay royalties or make other payments to the other party in consideration of this agreement.</w:t>
      </w:r>
    </w:p>
    <w:p>
      <w:pPr>
        <w:spacing w:after="0" w:line="16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As of June 30, 1999, the Company had no established banking arrangements through which it could obtain short-term financing or a line of credit. Additional funds may be raised through, among other things, the issuance of additional securities, other financing arrangements, and future collaboration agreements. No assurance can be given that additional financing will be available or, if available, that it will be available on acceptable terms. In addition, the Company estimates that through mid-2002 it could receive additional payments from Procter &amp; Gamble in the form of research funding, milestones, and equity purchases of as much as $100 million or more.</w:t>
      </w:r>
    </w:p>
    <w:p>
      <w:pPr>
        <w:spacing w:after="0" w:line="179"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At June 30, 1999, the Company had $96.6 million in cash, cash equivalents, and marketable securities. The Company expects to incur substantial funding requirements for, among other things, research and development activities (including preclinical and clinical testing), validation of manufacturing facilities, and the acquisition of equipment. The Company expects to incur ongoing funding requirements for capital contributions to Amgen-Regeneron Partners to support the continued development and clinical trials of BDNF and NT-3. In 1999, the Company expects further increases in the level of quarterly research and development expenses as the Company continues to add staff and</w:t>
      </w:r>
    </w:p>
    <w:p>
      <w:pPr>
        <w:spacing w:after="0" w:line="200" w:lineRule="exact"/>
        <w:rPr>
          <w:sz w:val="20"/>
          <w:szCs w:val="20"/>
          <w:color w:val="auto"/>
        </w:rPr>
      </w:pPr>
    </w:p>
    <w:p>
      <w:pPr>
        <w:spacing w:after="0" w:line="31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797" w:right="1440" w:bottom="1440" w:gutter="0" w:footer="0" w:header="0"/>
        </w:sectPr>
      </w:pPr>
    </w:p>
    <w:bookmarkStart w:id="17" w:name="page18"/>
    <w:bookmarkEnd w:id="17"/>
    <w:p>
      <w:pPr>
        <w:ind w:left="10" w:right="3179"/>
        <w:spacing w:after="0" w:line="238" w:lineRule="auto"/>
        <w:rPr>
          <w:sz w:val="20"/>
          <w:szCs w:val="20"/>
          <w:color w:val="auto"/>
        </w:rPr>
      </w:pPr>
      <w:r>
        <w:rPr>
          <w:rFonts w:ascii="Courier New" w:cs="Courier New" w:eastAsia="Courier New" w:hAnsi="Courier New"/>
          <w:sz w:val="15"/>
          <w:szCs w:val="15"/>
          <w:color w:val="auto"/>
        </w:rPr>
        <w:t>increases its clinical activity. The amount needed to fund operations will also depend on other factors, including the status of competitive products, the success of the Company's research and development programs, the status of patents and other intellectual property rights developments, and the continuation, extent, and success of any collaborative research programs (including those with Amgen and Procter &amp; Gamble). The Company believes that its existing capital resources will enable it to meet operating needs for at least several years. No assurance can be given that there will be no change in projected revenues or expenses that would lead to the Company's capital being consumed significantly before such time.</w:t>
      </w:r>
    </w:p>
    <w:p>
      <w:pPr>
        <w:spacing w:after="0" w:line="3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Factors That May Affect Future Operating Results</w:t>
      </w:r>
    </w:p>
    <w:p>
      <w:pPr>
        <w:spacing w:after="0" w:line="175" w:lineRule="exact"/>
        <w:rPr>
          <w:sz w:val="20"/>
          <w:szCs w:val="20"/>
          <w:color w:val="auto"/>
        </w:rPr>
      </w:pPr>
    </w:p>
    <w:p>
      <w:pPr>
        <w:ind w:left="10" w:right="3179" w:firstLine="793"/>
        <w:spacing w:after="0" w:line="257" w:lineRule="auto"/>
        <w:rPr>
          <w:sz w:val="20"/>
          <w:szCs w:val="20"/>
          <w:color w:val="auto"/>
        </w:rPr>
      </w:pPr>
      <w:r>
        <w:rPr>
          <w:rFonts w:ascii="Courier New" w:cs="Courier New" w:eastAsia="Courier New" w:hAnsi="Courier New"/>
          <w:sz w:val="14"/>
          <w:szCs w:val="14"/>
          <w:color w:val="auto"/>
        </w:rPr>
        <w:t>Regeneron cautions stockholders and potential investors that the following important factors, among others, in some cases have affected, and in the future could affect, Regeneron's actual results and could cause Regeneron's actual results to differ materially from those expressed in any forward-looking statements made by, or on behalf of, Regeneron. The statements under this caption are intended to serve as cautionary statements within the meaning of the Private Securities Litigation Reform Act of 1995. The following information is not intended to limit in any way the characterization of other statements or information under other captions as cautionary statements for such purpose:</w:t>
      </w:r>
    </w:p>
    <w:p>
      <w:pPr>
        <w:spacing w:after="0" w:line="167" w:lineRule="exact"/>
        <w:rPr>
          <w:sz w:val="20"/>
          <w:szCs w:val="20"/>
          <w:color w:val="auto"/>
        </w:rPr>
      </w:pPr>
    </w:p>
    <w:p>
      <w:pPr>
        <w:ind w:left="790" w:right="3179" w:hanging="790"/>
        <w:spacing w:after="0" w:line="237" w:lineRule="auto"/>
        <w:tabs>
          <w:tab w:leader="none" w:pos="79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of the Company's research and development programs to produce product candidates that are scientifically or commercially appropriate for further development by the Company or others.</w:t>
      </w:r>
    </w:p>
    <w:p>
      <w:pPr>
        <w:spacing w:after="0" w:line="176" w:lineRule="exact"/>
        <w:rPr>
          <w:rFonts w:ascii="Courier New" w:cs="Courier New" w:eastAsia="Courier New" w:hAnsi="Courier New"/>
          <w:sz w:val="15"/>
          <w:szCs w:val="15"/>
          <w:color w:val="auto"/>
        </w:rPr>
      </w:pPr>
    </w:p>
    <w:p>
      <w:pPr>
        <w:ind w:left="790" w:right="3179" w:hanging="790"/>
        <w:spacing w:after="0" w:line="238" w:lineRule="auto"/>
        <w:tabs>
          <w:tab w:leader="none" w:pos="79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or termination of material collaborative or licensing agreements (including in particular, but not limited to, those with Procter &amp; Gamble and Amgen) and the resulting loss of research or other funding could have a material adverse effect on the Company and its operations. A change of control of one or more of the Company's material collaborators or licensees could also have a material adverse effect on the Company.</w:t>
      </w:r>
    </w:p>
    <w:p>
      <w:pPr>
        <w:spacing w:after="0" w:line="176" w:lineRule="exact"/>
        <w:rPr>
          <w:rFonts w:ascii="Courier New" w:cs="Courier New" w:eastAsia="Courier New" w:hAnsi="Courier New"/>
          <w:sz w:val="15"/>
          <w:szCs w:val="15"/>
          <w:color w:val="auto"/>
        </w:rPr>
      </w:pPr>
    </w:p>
    <w:p>
      <w:pPr>
        <w:ind w:left="790" w:right="3179" w:hanging="790"/>
        <w:spacing w:after="0" w:line="238" w:lineRule="auto"/>
        <w:tabs>
          <w:tab w:leader="none" w:pos="79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of a clinical trial of any of the Company's product candidates. A clinical trial can fail or be delayed as a result of many causes, including, among others, failure of the product candidate to demonstrate safety or efficacy, the development of serious or life-threatening adverse events (side effects) caused by or connected with exposure to the product candidate, the creation of antibodies (in the case of protein-based therapeutics) that weaken or neutralize the effect of the product candidate (and possibly could have other adverse effects on patients), the failure of clinical investigators, trial monitors and other consultants, or trial subjects to comply with the trial plan or protocol.</w:t>
      </w:r>
    </w:p>
    <w:p>
      <w:pPr>
        <w:spacing w:after="0" w:line="180" w:lineRule="exact"/>
        <w:rPr>
          <w:rFonts w:ascii="Courier New" w:cs="Courier New" w:eastAsia="Courier New" w:hAnsi="Courier New"/>
          <w:sz w:val="15"/>
          <w:szCs w:val="15"/>
          <w:color w:val="auto"/>
        </w:rPr>
      </w:pPr>
    </w:p>
    <w:p>
      <w:pPr>
        <w:ind w:left="790" w:right="3179" w:hanging="790"/>
        <w:spacing w:after="0" w:line="237" w:lineRule="auto"/>
        <w:tabs>
          <w:tab w:leader="none" w:pos="79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in obtaining regulatory approval (including approval of its facilities for production) for the Company's products (including vaccine intermediate for Merck), including delays or difficulties in development because of insufficient proof of safety or efficacy.</w:t>
      </w:r>
    </w:p>
    <w:p>
      <w:pPr>
        <w:spacing w:after="0" w:line="200" w:lineRule="exact"/>
        <w:rPr>
          <w:sz w:val="20"/>
          <w:szCs w:val="20"/>
          <w:color w:val="auto"/>
        </w:rPr>
      </w:pPr>
    </w:p>
    <w:p>
      <w:pPr>
        <w:spacing w:after="0" w:line="31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9"/>
          </w:cols>
          <w:pgMar w:left="230" w:top="797" w:right="1440" w:bottom="1440" w:gutter="0" w:footer="0" w:header="0"/>
        </w:sectPr>
      </w:pPr>
    </w:p>
    <w:bookmarkStart w:id="18" w:name="page19"/>
    <w:bookmarkEnd w:id="18"/>
    <w:p>
      <w:pPr>
        <w:ind w:left="790" w:right="3359" w:hanging="790"/>
        <w:spacing w:after="0" w:line="237" w:lineRule="auto"/>
        <w:tabs>
          <w:tab w:leader="none" w:pos="79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and irregular costs of development, manufacture, regulatory approval, sales, and marketing associated with the introduction of products in the late stage of development.</w:t>
      </w:r>
    </w:p>
    <w:p>
      <w:pPr>
        <w:spacing w:after="0" w:line="174" w:lineRule="exact"/>
        <w:rPr>
          <w:rFonts w:ascii="Courier New" w:cs="Courier New" w:eastAsia="Courier New" w:hAnsi="Courier New"/>
          <w:sz w:val="15"/>
          <w:szCs w:val="15"/>
          <w:color w:val="auto"/>
        </w:rPr>
      </w:pPr>
    </w:p>
    <w:p>
      <w:pPr>
        <w:ind w:left="790" w:right="3359" w:hanging="790"/>
        <w:spacing w:after="0" w:line="265" w:lineRule="auto"/>
        <w:tabs>
          <w:tab w:leader="none" w:pos="79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or market factors that may cause use of the Company's products to be limited or otherwise fail to achieve broad acceptance.</w:t>
      </w:r>
    </w:p>
    <w:p>
      <w:pPr>
        <w:spacing w:after="0" w:line="158" w:lineRule="exact"/>
        <w:rPr>
          <w:rFonts w:ascii="Courier New" w:cs="Courier New" w:eastAsia="Courier New" w:hAnsi="Courier New"/>
          <w:sz w:val="14"/>
          <w:szCs w:val="14"/>
          <w:color w:val="auto"/>
        </w:rPr>
      </w:pPr>
    </w:p>
    <w:p>
      <w:pPr>
        <w:ind w:left="790" w:right="3439" w:hanging="790"/>
        <w:spacing w:after="0" w:line="237" w:lineRule="auto"/>
        <w:tabs>
          <w:tab w:leader="none" w:pos="79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obtain, maintain, and prosecute intellectual property rights, and the cost of acquiring in-process technology and other intellectual property rights, either by license, collaboration, or purchase of another entity.</w:t>
      </w:r>
    </w:p>
    <w:p>
      <w:pPr>
        <w:spacing w:after="0" w:line="176" w:lineRule="exact"/>
        <w:rPr>
          <w:rFonts w:ascii="Courier New" w:cs="Courier New" w:eastAsia="Courier New" w:hAnsi="Courier New"/>
          <w:sz w:val="15"/>
          <w:szCs w:val="15"/>
          <w:color w:val="auto"/>
        </w:rPr>
      </w:pPr>
    </w:p>
    <w:p>
      <w:pPr>
        <w:ind w:left="790" w:right="3259" w:hanging="790"/>
        <w:spacing w:after="0" w:line="259" w:lineRule="auto"/>
        <w:tabs>
          <w:tab w:leader="none" w:pos="79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or high costs of obtaining adequate financing to meet the Company's obligations under its collaboration and licensing agreements or to fund 50 percent of the cost of developing product candidates in order to retain 50 percent of the commercialization rights.</w:t>
      </w:r>
    </w:p>
    <w:p>
      <w:pPr>
        <w:spacing w:after="0" w:line="162" w:lineRule="exact"/>
        <w:rPr>
          <w:rFonts w:ascii="Courier New" w:cs="Courier New" w:eastAsia="Courier New" w:hAnsi="Courier New"/>
          <w:sz w:val="14"/>
          <w:szCs w:val="14"/>
          <w:color w:val="auto"/>
        </w:rPr>
      </w:pPr>
    </w:p>
    <w:p>
      <w:pPr>
        <w:ind w:left="790" w:right="3259" w:hanging="790"/>
        <w:spacing w:after="0" w:line="237" w:lineRule="auto"/>
        <w:tabs>
          <w:tab w:leader="none" w:pos="79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and rate of growth of Regeneron's general and administrative expenses, and the impact of unusual charges resulting from Regeneron's ongoing evaluation of its business strategies and organizational structure.</w:t>
      </w:r>
    </w:p>
    <w:p>
      <w:pPr>
        <w:spacing w:after="0" w:line="176" w:lineRule="exact"/>
        <w:rPr>
          <w:rFonts w:ascii="Courier New" w:cs="Courier New" w:eastAsia="Courier New" w:hAnsi="Courier New"/>
          <w:sz w:val="15"/>
          <w:szCs w:val="15"/>
          <w:color w:val="auto"/>
        </w:rPr>
      </w:pPr>
    </w:p>
    <w:p>
      <w:pPr>
        <w:ind w:left="790" w:right="3259" w:hanging="790"/>
        <w:spacing w:after="0" w:line="237" w:lineRule="auto"/>
        <w:tabs>
          <w:tab w:leader="none" w:pos="79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corporate partners to develop or commercialize successfully the Company's products or to retain and expand the markets served by the commercial collaborations; conflicts of interest, priorities, and commercial strategies which may arise between the Company and such corporate partners.</w:t>
      </w:r>
    </w:p>
    <w:p>
      <w:pPr>
        <w:spacing w:after="0" w:line="178" w:lineRule="exact"/>
        <w:rPr>
          <w:rFonts w:ascii="Courier New" w:cs="Courier New" w:eastAsia="Courier New" w:hAnsi="Courier New"/>
          <w:sz w:val="15"/>
          <w:szCs w:val="15"/>
          <w:color w:val="auto"/>
        </w:rPr>
      </w:pPr>
    </w:p>
    <w:p>
      <w:pPr>
        <w:ind w:left="790" w:right="3179" w:hanging="790"/>
        <w:spacing w:after="0" w:line="237" w:lineRule="auto"/>
        <w:tabs>
          <w:tab w:leader="none" w:pos="79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Delays or difficulties in developing and acquiring production technology and technical and managerial personnel to manufacture novel biotechnology products in commercial quantities at reasonable costs and in compliance with applicable quality assurance and environmental regulations and governmental permitting requirements.</w:t>
      </w:r>
    </w:p>
    <w:p>
      <w:pPr>
        <w:spacing w:after="0" w:line="178" w:lineRule="exact"/>
        <w:rPr>
          <w:rFonts w:ascii="Courier New" w:cs="Courier New" w:eastAsia="Courier New" w:hAnsi="Courier New"/>
          <w:sz w:val="15"/>
          <w:szCs w:val="15"/>
          <w:color w:val="auto"/>
        </w:rPr>
      </w:pPr>
    </w:p>
    <w:p>
      <w:pPr>
        <w:ind w:left="790" w:right="3799" w:hanging="790"/>
        <w:spacing w:after="0" w:line="235" w:lineRule="auto"/>
        <w:tabs>
          <w:tab w:leader="none" w:pos="79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obtaining key raw materials and supplies for the manufacture of the Company's product candidates.</w:t>
      </w:r>
    </w:p>
    <w:p>
      <w:pPr>
        <w:spacing w:after="0" w:line="175" w:lineRule="exact"/>
        <w:rPr>
          <w:rFonts w:ascii="Courier New" w:cs="Courier New" w:eastAsia="Courier New" w:hAnsi="Courier New"/>
          <w:sz w:val="15"/>
          <w:szCs w:val="15"/>
          <w:color w:val="auto"/>
        </w:rPr>
      </w:pPr>
    </w:p>
    <w:p>
      <w:pPr>
        <w:ind w:left="790" w:right="3259" w:hanging="790"/>
        <w:spacing w:after="0" w:line="238" w:lineRule="auto"/>
        <w:tabs>
          <w:tab w:leader="none" w:pos="79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and other effects of legal and administrative cases and proceedings (whether civil, such as product- or employment-related, or environmental, or criminal); settlements and investigations; developments or assertions by or against Regeneron relating to intellectual property rights and licenses; the issuance and use of patents and proprietary technology by Regeneron and its competitors, including the possible negative effect on the Company's ability to develop, manufacture, and sell its products in circumstances where it is unable to obtain licenses to patents which may be required for such products.</w:t>
      </w:r>
    </w:p>
    <w:p>
      <w:pPr>
        <w:spacing w:after="0" w:line="179" w:lineRule="exact"/>
        <w:rPr>
          <w:rFonts w:ascii="Courier New" w:cs="Courier New" w:eastAsia="Courier New" w:hAnsi="Courier New"/>
          <w:sz w:val="15"/>
          <w:szCs w:val="15"/>
          <w:color w:val="auto"/>
        </w:rPr>
      </w:pPr>
    </w:p>
    <w:p>
      <w:pPr>
        <w:ind w:left="790" w:right="3179" w:hanging="790"/>
        <w:spacing w:after="0" w:line="237" w:lineRule="auto"/>
        <w:tabs>
          <w:tab w:leader="none" w:pos="79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Underutilization of the Company's existing or new manufacturing facilities or of any facility expansions, resulting in inefficiencies and higher costs; start-up costs, inefficiencies, delays, and increased depreciation costs in connection with the start of production in new plants and expansions.</w:t>
      </w:r>
    </w:p>
    <w:p>
      <w:pPr>
        <w:spacing w:after="0" w:line="200" w:lineRule="exact"/>
        <w:rPr>
          <w:sz w:val="20"/>
          <w:szCs w:val="20"/>
          <w:color w:val="auto"/>
        </w:rPr>
      </w:pPr>
    </w:p>
    <w:p>
      <w:pPr>
        <w:spacing w:after="0" w:line="31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9"/>
          </w:cols>
          <w:pgMar w:left="230" w:top="797" w:right="1440" w:bottom="1440" w:gutter="0" w:footer="0" w:header="0"/>
        </w:sectPr>
      </w:pPr>
    </w:p>
    <w:bookmarkStart w:id="19" w:name="page20"/>
    <w:bookmarkEnd w:id="19"/>
    <w:p>
      <w:pPr>
        <w:ind w:left="790" w:right="3439" w:hanging="790"/>
        <w:spacing w:after="0" w:line="265" w:lineRule="auto"/>
        <w:tabs>
          <w:tab w:leader="none" w:pos="79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Health care reform, including reductions or changes in reimbursement available for prescription medications or other reforms.</w:t>
      </w:r>
    </w:p>
    <w:p>
      <w:pPr>
        <w:spacing w:after="0" w:line="152" w:lineRule="exact"/>
        <w:rPr>
          <w:rFonts w:ascii="Courier New" w:cs="Courier New" w:eastAsia="Courier New" w:hAnsi="Courier New"/>
          <w:sz w:val="14"/>
          <w:szCs w:val="14"/>
          <w:color w:val="auto"/>
        </w:rPr>
      </w:pPr>
    </w:p>
    <w:p>
      <w:pPr>
        <w:ind w:left="790" w:hanging="790"/>
        <w:spacing w:after="0"/>
        <w:tabs>
          <w:tab w:leader="none" w:pos="79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attract and retain key personnel.</w:t>
      </w:r>
    </w:p>
    <w:p>
      <w:pPr>
        <w:spacing w:after="0" w:line="175"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As Regeneron's scientific efforts lead to potentially promising new directions, both outside of recombinant protein therapies (into orally active, small molecule pharmaceuticals) and outside of treatments for neurological and neurodegenerative conditions (into, for example, potential programs in diabetes, obesity, cancer, inflammation, muscle disease, bone growth disorders, and angiogenesis), the Company will require additional internal expertise or external collaborations in areas in which it currently does not have substantial resources and personnel.</w:t>
      </w:r>
    </w:p>
    <w:p>
      <w:pPr>
        <w:spacing w:after="0" w:line="178"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The Company is evaluating its operations to determine the impact, if any, that Year 2000 problems may have. The Year 2000 problem results from computer programs and devices that do not differentiate between the year 1900 and the year 2000 because they were written using two digits rather than four to define the applicable year. Accordingly, computer systems that have time-sensitive calculations may not properly recognize the year 2000. Like many corporations, Regeneron has no previous experience with an issue like the Year 2000 problem.</w:t>
      </w:r>
    </w:p>
    <w:p>
      <w:pPr>
        <w:spacing w:after="0" w:line="178" w:lineRule="exact"/>
        <w:rPr>
          <w:sz w:val="20"/>
          <w:szCs w:val="20"/>
          <w:color w:val="auto"/>
        </w:rPr>
      </w:pPr>
    </w:p>
    <w:p>
      <w:pPr>
        <w:ind w:left="10" w:right="3179" w:firstLine="793"/>
        <w:spacing w:after="0" w:line="257" w:lineRule="auto"/>
        <w:rPr>
          <w:sz w:val="20"/>
          <w:szCs w:val="20"/>
          <w:color w:val="auto"/>
        </w:rPr>
      </w:pPr>
      <w:r>
        <w:rPr>
          <w:rFonts w:ascii="Courier New" w:cs="Courier New" w:eastAsia="Courier New" w:hAnsi="Courier New"/>
          <w:sz w:val="14"/>
          <w:szCs w:val="14"/>
          <w:color w:val="auto"/>
        </w:rPr>
        <w:t>The Year 2000 problem could affect Regeneron's ability to conduct its normal operations that are date sensitive or depend on computers or equipment that contain embedded chips that are date sensitive. It could adversely affect Regeneron's ability to maintain or operate its facilities in a safe and effective manner or undertake other activities necessary and customary to carrying out its business. In addition, the Year 2000 problem could have material adverse effects on the operations or financial condition of the Company's licensees, licensors, collaborators, suppliers, vendors, and others and, in particular, utility companies that provide energy to the Company's facilities and equipment, which could, in turn, have a material direct or indirect effect on Regeneron. Regeneron is not currently Year 2000 compliant. Although the Company believes it is developing an appropriate program to address the Year 2000 problem, it cannot guarantee that its program will succeed or will be timely. The following is a discussion of the Company's Year 2000 program.</w:t>
      </w:r>
    </w:p>
    <w:p>
      <w:pPr>
        <w:spacing w:after="0" w:line="165" w:lineRule="exact"/>
        <w:rPr>
          <w:sz w:val="20"/>
          <w:szCs w:val="20"/>
          <w:color w:val="auto"/>
        </w:rPr>
      </w:pPr>
    </w:p>
    <w:p>
      <w:pPr>
        <w:ind w:left="10" w:right="3179" w:firstLine="793"/>
        <w:spacing w:after="0" w:line="257" w:lineRule="auto"/>
        <w:rPr>
          <w:sz w:val="20"/>
          <w:szCs w:val="20"/>
          <w:color w:val="auto"/>
        </w:rPr>
      </w:pPr>
      <w:r>
        <w:rPr>
          <w:rFonts w:ascii="Courier New" w:cs="Courier New" w:eastAsia="Courier New" w:hAnsi="Courier New"/>
          <w:sz w:val="14"/>
          <w:szCs w:val="14"/>
          <w:color w:val="auto"/>
        </w:rPr>
        <w:t>The Company has appointed a Year 2000 task force with representatives from each department of the Company and has retained independent consultants and experts to facilitate its review. The Company's Year 2000 review includes its computer systems and software, embedded systems in non-computer equipment, and vendor operations. The Company has identified the following three principal areas of potential computer systems exposure at Regeneron to the Year 2000 problem, in addition to third party issues which are discussed elsewhere:</w:t>
      </w:r>
    </w:p>
    <w:p>
      <w:pPr>
        <w:spacing w:after="0" w:line="167" w:lineRule="exact"/>
        <w:rPr>
          <w:sz w:val="20"/>
          <w:szCs w:val="20"/>
          <w:color w:val="auto"/>
        </w:rPr>
      </w:pPr>
    </w:p>
    <w:p>
      <w:pPr>
        <w:ind w:left="790" w:right="3179" w:hanging="790"/>
        <w:spacing w:after="0" w:line="238" w:lineRule="auto"/>
        <w:tabs>
          <w:tab w:leader="none" w:pos="79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Process control, instruments, and environmental monitoring and control systems: these types of systems are used in the Company's manufacturing and research and development processes, among other operations. These generally are systems, devices, and instruments which use date functionality and generate, send, receive, or manipulate date-stamped data and signals. These systems may be found in data acquisition/processing software, laboratory instrumentation, and other equipment with embedded code, for example. These devices and instruments may be controlled by installed software, firmware, or other embedded control algorithms.</w:t>
      </w:r>
    </w:p>
    <w:p>
      <w:pPr>
        <w:spacing w:after="0" w:line="174"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9"/>
          </w:cols>
          <w:pgMar w:left="230" w:top="797" w:right="1440" w:bottom="1440" w:gutter="0" w:footer="0" w:header="0"/>
        </w:sectPr>
      </w:pPr>
    </w:p>
    <w:bookmarkStart w:id="20" w:name="page21"/>
    <w:bookmarkEnd w:id="20"/>
    <w:p>
      <w:pPr>
        <w:ind w:left="790" w:right="3539" w:hanging="790"/>
        <w:spacing w:after="0" w:line="258" w:lineRule="auto"/>
        <w:tabs>
          <w:tab w:leader="none" w:pos="79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Servers, desktops, and infrastructure: these generally are desktop computers (Macintosh and PCs) and server computer equipment, telecommunications, local area networks, wide area networks, and include system hardware, firmware, installed commercial application software, e-mail, and video teleconferencing, for example.</w:t>
      </w:r>
    </w:p>
    <w:p>
      <w:pPr>
        <w:spacing w:after="0" w:line="164" w:lineRule="exact"/>
        <w:rPr>
          <w:rFonts w:ascii="Courier New" w:cs="Courier New" w:eastAsia="Courier New" w:hAnsi="Courier New"/>
          <w:sz w:val="14"/>
          <w:szCs w:val="14"/>
          <w:color w:val="auto"/>
        </w:rPr>
      </w:pPr>
    </w:p>
    <w:p>
      <w:pPr>
        <w:ind w:left="790" w:right="3359" w:hanging="790"/>
        <w:spacing w:after="0" w:line="258" w:lineRule="auto"/>
        <w:tabs>
          <w:tab w:leader="none" w:pos="79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 applications and business systems: these generally are applications purchased from an external vendor. These systems include applications developed or purchased by a functional area on computer systems located within Regeneron's corporate departments and operated by departmental personnel, such as Regeneron's core business systems (including financial systems) and personnel management systems.</w:t>
      </w:r>
    </w:p>
    <w:p>
      <w:pPr>
        <w:spacing w:after="0" w:line="164" w:lineRule="exact"/>
        <w:rPr>
          <w:sz w:val="20"/>
          <w:szCs w:val="20"/>
          <w:color w:val="auto"/>
        </w:rPr>
      </w:pPr>
    </w:p>
    <w:p>
      <w:pPr>
        <w:ind w:left="10" w:right="3539"/>
        <w:spacing w:after="0" w:line="237" w:lineRule="auto"/>
        <w:rPr>
          <w:sz w:val="20"/>
          <w:szCs w:val="20"/>
          <w:color w:val="auto"/>
        </w:rPr>
      </w:pPr>
      <w:r>
        <w:rPr>
          <w:rFonts w:ascii="Courier New" w:cs="Courier New" w:eastAsia="Courier New" w:hAnsi="Courier New"/>
          <w:sz w:val="15"/>
          <w:szCs w:val="15"/>
          <w:color w:val="auto"/>
        </w:rPr>
        <w:t>The Company has substantially completed an analysis of its computer systems. This analysis has not revealed material Year 2000 problems related to such embedded systems.</w:t>
      </w:r>
    </w:p>
    <w:p>
      <w:pPr>
        <w:spacing w:after="0" w:line="175" w:lineRule="exact"/>
        <w:rPr>
          <w:sz w:val="20"/>
          <w:szCs w:val="20"/>
          <w:color w:val="auto"/>
        </w:rPr>
      </w:pPr>
    </w:p>
    <w:p>
      <w:pPr>
        <w:ind w:left="10" w:right="3179" w:firstLine="793"/>
        <w:spacing w:after="0" w:line="257" w:lineRule="auto"/>
        <w:rPr>
          <w:sz w:val="20"/>
          <w:szCs w:val="20"/>
          <w:color w:val="auto"/>
        </w:rPr>
      </w:pPr>
      <w:r>
        <w:rPr>
          <w:rFonts w:ascii="Courier New" w:cs="Courier New" w:eastAsia="Courier New" w:hAnsi="Courier New"/>
          <w:sz w:val="14"/>
          <w:szCs w:val="14"/>
          <w:color w:val="auto"/>
        </w:rPr>
        <w:t>The Company has also substantially completed a survey and analysis of its vendors who support critical business processes to determine their level of readiness with respect to Year 2000 issues. While many vendors indicate that they believe they are or will be Year 2000 compliant, others state that they cannot represent that they have achieved compliance or guarantee the efficacy of their remediation efforts. Many vendors state that the problem is too complex for such a claim to have legitimacy; that efforts to solve Year 2000 problems are merely in the nature of risk mitigation; and that success in such efforts will be measured, with hindsight, by the minimization of the level of technical failures and by the prompt identification and repair of failures.</w:t>
      </w:r>
    </w:p>
    <w:p>
      <w:pPr>
        <w:spacing w:after="0" w:line="166" w:lineRule="exact"/>
        <w:rPr>
          <w:sz w:val="20"/>
          <w:szCs w:val="20"/>
          <w:color w:val="auto"/>
        </w:rPr>
      </w:pPr>
    </w:p>
    <w:p>
      <w:pPr>
        <w:ind w:left="10" w:right="3179" w:firstLine="793"/>
        <w:spacing w:after="0" w:line="256" w:lineRule="auto"/>
        <w:rPr>
          <w:sz w:val="20"/>
          <w:szCs w:val="20"/>
          <w:color w:val="auto"/>
        </w:rPr>
      </w:pPr>
      <w:r>
        <w:rPr>
          <w:rFonts w:ascii="Courier New" w:cs="Courier New" w:eastAsia="Courier New" w:hAnsi="Courier New"/>
          <w:sz w:val="14"/>
          <w:szCs w:val="14"/>
          <w:color w:val="auto"/>
        </w:rPr>
        <w:t>The analysis of the Company's embedded systems and the information collected regarding vendor readiness have been used to formulate a contingency plan with respect to reasonably identifiable items of equipment and materials that are critical to the Company's operations. No assurance can be made that the Company's computer systems and software, embedded systems in non-computer equipment, and vendors will be Year 2000 compliant in a timely or cost-effective manner. In some cases, Regeneron plans to stock extra inventory and qualify alternate suppliers, although the Company cannot guarantee the availability of additional supplies or the Year 2000 compliance of alternate suppliers. The failure of suppliers to become Year 2000 compliant on a timely basis, or at all, could have a material adverse effect on the Company. The failure of certain third parties (such as Procter &amp; Gamble, Amgen, Sumitomo Pharmaceuticals, Merck, and utility and communications companies) to operate in a normal and customary manner and to maintain Year 2000 compliance (or to assure that their vendors and suppliers are Year 2000 compliant) could have a material adverse effect on the operations and financial condition of Regeneron. It is possible that Regeneron could be adversely affected by the failure of other third parties to be Year</w:t>
      </w:r>
    </w:p>
    <w:p>
      <w:pPr>
        <w:spacing w:after="0" w:line="6"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2000 compliant even though these third parties do not directly conduct business with Regeneron. It is not possible to guarantee that the Company's Year 2000 contingency plan will succeed or be timely.</w:t>
      </w:r>
    </w:p>
    <w:p>
      <w:pPr>
        <w:spacing w:after="0" w:line="175" w:lineRule="exact"/>
        <w:rPr>
          <w:sz w:val="20"/>
          <w:szCs w:val="20"/>
          <w:color w:val="auto"/>
        </w:rPr>
      </w:pPr>
    </w:p>
    <w:p>
      <w:pPr>
        <w:ind w:left="10" w:right="3259" w:firstLine="793"/>
        <w:spacing w:after="0" w:line="237" w:lineRule="auto"/>
        <w:rPr>
          <w:sz w:val="20"/>
          <w:szCs w:val="20"/>
          <w:color w:val="auto"/>
        </w:rPr>
      </w:pPr>
      <w:r>
        <w:rPr>
          <w:rFonts w:ascii="Courier New" w:cs="Courier New" w:eastAsia="Courier New" w:hAnsi="Courier New"/>
          <w:sz w:val="15"/>
          <w:szCs w:val="15"/>
          <w:color w:val="auto"/>
        </w:rPr>
        <w:t>Regeneron is developing a "most reasonably likely worst case Year 2000 scenario" and identifying the principal risks to Regeneron. In developing this scenario, Regeneron assumed, among other things, that any Year 2000 disruptions are likely to be of limited duration (and that extended material Year 2000-related disruptions can not be</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9"/>
          </w:cols>
          <w:pgMar w:left="230" w:top="797" w:right="1440" w:bottom="1440" w:gutter="0" w:footer="0" w:header="0"/>
        </w:sectPr>
      </w:pPr>
    </w:p>
    <w:bookmarkStart w:id="21" w:name="page22"/>
    <w:bookmarkEnd w:id="21"/>
    <w:p>
      <w:pPr>
        <w:ind w:right="3179"/>
        <w:spacing w:after="0" w:line="239" w:lineRule="auto"/>
        <w:rPr>
          <w:sz w:val="20"/>
          <w:szCs w:val="20"/>
          <w:color w:val="auto"/>
        </w:rPr>
      </w:pPr>
      <w:r>
        <w:rPr>
          <w:rFonts w:ascii="Courier New" w:cs="Courier New" w:eastAsia="Courier New" w:hAnsi="Courier New"/>
          <w:sz w:val="15"/>
          <w:szCs w:val="15"/>
          <w:color w:val="auto"/>
        </w:rPr>
        <w:t>reasonably guarded against based on the resources and nature of operations of the Company), the Company plans to protect against, avoid, or reduce exposure to Year 2000 disruptions by not conducting or minimizing activities between December 31, 1999 and January 2, 2000, and the most reasonably likely worst case Year 2000 scenario is that there is a local or regional power failure or an unanticipated failure of certain key equipment to function properly in early 2000. A failure of electrical power (for any cause, regardless of the risk potentially created by Year 2000 problems) to provide power to and heat or cool the Company's facilities and to maintain the temperature of the Company's storage units could materially adversely affect Regeneron's operations and financial condition. The Company is in the process of implementing contingency plans to protect certain key Regeneron assets in the event of a failure of electrical power for a limited duration or unanticipated failure of certain essential equipment. The Company anticipates implementing its contingency plan by December 1999. The risks that Year 2000 problems could present to the Company include, without limitation, disruption, delay, or cessation of manufacturing or other operations, including operations that are subject to regulatory compliance, and loss of research and manufacturing material and experiments that are difficult, costly, or impossible to replace. In each case, the correction of the problem could result in substantial expense and disruption or delay of the Company's operations. It is unclear to what extent, if any, such losses or expenses would be covered by the Company's current insurance policies. The Company does not plan on securing additional insurance specifically related to Year 2000 risks.</w:t>
      </w:r>
    </w:p>
    <w:p>
      <w:pPr>
        <w:spacing w:after="0" w:line="17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As of June 30, 1999, total projected expenditures related to the Company's Year 2000 program, including, without limitation, back-up generators, anticipated upgrades, remediation, and new computer systems, will likely be less than $1.0 million, most of which is expected to be capital expenditures. However, these amounts are only estimates and are based on information currently available to the Company; the Company cannot guarantee that these amounts will be adequate to address the Company's Year 2000 compliance needs. As of June 30 1999, the Company estimates that it had incurred approximately $0.1 million specifically related to its Year 2000 efforts, including without limitation, dedicated internal staff costs, outside consulting fees, and computer system upgrades.</w:t>
      </w:r>
    </w:p>
    <w:p>
      <w:pPr>
        <w:spacing w:after="0" w:line="181"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statements set forth herein concerning the Year 2000 problem which are not historical facts are forward-looking statements that involve risks and uncertainties that could cause actual results to differ materially from those in the forward-looking statements. There can be no guarantee that any estimates or other forward-looking statements will be achieved and actual results could differ significantly from those planned or contemplated. The Company plans to update the status of its Year 2000 program as necessary in its periodic filings and in accordance with applicable securities laws.</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797"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PART II. OTHER INFORMATION</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344"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On June 11, 1999, the Company conducted its Annual Meeting of Shareholders pursuant to due notice. A quorum being present either in person or by proxy, the shareholders voted on the following matters:</w:t>
      </w:r>
    </w:p>
    <w:p>
      <w:pPr>
        <w:spacing w:after="0" w:line="175" w:lineRule="exact"/>
        <w:rPr>
          <w:sz w:val="20"/>
          <w:szCs w:val="20"/>
          <w:color w:val="auto"/>
        </w:rPr>
      </w:pPr>
    </w:p>
    <w:p>
      <w:pPr>
        <w:ind w:right="3359" w:firstLine="784"/>
        <w:spacing w:after="0" w:line="265" w:lineRule="auto"/>
        <w:tabs>
          <w:tab w:leader="none" w:pos="105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three Directors to hold office for a three-year term as Class II directors, and until their successors are duly elected and qualified.</w:t>
      </w:r>
    </w:p>
    <w:p>
      <w:pPr>
        <w:spacing w:after="0" w:line="158" w:lineRule="exact"/>
        <w:rPr>
          <w:rFonts w:ascii="Courier New" w:cs="Courier New" w:eastAsia="Courier New" w:hAnsi="Courier New"/>
          <w:sz w:val="14"/>
          <w:szCs w:val="14"/>
          <w:color w:val="auto"/>
        </w:rPr>
      </w:pPr>
    </w:p>
    <w:p>
      <w:pPr>
        <w:ind w:right="3359" w:firstLine="784"/>
        <w:spacing w:after="0" w:line="260" w:lineRule="auto"/>
        <w:tabs>
          <w:tab w:leader="none" w:pos="105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ratify, confirm, and approve the Board's January 22, 1999 resolution to increase by 1,500,000 the number of shares reserved for issuance under Regeneron's Amended and Restated 1990 Long-Term Incentive Plan.</w:t>
      </w:r>
    </w:p>
    <w:p>
      <w:pPr>
        <w:spacing w:after="0" w:line="162" w:lineRule="exact"/>
        <w:rPr>
          <w:rFonts w:ascii="Courier New" w:cs="Courier New" w:eastAsia="Courier New" w:hAnsi="Courier New"/>
          <w:sz w:val="14"/>
          <w:szCs w:val="14"/>
          <w:color w:val="auto"/>
        </w:rPr>
      </w:pPr>
    </w:p>
    <w:p>
      <w:pPr>
        <w:ind w:right="3259" w:firstLine="784"/>
        <w:spacing w:after="0" w:line="265" w:lineRule="auto"/>
        <w:tabs>
          <w:tab w:leader="none" w:pos="105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selection of PricewaterhouseCoopers LLP as independent accountants for the Company's fiscal year ending December 31, 1999.</w:t>
      </w:r>
    </w:p>
    <w:p>
      <w:pPr>
        <w:spacing w:after="0" w:line="15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 other matters were voted on. The number of votes cast was:</w:t>
      </w:r>
    </w:p>
    <w:p>
      <w:pPr>
        <w:sectPr>
          <w:pgSz w:w="11900" w:h="16838" w:orient="portrait"/>
          <w:cols w:equalWidth="0" w:num="1">
            <w:col w:w="10219"/>
          </w:cols>
          <w:pgMar w:left="240" w:top="791" w:right="1440" w:bottom="1440" w:gutter="0" w:footer="0" w:header="0"/>
        </w:sectPr>
      </w:pPr>
    </w:p>
    <w:p>
      <w:pPr>
        <w:spacing w:after="0" w:line="344" w:lineRule="exact"/>
        <w:rPr>
          <w:sz w:val="20"/>
          <w:szCs w:val="20"/>
          <w:color w:val="auto"/>
        </w:rPr>
      </w:pPr>
    </w:p>
    <w:p>
      <w:pPr>
        <w:ind w:left="4760"/>
        <w:spacing w:after="0"/>
        <w:rPr>
          <w:sz w:val="20"/>
          <w:szCs w:val="20"/>
          <w:color w:val="auto"/>
        </w:rPr>
      </w:pPr>
      <w:r>
        <w:rPr>
          <w:rFonts w:ascii="Courier New" w:cs="Courier New" w:eastAsia="Courier New" w:hAnsi="Courier New"/>
          <w:sz w:val="14"/>
          <w:szCs w:val="14"/>
          <w:color w:val="auto"/>
        </w:rPr>
        <w:t>For</w:t>
      </w:r>
    </w:p>
    <w:p>
      <w:pPr>
        <w:spacing w:after="0" w:line="11" w:lineRule="exact"/>
        <w:rPr>
          <w:sz w:val="20"/>
          <w:szCs w:val="20"/>
          <w:color w:val="auto"/>
        </w:rPr>
      </w:pPr>
    </w:p>
    <w:p>
      <w:pPr>
        <w:ind w:left="47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Withheld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Authority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ectPr>
          <w:pgSz w:w="11900" w:h="16838" w:orient="portrait"/>
          <w:cols w:equalWidth="0" w:num="2">
            <w:col w:w="5360" w:space="720"/>
            <w:col w:w="4139"/>
          </w:cols>
          <w:pgMar w:left="240" w:top="791" w:right="1440" w:bottom="1440" w:gutter="0" w:footer="0" w:header="0"/>
          <w:type w:val="continuous"/>
        </w:sectPr>
      </w:pPr>
    </w:p>
    <w:tbl>
      <w:tblPr>
        <w:tblLayout w:type="fixed"/>
        <w:tblInd w:w="780" w:type="dxa"/>
        <w:tblCellMar>
          <w:top w:w="0" w:type="dxa"/>
          <w:left w:w="0" w:type="dxa"/>
          <w:bottom w:w="0" w:type="dxa"/>
          <w:right w:w="0" w:type="dxa"/>
        </w:tblCellMar>
      </w:tblPr>
      <w:tr>
        <w:trPr>
          <w:trHeight w:val="170"/>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w w:val="96"/>
              </w:rPr>
              <w:t>1.  Election of</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Class II</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Directors</w:t>
            </w: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Alfred</w:t>
            </w:r>
          </w:p>
        </w:tc>
        <w:tc>
          <w:tcPr>
            <w:tcW w:w="21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G. Gilman, M.D., Ph.D.</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57,182,100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2,026,875</w:t>
            </w:r>
          </w:p>
        </w:tc>
      </w:tr>
      <w:tr>
        <w:trPr>
          <w:trHeight w:val="170"/>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Joseph</w:t>
            </w:r>
          </w:p>
        </w:tc>
        <w:tc>
          <w:tcPr>
            <w:tcW w:w="21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 Goldstein, M.D.</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57,182,100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2,026,875</w:t>
            </w:r>
          </w:p>
        </w:tc>
      </w:tr>
      <w:tr>
        <w:trPr>
          <w:trHeight w:val="170"/>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P. Roy</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Vagelos,</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M.D.</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57,182,100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2,026,875</w:t>
            </w:r>
          </w:p>
        </w:tc>
      </w:tr>
    </w:tbl>
    <w:p>
      <w:pPr>
        <w:spacing w:after="0" w:line="344" w:lineRule="exact"/>
        <w:rPr>
          <w:sz w:val="20"/>
          <w:szCs w:val="20"/>
          <w:color w:val="auto"/>
        </w:rPr>
      </w:pPr>
    </w:p>
    <w:p>
      <w:pPr>
        <w:jc w:val="both"/>
        <w:ind w:right="3619" w:firstLine="793"/>
        <w:spacing w:after="0" w:line="237" w:lineRule="auto"/>
        <w:rPr>
          <w:sz w:val="20"/>
          <w:szCs w:val="20"/>
          <w:color w:val="auto"/>
        </w:rPr>
      </w:pPr>
      <w:r>
        <w:rPr>
          <w:rFonts w:ascii="Courier New" w:cs="Courier New" w:eastAsia="Courier New" w:hAnsi="Courier New"/>
          <w:sz w:val="15"/>
          <w:szCs w:val="15"/>
          <w:color w:val="auto"/>
        </w:rPr>
        <w:t>The terms of office of Leonard S. Schleifer, M.D., Ph.D., Eric M. Shooter, Ph.D., Fred A. Middleton, Michael S. Brown, M.D., George Sing, and Charles A. Baker continued after the meeting.</w:t>
      </w:r>
    </w:p>
    <w:p>
      <w:pPr>
        <w:spacing w:after="0" w:line="200" w:lineRule="exact"/>
        <w:rPr>
          <w:sz w:val="20"/>
          <w:szCs w:val="20"/>
          <w:color w:val="auto"/>
        </w:rPr>
      </w:pPr>
    </w:p>
    <w:p>
      <w:pPr>
        <w:spacing w:after="0" w:line="308"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120" w:type="dxa"/>
            <w:vAlign w:val="bottom"/>
          </w:tcPr>
          <w:p>
            <w:pPr>
              <w:ind w:left="1060"/>
              <w:spacing w:after="0"/>
              <w:rPr>
                <w:sz w:val="20"/>
                <w:szCs w:val="20"/>
                <w:color w:val="auto"/>
              </w:rPr>
            </w:pPr>
            <w:r>
              <w:rPr>
                <w:rFonts w:ascii="Courier New" w:cs="Courier New" w:eastAsia="Courier New" w:hAnsi="Courier New"/>
                <w:sz w:val="15"/>
                <w:szCs w:val="15"/>
                <w:color w:val="auto"/>
              </w:rPr>
              <w:t>For</w:t>
            </w:r>
          </w:p>
        </w:tc>
        <w:tc>
          <w:tcPr>
            <w:tcW w:w="1800" w:type="dxa"/>
            <w:vAlign w:val="bottom"/>
          </w:tcPr>
          <w:p>
            <w:pPr>
              <w:ind w:left="520"/>
              <w:spacing w:after="0"/>
              <w:rPr>
                <w:sz w:val="20"/>
                <w:szCs w:val="20"/>
                <w:color w:val="auto"/>
              </w:rPr>
            </w:pPr>
            <w:r>
              <w:rPr>
                <w:rFonts w:ascii="Courier New" w:cs="Courier New" w:eastAsia="Courier New" w:hAnsi="Courier New"/>
                <w:sz w:val="15"/>
                <w:szCs w:val="15"/>
                <w:color w:val="auto"/>
              </w:rPr>
              <w:t>Against</w:t>
            </w: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w w:val="95"/>
              </w:rPr>
              <w:t>Abstain</w:t>
            </w:r>
          </w:p>
        </w:tc>
      </w:tr>
      <w:tr>
        <w:trPr>
          <w:trHeight w:val="170"/>
        </w:trPr>
        <w:tc>
          <w:tcPr>
            <w:tcW w:w="2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12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2.</w:t>
            </w:r>
          </w:p>
        </w:tc>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Amendment of Long-Term</w:t>
            </w:r>
          </w:p>
        </w:tc>
        <w:tc>
          <w:tcPr>
            <w:tcW w:w="2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0"/>
        </w:trPr>
        <w:tc>
          <w:tcPr>
            <w:tcW w:w="260" w:type="dxa"/>
            <w:vAlign w:val="bottom"/>
          </w:tcPr>
          <w:p>
            <w:pPr>
              <w:spacing w:after="0"/>
              <w:rPr>
                <w:sz w:val="14"/>
                <w:szCs w:val="14"/>
                <w:color w:val="auto"/>
              </w:rPr>
            </w:pPr>
          </w:p>
        </w:tc>
        <w:tc>
          <w:tcPr>
            <w:tcW w:w="2300" w:type="dxa"/>
            <w:vAlign w:val="bottom"/>
          </w:tcPr>
          <w:p>
            <w:pPr>
              <w:ind w:left="440"/>
              <w:spacing w:after="0"/>
              <w:rPr>
                <w:sz w:val="20"/>
                <w:szCs w:val="20"/>
                <w:color w:val="auto"/>
              </w:rPr>
            </w:pPr>
            <w:r>
              <w:rPr>
                <w:rFonts w:ascii="Courier New" w:cs="Courier New" w:eastAsia="Courier New" w:hAnsi="Courier New"/>
                <w:sz w:val="15"/>
                <w:szCs w:val="15"/>
                <w:color w:val="auto"/>
              </w:rPr>
              <w:t>Incentive Plan</w:t>
            </w:r>
          </w:p>
        </w:tc>
        <w:tc>
          <w:tcPr>
            <w:tcW w:w="2120" w:type="dxa"/>
            <w:vAlign w:val="bottom"/>
          </w:tcPr>
          <w:p>
            <w:pPr>
              <w:ind w:left="800"/>
              <w:spacing w:after="0"/>
              <w:rPr>
                <w:sz w:val="20"/>
                <w:szCs w:val="20"/>
                <w:color w:val="auto"/>
              </w:rPr>
            </w:pPr>
            <w:r>
              <w:rPr>
                <w:rFonts w:ascii="Courier New" w:cs="Courier New" w:eastAsia="Courier New" w:hAnsi="Courier New"/>
                <w:sz w:val="15"/>
                <w:szCs w:val="15"/>
                <w:color w:val="auto"/>
              </w:rPr>
              <w:t>54,146,709</w:t>
            </w:r>
          </w:p>
        </w:tc>
        <w:tc>
          <w:tcPr>
            <w:tcW w:w="18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4,780,248</w:t>
            </w: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rPr>
              <w:t>64,372</w:t>
            </w:r>
          </w:p>
        </w:tc>
      </w:tr>
      <w:tr>
        <w:trPr>
          <w:trHeight w:val="339"/>
        </w:trPr>
        <w:tc>
          <w:tcPr>
            <w:tcW w:w="2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120" w:type="dxa"/>
            <w:vAlign w:val="bottom"/>
          </w:tcPr>
          <w:p>
            <w:pPr>
              <w:ind w:left="1060"/>
              <w:spacing w:after="0"/>
              <w:rPr>
                <w:sz w:val="20"/>
                <w:szCs w:val="20"/>
                <w:color w:val="auto"/>
              </w:rPr>
            </w:pPr>
            <w:r>
              <w:rPr>
                <w:rFonts w:ascii="Courier New" w:cs="Courier New" w:eastAsia="Courier New" w:hAnsi="Courier New"/>
                <w:sz w:val="15"/>
                <w:szCs w:val="15"/>
                <w:color w:val="auto"/>
              </w:rPr>
              <w:t>For</w:t>
            </w:r>
          </w:p>
        </w:tc>
        <w:tc>
          <w:tcPr>
            <w:tcW w:w="1800" w:type="dxa"/>
            <w:vAlign w:val="bottom"/>
          </w:tcPr>
          <w:p>
            <w:pPr>
              <w:ind w:left="520"/>
              <w:spacing w:after="0"/>
              <w:rPr>
                <w:sz w:val="20"/>
                <w:szCs w:val="20"/>
                <w:color w:val="auto"/>
              </w:rPr>
            </w:pPr>
            <w:r>
              <w:rPr>
                <w:rFonts w:ascii="Courier New" w:cs="Courier New" w:eastAsia="Courier New" w:hAnsi="Courier New"/>
                <w:sz w:val="15"/>
                <w:szCs w:val="15"/>
                <w:color w:val="auto"/>
              </w:rPr>
              <w:t>Against</w:t>
            </w: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w w:val="95"/>
              </w:rPr>
              <w:t>Abstain</w:t>
            </w:r>
          </w:p>
        </w:tc>
      </w:tr>
      <w:tr>
        <w:trPr>
          <w:trHeight w:val="170"/>
        </w:trPr>
        <w:tc>
          <w:tcPr>
            <w:tcW w:w="2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12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3.</w:t>
            </w:r>
          </w:p>
        </w:tc>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Selection of accountants</w:t>
            </w:r>
          </w:p>
        </w:tc>
        <w:tc>
          <w:tcPr>
            <w:tcW w:w="2120" w:type="dxa"/>
            <w:vAlign w:val="bottom"/>
          </w:tcPr>
          <w:p>
            <w:pPr>
              <w:ind w:left="800"/>
              <w:spacing w:after="0"/>
              <w:rPr>
                <w:sz w:val="20"/>
                <w:szCs w:val="20"/>
                <w:color w:val="auto"/>
              </w:rPr>
            </w:pPr>
            <w:r>
              <w:rPr>
                <w:rFonts w:ascii="Courier New" w:cs="Courier New" w:eastAsia="Courier New" w:hAnsi="Courier New"/>
                <w:sz w:val="15"/>
                <w:szCs w:val="15"/>
                <w:color w:val="auto"/>
              </w:rPr>
              <w:t>59,139,238</w:t>
            </w:r>
          </w:p>
        </w:tc>
        <w:tc>
          <w:tcPr>
            <w:tcW w:w="18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47,238</w:t>
            </w: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rPr>
              <w:t>22,499</w:t>
            </w:r>
          </w:p>
        </w:tc>
      </w:tr>
      <w:tr>
        <w:trPr>
          <w:trHeight w:val="678"/>
        </w:trPr>
        <w:tc>
          <w:tcPr>
            <w:tcW w:w="2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120" w:type="dxa"/>
            <w:vAlign w:val="bottom"/>
          </w:tcPr>
          <w:p>
            <w:pPr>
              <w:ind w:left="80"/>
              <w:spacing w:after="0"/>
              <w:rPr>
                <w:sz w:val="20"/>
                <w:szCs w:val="20"/>
                <w:color w:val="auto"/>
              </w:rPr>
            </w:pPr>
            <w:r>
              <w:rPr>
                <w:rFonts w:ascii="Courier New" w:cs="Courier New" w:eastAsia="Courier New" w:hAnsi="Courier New"/>
                <w:sz w:val="15"/>
                <w:szCs w:val="15"/>
                <w:color w:val="auto"/>
              </w:rPr>
              <w:t>23</w:t>
            </w:r>
          </w:p>
        </w:tc>
        <w:tc>
          <w:tcPr>
            <w:tcW w:w="18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0219"/>
          </w:cols>
          <w:pgMar w:left="240" w:top="791" w:right="1440" w:bottom="1440" w:gutter="0" w:footer="0" w:header="0"/>
          <w:type w:val="continuous"/>
        </w:sectPr>
      </w:pPr>
    </w:p>
    <w:bookmarkStart w:id="23" w:name="page24"/>
    <w:bookmarkEnd w:id="23"/>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339" w:lineRule="exact"/>
        <w:rPr>
          <w:sz w:val="20"/>
          <w:szCs w:val="20"/>
          <w:color w:val="auto"/>
        </w:rPr>
      </w:pPr>
    </w:p>
    <w:p>
      <w:pPr>
        <w:ind w:left="790" w:hanging="790"/>
        <w:spacing w:after="0"/>
        <w:tabs>
          <w:tab w:leader="none" w:pos="79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9" w:lineRule="exact"/>
        <w:rPr>
          <w:sz w:val="20"/>
          <w:szCs w:val="20"/>
          <w:color w:val="auto"/>
        </w:rPr>
      </w:pPr>
    </w:p>
    <w:p>
      <w:pPr>
        <w:ind w:left="1590"/>
        <w:spacing w:after="0"/>
        <w:tabs>
          <w:tab w:leader="none" w:pos="2369"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Financial Data Schedule</w:t>
      </w:r>
    </w:p>
    <w:p>
      <w:pPr>
        <w:spacing w:after="0" w:line="339" w:lineRule="exact"/>
        <w:rPr>
          <w:sz w:val="20"/>
          <w:szCs w:val="20"/>
          <w:color w:val="auto"/>
        </w:rPr>
      </w:pPr>
    </w:p>
    <w:p>
      <w:pPr>
        <w:ind w:left="790" w:hanging="790"/>
        <w:spacing w:after="0"/>
        <w:tabs>
          <w:tab w:leader="none" w:pos="79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w:t>
      </w:r>
    </w:p>
    <w:p>
      <w:pPr>
        <w:spacing w:after="0" w:line="175" w:lineRule="exact"/>
        <w:rPr>
          <w:sz w:val="20"/>
          <w:szCs w:val="20"/>
          <w:color w:val="auto"/>
        </w:rPr>
      </w:pPr>
    </w:p>
    <w:p>
      <w:pPr>
        <w:ind w:left="10" w:right="3179" w:firstLine="1587"/>
        <w:spacing w:after="0" w:line="235" w:lineRule="auto"/>
        <w:rPr>
          <w:sz w:val="20"/>
          <w:szCs w:val="20"/>
          <w:color w:val="auto"/>
        </w:rPr>
      </w:pPr>
      <w:r>
        <w:rPr>
          <w:rFonts w:ascii="Courier New" w:cs="Courier New" w:eastAsia="Courier New" w:hAnsi="Courier New"/>
          <w:sz w:val="15"/>
          <w:szCs w:val="15"/>
          <w:color w:val="auto"/>
        </w:rPr>
        <w:t>No reports on Form 8-K were filed by the Registrant during the quarter ended June 30, 1999.</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9"/>
          </w:cols>
          <w:pgMar w:left="230" w:top="791" w:right="1440" w:bottom="1440" w:gutter="0" w:footer="0" w:header="0"/>
        </w:sectPr>
      </w:pPr>
    </w:p>
    <w:bookmarkStart w:id="24" w:name="page25"/>
    <w:bookmarkEnd w:id="24"/>
    <w:p>
      <w:pPr>
        <w:ind w:left="3160"/>
        <w:spacing w:after="0"/>
        <w:rPr>
          <w:sz w:val="20"/>
          <w:szCs w:val="20"/>
          <w:color w:val="auto"/>
        </w:rPr>
      </w:pPr>
      <w:r>
        <w:rPr>
          <w:rFonts w:ascii="Courier New" w:cs="Courier New" w:eastAsia="Courier New" w:hAnsi="Courier New"/>
          <w:sz w:val="15"/>
          <w:szCs w:val="15"/>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387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Regeneron Pharmaceuticals, Inc.</w:t>
      </w:r>
    </w:p>
    <w:p>
      <w:pPr>
        <w:sectPr>
          <w:pgSz w:w="11900" w:h="16838" w:orient="portrait"/>
          <w:cols w:equalWidth="0" w:num="1">
            <w:col w:w="10219"/>
          </w:cols>
          <w:pgMar w:left="240" w:top="7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August 6, 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Murray A. Goldberg</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Murray A. Goldberg</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Vice President, Finance &amp; Administration,</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Chief Financial Officer, and Treasurer</w:t>
      </w:r>
    </w:p>
    <w:p>
      <w:pPr>
        <w:spacing w:after="0" w:line="200" w:lineRule="exact"/>
        <w:rPr>
          <w:sz w:val="20"/>
          <w:szCs w:val="20"/>
          <w:color w:val="auto"/>
        </w:rPr>
      </w:pPr>
    </w:p>
    <w:p>
      <w:pPr>
        <w:sectPr>
          <w:pgSz w:w="11900" w:h="16838" w:orient="portrait"/>
          <w:cols w:equalWidth="0" w:num="3">
            <w:col w:w="440" w:space="0"/>
            <w:col w:w="2100" w:space="540"/>
            <w:col w:w="7139"/>
          </w:cols>
          <w:pgMar w:left="240" w:top="791" w:right="1440" w:bottom="1440" w:gutter="0" w:footer="0" w:header="0"/>
          <w:type w:val="continuous"/>
        </w:sect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791" w:right="1440" w:bottom="1440" w:gutter="0" w:footer="0" w:header="0"/>
          <w:type w:val="continuous"/>
        </w:sectPr>
      </w:pPr>
    </w:p>
    <w:bookmarkStart w:id="25" w:name="page26"/>
    <w:bookmarkEnd w:id="25"/>
    <w:p>
      <w:pPr>
        <w:ind w:left="880"/>
        <w:spacing w:after="0"/>
        <w:rPr>
          <w:sz w:val="20"/>
          <w:szCs w:val="20"/>
          <w:color w:val="auto"/>
        </w:rPr>
      </w:pPr>
      <w:r>
        <w:rPr>
          <w:rFonts w:ascii="Courier New" w:cs="Courier New" w:eastAsia="Courier New" w:hAnsi="Courier New"/>
          <w:sz w:val="15"/>
          <w:szCs w:val="15"/>
          <w:color w:val="auto"/>
        </w:rPr>
        <w:t>5</w:t>
      </w:r>
    </w:p>
    <w:p>
      <w:pPr>
        <w:spacing w:after="0" w:line="33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6-MOS</w:t>
      </w:r>
    </w:p>
    <w:p>
      <w:pPr>
        <w:ind w:left="960"/>
        <w:spacing w:after="0"/>
        <w:rPr>
          <w:sz w:val="20"/>
          <w:szCs w:val="20"/>
          <w:color w:val="auto"/>
        </w:rPr>
      </w:pPr>
      <w:r>
        <w:rPr>
          <w:rFonts w:ascii="Courier New" w:cs="Courier New" w:eastAsia="Courier New" w:hAnsi="Courier New"/>
          <w:sz w:val="15"/>
          <w:szCs w:val="15"/>
          <w:color w:val="auto"/>
        </w:rPr>
        <w:t>DEC-31-1999</w:t>
      </w:r>
    </w:p>
    <w:p>
      <w:pPr>
        <w:ind w:left="1240"/>
        <w:spacing w:after="0"/>
        <w:rPr>
          <w:sz w:val="20"/>
          <w:szCs w:val="20"/>
          <w:color w:val="auto"/>
        </w:rPr>
      </w:pPr>
      <w:r>
        <w:rPr>
          <w:rFonts w:ascii="Courier New" w:cs="Courier New" w:eastAsia="Courier New" w:hAnsi="Courier New"/>
          <w:sz w:val="15"/>
          <w:szCs w:val="15"/>
          <w:color w:val="auto"/>
        </w:rPr>
        <w:t>JAN-01-1999</w:t>
      </w:r>
    </w:p>
    <w:p>
      <w:pPr>
        <w:ind w:left="1420"/>
        <w:spacing w:after="0" w:line="238" w:lineRule="auto"/>
        <w:rPr>
          <w:sz w:val="20"/>
          <w:szCs w:val="20"/>
          <w:color w:val="auto"/>
        </w:rPr>
      </w:pPr>
      <w:r>
        <w:rPr>
          <w:rFonts w:ascii="Courier New" w:cs="Courier New" w:eastAsia="Courier New" w:hAnsi="Courier New"/>
          <w:sz w:val="15"/>
          <w:szCs w:val="15"/>
          <w:color w:val="auto"/>
        </w:rPr>
        <w:t>JUN-30-1999</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20,560</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76,008</w:t>
      </w:r>
    </w:p>
    <w:p>
      <w:pPr>
        <w:ind w:left="1320"/>
        <w:spacing w:after="0"/>
        <w:rPr>
          <w:sz w:val="20"/>
          <w:szCs w:val="20"/>
          <w:color w:val="auto"/>
        </w:rPr>
      </w:pPr>
      <w:r>
        <w:rPr>
          <w:rFonts w:ascii="Courier New" w:cs="Courier New" w:eastAsia="Courier New" w:hAnsi="Courier New"/>
          <w:sz w:val="15"/>
          <w:szCs w:val="15"/>
          <w:color w:val="auto"/>
        </w:rPr>
        <w:t>4,966</w:t>
      </w:r>
    </w:p>
    <w:p>
      <w:pPr>
        <w:ind w:left="1420"/>
        <w:spacing w:after="0"/>
        <w:rPr>
          <w:sz w:val="20"/>
          <w:szCs w:val="20"/>
          <w:color w:val="auto"/>
        </w:rPr>
      </w:pPr>
      <w:r>
        <w:rPr>
          <w:rFonts w:ascii="Courier New" w:cs="Courier New" w:eastAsia="Courier New" w:hAnsi="Courier New"/>
          <w:sz w:val="15"/>
          <w:szCs w:val="15"/>
          <w:color w:val="auto"/>
        </w:rPr>
        <w:t>0</w:t>
      </w:r>
    </w:p>
    <w:p>
      <w:pPr>
        <w:jc w:val="right"/>
        <w:ind w:right="7679"/>
        <w:spacing w:after="0" w:line="238" w:lineRule="auto"/>
        <w:rPr>
          <w:sz w:val="20"/>
          <w:szCs w:val="20"/>
          <w:color w:val="auto"/>
        </w:rPr>
      </w:pPr>
      <w:r>
        <w:rPr>
          <w:rFonts w:ascii="Courier New" w:cs="Courier New" w:eastAsia="Courier New" w:hAnsi="Courier New"/>
          <w:sz w:val="15"/>
          <w:szCs w:val="15"/>
          <w:color w:val="auto"/>
        </w:rPr>
        <w:t>0</w:t>
      </w:r>
    </w:p>
    <w:p>
      <w:pPr>
        <w:jc w:val="right"/>
        <w:ind w:right="7679"/>
        <w:spacing w:after="0"/>
        <w:rPr>
          <w:sz w:val="20"/>
          <w:szCs w:val="20"/>
          <w:color w:val="auto"/>
        </w:rPr>
      </w:pPr>
      <w:r>
        <w:rPr>
          <w:rFonts w:ascii="Courier New" w:cs="Courier New" w:eastAsia="Courier New" w:hAnsi="Courier New"/>
          <w:sz w:val="15"/>
          <w:szCs w:val="15"/>
          <w:color w:val="auto"/>
        </w:rPr>
        <w:t>76,215</w:t>
      </w:r>
    </w:p>
    <w:p>
      <w:pPr>
        <w:jc w:val="right"/>
        <w:ind w:right="6799"/>
        <w:spacing w:after="0"/>
        <w:rPr>
          <w:sz w:val="20"/>
          <w:szCs w:val="20"/>
          <w:color w:val="auto"/>
        </w:rPr>
      </w:pPr>
      <w:r>
        <w:rPr>
          <w:rFonts w:ascii="Courier New" w:cs="Courier New" w:eastAsia="Courier New" w:hAnsi="Courier New"/>
          <w:sz w:val="15"/>
          <w:szCs w:val="15"/>
          <w:color w:val="auto"/>
        </w:rPr>
        <w:t>63,347</w:t>
      </w:r>
    </w:p>
    <w:p>
      <w:pPr>
        <w:ind w:left="1240"/>
        <w:spacing w:after="0" w:line="238" w:lineRule="auto"/>
        <w:rPr>
          <w:sz w:val="20"/>
          <w:szCs w:val="20"/>
          <w:color w:val="auto"/>
        </w:rPr>
      </w:pPr>
      <w:r>
        <w:rPr>
          <w:rFonts w:ascii="Courier New" w:cs="Courier New" w:eastAsia="Courier New" w:hAnsi="Courier New"/>
          <w:sz w:val="15"/>
          <w:szCs w:val="15"/>
          <w:color w:val="auto"/>
        </w:rPr>
        <w:t>28,168</w:t>
      </w:r>
    </w:p>
    <w:p>
      <w:pPr>
        <w:ind w:left="1240"/>
        <w:spacing w:after="0"/>
        <w:rPr>
          <w:sz w:val="20"/>
          <w:szCs w:val="20"/>
          <w:color w:val="auto"/>
        </w:rPr>
      </w:pPr>
      <w:r>
        <w:rPr>
          <w:rFonts w:ascii="Courier New" w:cs="Courier New" w:eastAsia="Courier New" w:hAnsi="Courier New"/>
          <w:sz w:val="15"/>
          <w:szCs w:val="15"/>
          <w:color w:val="auto"/>
        </w:rPr>
        <w:t>139,839</w:t>
      </w:r>
    </w:p>
    <w:p>
      <w:pPr>
        <w:ind w:left="620"/>
        <w:spacing w:after="0"/>
        <w:rPr>
          <w:sz w:val="20"/>
          <w:szCs w:val="20"/>
          <w:color w:val="auto"/>
        </w:rPr>
      </w:pPr>
      <w:r>
        <w:rPr>
          <w:rFonts w:ascii="Courier New" w:cs="Courier New" w:eastAsia="Courier New" w:hAnsi="Courier New"/>
          <w:sz w:val="15"/>
          <w:szCs w:val="15"/>
          <w:color w:val="auto"/>
        </w:rPr>
        <w:t>8,745</w:t>
      </w:r>
    </w:p>
    <w:p>
      <w:pPr>
        <w:ind w:left="1860"/>
        <w:spacing w:after="0"/>
        <w:rPr>
          <w:sz w:val="20"/>
          <w:szCs w:val="20"/>
          <w:color w:val="auto"/>
        </w:rPr>
      </w:pPr>
      <w:r>
        <w:rPr>
          <w:rFonts w:ascii="Courier New" w:cs="Courier New" w:eastAsia="Courier New" w:hAnsi="Courier New"/>
          <w:sz w:val="15"/>
          <w:szCs w:val="15"/>
          <w:color w:val="auto"/>
        </w:rPr>
        <w:t>0</w:t>
      </w:r>
    </w:p>
    <w:p>
      <w:pPr>
        <w:ind w:left="620"/>
        <w:spacing w:after="0" w:line="238" w:lineRule="auto"/>
        <w:rPr>
          <w:sz w:val="20"/>
          <w:szCs w:val="20"/>
          <w:color w:val="auto"/>
        </w:rPr>
      </w:pPr>
      <w:r>
        <w:rPr>
          <w:rFonts w:ascii="Courier New" w:cs="Courier New" w:eastAsia="Courier New" w:hAnsi="Courier New"/>
          <w:sz w:val="15"/>
          <w:szCs w:val="15"/>
          <w:color w:val="auto"/>
        </w:rPr>
        <w:t>0</w:t>
      </w:r>
    </w:p>
    <w:p>
      <w:pPr>
        <w:ind w:left="1500"/>
        <w:spacing w:after="0"/>
        <w:rPr>
          <w:sz w:val="20"/>
          <w:szCs w:val="20"/>
          <w:color w:val="auto"/>
        </w:rPr>
      </w:pPr>
      <w:r>
        <w:rPr>
          <w:rFonts w:ascii="Courier New" w:cs="Courier New" w:eastAsia="Courier New" w:hAnsi="Courier New"/>
          <w:sz w:val="15"/>
          <w:szCs w:val="15"/>
          <w:color w:val="auto"/>
        </w:rPr>
        <w:t>0</w:t>
      </w:r>
    </w:p>
    <w:p>
      <w:pPr>
        <w:ind w:left="1760"/>
        <w:spacing w:after="0"/>
        <w:rPr>
          <w:sz w:val="20"/>
          <w:szCs w:val="20"/>
          <w:color w:val="auto"/>
        </w:rPr>
      </w:pPr>
      <w:r>
        <w:rPr>
          <w:rFonts w:ascii="Courier New" w:cs="Courier New" w:eastAsia="Courier New" w:hAnsi="Courier New"/>
          <w:sz w:val="15"/>
          <w:szCs w:val="15"/>
          <w:color w:val="auto"/>
        </w:rPr>
        <w:t>32</w:t>
      </w:r>
    </w:p>
    <w:p>
      <w:pPr>
        <w:ind w:left="1580"/>
        <w:spacing w:after="0" w:line="238" w:lineRule="auto"/>
        <w:rPr>
          <w:sz w:val="20"/>
          <w:szCs w:val="20"/>
          <w:color w:val="auto"/>
        </w:rPr>
      </w:pPr>
      <w:r>
        <w:rPr>
          <w:rFonts w:ascii="Courier New" w:cs="Courier New" w:eastAsia="Courier New" w:hAnsi="Courier New"/>
          <w:sz w:val="15"/>
          <w:szCs w:val="15"/>
          <w:color w:val="auto"/>
        </w:rPr>
        <w:t>115,364</w:t>
      </w:r>
    </w:p>
    <w:p>
      <w:pPr>
        <w:spacing w:after="0"/>
        <w:rPr>
          <w:sz w:val="20"/>
          <w:szCs w:val="20"/>
          <w:color w:val="auto"/>
        </w:rPr>
      </w:pPr>
      <w:r>
        <w:rPr>
          <w:rFonts w:ascii="Courier New" w:cs="Courier New" w:eastAsia="Courier New" w:hAnsi="Courier New"/>
          <w:sz w:val="15"/>
          <w:szCs w:val="15"/>
          <w:color w:val="auto"/>
        </w:rPr>
        <w:t>139,839</w:t>
      </w:r>
    </w:p>
    <w:p>
      <w:pPr>
        <w:ind w:left="1860"/>
        <w:spacing w:after="0"/>
        <w:rPr>
          <w:sz w:val="20"/>
          <w:szCs w:val="20"/>
          <w:color w:val="auto"/>
        </w:rPr>
      </w:pPr>
      <w:r>
        <w:rPr>
          <w:rFonts w:ascii="Courier New" w:cs="Courier New" w:eastAsia="Courier New" w:hAnsi="Courier New"/>
          <w:sz w:val="15"/>
          <w:szCs w:val="15"/>
          <w:color w:val="auto"/>
        </w:rPr>
        <w:t>0</w:t>
      </w:r>
    </w:p>
    <w:p>
      <w:pPr>
        <w:ind w:left="1060"/>
        <w:spacing w:after="0"/>
        <w:rPr>
          <w:sz w:val="20"/>
          <w:szCs w:val="20"/>
          <w:color w:val="auto"/>
        </w:rPr>
      </w:pPr>
      <w:r>
        <w:rPr>
          <w:rFonts w:ascii="Courier New" w:cs="Courier New" w:eastAsia="Courier New" w:hAnsi="Courier New"/>
          <w:sz w:val="15"/>
          <w:szCs w:val="15"/>
          <w:color w:val="auto"/>
        </w:rPr>
        <w:t>14,088</w:t>
      </w:r>
    </w:p>
    <w:p>
      <w:pPr>
        <w:ind w:left="2020"/>
        <w:spacing w:after="0" w:line="238" w:lineRule="auto"/>
        <w:rPr>
          <w:sz w:val="20"/>
          <w:szCs w:val="20"/>
          <w:color w:val="auto"/>
        </w:rPr>
      </w:pPr>
      <w:r>
        <w:rPr>
          <w:rFonts w:ascii="Courier New" w:cs="Courier New" w:eastAsia="Courier New" w:hAnsi="Courier New"/>
          <w:sz w:val="15"/>
          <w:szCs w:val="15"/>
          <w:color w:val="auto"/>
        </w:rPr>
        <w:t>0</w:t>
      </w:r>
    </w:p>
    <w:p>
      <w:pPr>
        <w:ind w:left="1320"/>
        <w:spacing w:after="0"/>
        <w:rPr>
          <w:sz w:val="20"/>
          <w:szCs w:val="20"/>
          <w:color w:val="auto"/>
        </w:rPr>
      </w:pPr>
      <w:r>
        <w:rPr>
          <w:rFonts w:ascii="Courier New" w:cs="Courier New" w:eastAsia="Courier New" w:hAnsi="Courier New"/>
          <w:sz w:val="15"/>
          <w:szCs w:val="15"/>
          <w:color w:val="auto"/>
        </w:rPr>
        <w:t>0</w:t>
      </w:r>
    </w:p>
    <w:p>
      <w:pPr>
        <w:ind w:left="1060"/>
        <w:spacing w:after="0"/>
        <w:rPr>
          <w:sz w:val="20"/>
          <w:szCs w:val="20"/>
          <w:color w:val="auto"/>
        </w:rPr>
      </w:pPr>
      <w:r>
        <w:rPr>
          <w:rFonts w:ascii="Courier New" w:cs="Courier New" w:eastAsia="Courier New" w:hAnsi="Courier New"/>
          <w:sz w:val="15"/>
          <w:szCs w:val="15"/>
          <w:color w:val="auto"/>
        </w:rPr>
        <w:t>30,681</w:t>
      </w:r>
    </w:p>
    <w:p>
      <w:pPr>
        <w:ind w:left="1060"/>
        <w:spacing w:after="0" w:line="238" w:lineRule="auto"/>
        <w:rPr>
          <w:sz w:val="20"/>
          <w:szCs w:val="20"/>
          <w:color w:val="auto"/>
        </w:rPr>
      </w:pPr>
      <w:r>
        <w:rPr>
          <w:rFonts w:ascii="Courier New" w:cs="Courier New" w:eastAsia="Courier New" w:hAnsi="Courier New"/>
          <w:sz w:val="15"/>
          <w:szCs w:val="15"/>
          <w:color w:val="auto"/>
        </w:rPr>
        <w:t>0</w:t>
      </w:r>
    </w:p>
    <w:p>
      <w:pPr>
        <w:ind w:left="880"/>
        <w:spacing w:after="0"/>
        <w:rPr>
          <w:sz w:val="20"/>
          <w:szCs w:val="20"/>
          <w:color w:val="auto"/>
        </w:rPr>
      </w:pPr>
      <w:r>
        <w:rPr>
          <w:rFonts w:ascii="Courier New" w:cs="Courier New" w:eastAsia="Courier New" w:hAnsi="Courier New"/>
          <w:sz w:val="15"/>
          <w:szCs w:val="15"/>
          <w:color w:val="auto"/>
        </w:rPr>
        <w:t>170</w:t>
      </w:r>
    </w:p>
    <w:p>
      <w:pPr>
        <w:ind w:left="1140"/>
        <w:spacing w:after="0"/>
        <w:rPr>
          <w:sz w:val="20"/>
          <w:szCs w:val="20"/>
          <w:color w:val="auto"/>
        </w:rPr>
      </w:pPr>
      <w:r>
        <w:rPr>
          <w:rFonts w:ascii="Courier New" w:cs="Courier New" w:eastAsia="Courier New" w:hAnsi="Courier New"/>
          <w:sz w:val="15"/>
          <w:szCs w:val="15"/>
          <w:color w:val="auto"/>
        </w:rPr>
        <w:t>(16,763)</w:t>
      </w:r>
    </w:p>
    <w:p>
      <w:pPr>
        <w:ind w:left="1420"/>
        <w:spacing w:after="0"/>
        <w:rPr>
          <w:sz w:val="20"/>
          <w:szCs w:val="20"/>
          <w:color w:val="auto"/>
        </w:rPr>
      </w:pPr>
      <w:r>
        <w:rPr>
          <w:rFonts w:ascii="Courier New" w:cs="Courier New" w:eastAsia="Courier New" w:hAnsi="Courier New"/>
          <w:sz w:val="15"/>
          <w:szCs w:val="15"/>
          <w:color w:val="auto"/>
        </w:rPr>
        <w:t>0</w:t>
      </w:r>
    </w:p>
    <w:p>
      <w:pPr>
        <w:ind w:left="800"/>
        <w:spacing w:after="0" w:line="238" w:lineRule="auto"/>
        <w:rPr>
          <w:sz w:val="20"/>
          <w:szCs w:val="20"/>
          <w:color w:val="auto"/>
        </w:rPr>
      </w:pPr>
      <w:r>
        <w:rPr>
          <w:rFonts w:ascii="Courier New" w:cs="Courier New" w:eastAsia="Courier New" w:hAnsi="Courier New"/>
          <w:sz w:val="15"/>
          <w:szCs w:val="15"/>
          <w:color w:val="auto"/>
        </w:rPr>
        <w:t>(16,763)</w:t>
      </w:r>
    </w:p>
    <w:p>
      <w:pPr>
        <w:ind w:left="1240"/>
        <w:spacing w:after="0"/>
        <w:rPr>
          <w:sz w:val="20"/>
          <w:szCs w:val="20"/>
          <w:color w:val="auto"/>
        </w:rPr>
      </w:pPr>
      <w:r>
        <w:rPr>
          <w:rFonts w:ascii="Courier New" w:cs="Courier New" w:eastAsia="Courier New" w:hAnsi="Courier New"/>
          <w:sz w:val="15"/>
          <w:szCs w:val="15"/>
          <w:color w:val="auto"/>
        </w:rPr>
        <w:t>0</w:t>
      </w:r>
    </w:p>
    <w:p>
      <w:pPr>
        <w:ind w:left="1140"/>
        <w:spacing w:after="0"/>
        <w:rPr>
          <w:sz w:val="20"/>
          <w:szCs w:val="20"/>
          <w:color w:val="auto"/>
        </w:rPr>
      </w:pPr>
      <w:r>
        <w:rPr>
          <w:rFonts w:ascii="Courier New" w:cs="Courier New" w:eastAsia="Courier New" w:hAnsi="Courier New"/>
          <w:sz w:val="15"/>
          <w:szCs w:val="15"/>
          <w:color w:val="auto"/>
        </w:rPr>
        <w:t>0</w:t>
      </w:r>
    </w:p>
    <w:p>
      <w:pPr>
        <w:ind w:left="1680"/>
        <w:spacing w:after="0" w:line="238" w:lineRule="auto"/>
        <w:rPr>
          <w:sz w:val="20"/>
          <w:szCs w:val="20"/>
          <w:color w:val="auto"/>
        </w:rPr>
      </w:pPr>
      <w:r>
        <w:rPr>
          <w:rFonts w:ascii="Courier New" w:cs="Courier New" w:eastAsia="Courier New" w:hAnsi="Courier New"/>
          <w:sz w:val="15"/>
          <w:szCs w:val="15"/>
          <w:color w:val="auto"/>
        </w:rPr>
        <w:t>0</w:t>
      </w:r>
    </w:p>
    <w:p>
      <w:pPr>
        <w:ind w:left="1420"/>
        <w:spacing w:after="0"/>
        <w:rPr>
          <w:sz w:val="20"/>
          <w:szCs w:val="20"/>
          <w:color w:val="auto"/>
        </w:rPr>
      </w:pPr>
      <w:r>
        <w:rPr>
          <w:rFonts w:ascii="Courier New" w:cs="Courier New" w:eastAsia="Courier New" w:hAnsi="Courier New"/>
          <w:sz w:val="15"/>
          <w:szCs w:val="15"/>
          <w:color w:val="auto"/>
        </w:rPr>
        <w:t>(16,763)</w:t>
      </w:r>
    </w:p>
    <w:p>
      <w:pPr>
        <w:ind w:left="1320"/>
        <w:spacing w:after="0"/>
        <w:rPr>
          <w:sz w:val="20"/>
          <w:szCs w:val="20"/>
          <w:color w:val="auto"/>
        </w:rPr>
      </w:pPr>
      <w:r>
        <w:rPr>
          <w:rFonts w:ascii="Courier New" w:cs="Courier New" w:eastAsia="Courier New" w:hAnsi="Courier New"/>
          <w:sz w:val="15"/>
          <w:szCs w:val="15"/>
          <w:color w:val="auto"/>
        </w:rPr>
        <w:t>(0.54)</w:t>
      </w:r>
    </w:p>
    <w:p>
      <w:pPr>
        <w:ind w:left="1320"/>
        <w:spacing w:after="0" w:line="238" w:lineRule="auto"/>
        <w:rPr>
          <w:sz w:val="20"/>
          <w:szCs w:val="20"/>
          <w:color w:val="auto"/>
        </w:rPr>
      </w:pPr>
      <w:r>
        <w:rPr>
          <w:rFonts w:ascii="Courier New" w:cs="Courier New" w:eastAsia="Courier New" w:hAnsi="Courier New"/>
          <w:sz w:val="15"/>
          <w:szCs w:val="15"/>
          <w:color w:val="auto"/>
        </w:rPr>
        <w:t>(0.54)</w:t>
      </w:r>
    </w:p>
    <w:sectPr>
      <w:pgSz w:w="11900" w:h="16838" w:orient="portrait"/>
      <w:cols w:equalWidth="0" w:num="1">
        <w:col w:w="9259"/>
      </w:cols>
      <w:pgMar w:left="1200" w:top="6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4"/>
    </w:lvl>
  </w:abstractNum>
  <w:abstractNum w:abstractNumId="5">
    <w:nsid w:val="1190CDE7"/>
    <w:multiLevelType w:val="hybridMultilevel"/>
    <w:lvl w:ilvl="0">
      <w:lvlJc w:val="left"/>
      <w:lvlText w:val="%1."/>
      <w:numFmt w:val="decimal"/>
      <w:start w:val="5"/>
    </w:lvl>
  </w:abstractNum>
  <w:abstractNum w:abstractNumId="6">
    <w:nsid w:val="66EF438D"/>
    <w:multiLevelType w:val="hybridMultilevel"/>
    <w:lvl w:ilvl="0">
      <w:lvlJc w:val="left"/>
      <w:lvlText w:val="%1."/>
      <w:numFmt w:val="decimal"/>
      <w:start w:val="6"/>
    </w:lvl>
  </w:abstractNum>
  <w:abstractNum w:abstractNumId="7">
    <w:nsid w:val="140E0F76"/>
    <w:multiLevelType w:val="hybridMultilevel"/>
    <w:lvl w:ilvl="0">
      <w:lvlJc w:val="left"/>
      <w:lvlText w:val="%1."/>
      <w:numFmt w:val="decimal"/>
      <w:start w:val="7"/>
    </w:lvl>
  </w:abstractNum>
  <w:abstractNum w:abstractNumId="8">
    <w:nsid w:val="3352255A"/>
    <w:multiLevelType w:val="hybridMultilevel"/>
    <w:lvl w:ilvl="0">
      <w:lvlJc w:val="left"/>
      <w:lvlText w:val="o"/>
      <w:numFmt w:val="bullet"/>
      <w:start w:val="1"/>
    </w:lvl>
  </w:abstractNum>
  <w:abstractNum w:abstractNumId="9">
    <w:nsid w:val="109CF92E"/>
    <w:multiLevelType w:val="hybridMultilevel"/>
    <w:lvl w:ilvl="0">
      <w:lvlJc w:val="left"/>
      <w:lvlText w:val="o"/>
      <w:numFmt w:val="bullet"/>
      <w:start w:val="1"/>
    </w:lvl>
  </w:abstractNum>
  <w:abstractNum w:abstractNumId="10">
    <w:nsid w:val="DED7263"/>
    <w:multiLevelType w:val="hybridMultilevel"/>
    <w:lvl w:ilvl="0">
      <w:lvlJc w:val="left"/>
      <w:lvlText w:val="o"/>
      <w:numFmt w:val="bullet"/>
      <w:start w:val="1"/>
    </w:lvl>
  </w:abstractNum>
  <w:abstractNum w:abstractNumId="11">
    <w:nsid w:val="7FDCC233"/>
    <w:multiLevelType w:val="hybridMultilevel"/>
    <w:lvl w:ilvl="0">
      <w:lvlJc w:val="left"/>
      <w:lvlText w:val="o"/>
      <w:numFmt w:val="bullet"/>
      <w:start w:val="1"/>
    </w:lvl>
  </w:abstractNum>
  <w:abstractNum w:abstractNumId="12">
    <w:nsid w:val="1BEFD79F"/>
    <w:multiLevelType w:val="hybridMultilevel"/>
    <w:lvl w:ilvl="0">
      <w:lvlJc w:val="left"/>
      <w:lvlText w:val="o"/>
      <w:numFmt w:val="bullet"/>
      <w:start w:val="1"/>
    </w:lvl>
  </w:abstractNum>
  <w:abstractNum w:abstractNumId="13">
    <w:nsid w:val="41A7C4C9"/>
    <w:multiLevelType w:val="hybridMultilevel"/>
    <w:lvl w:ilvl="0">
      <w:lvlJc w:val="left"/>
      <w:lvlText w:val="o"/>
      <w:numFmt w:val="bullet"/>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2020-02-22T14:43:49Z</dcterms:created>
  <dcterms:modified xsi:type="dcterms:W3CDTF">2020-02-22T14:43:49Z</dcterms:modified>
</cp:coreProperties>
</file>