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(Amendment No. 2)</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740" w:hanging="151"/>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25" w:lineRule="exact"/>
        <w:rPr>
          <w:rFonts w:ascii="Arial" w:cs="Arial" w:eastAsia="Arial" w:hAnsi="Arial"/>
          <w:sz w:val="18"/>
          <w:szCs w:val="18"/>
          <w:color w:val="auto"/>
        </w:rPr>
      </w:pPr>
    </w:p>
    <w:p>
      <w:pPr>
        <w:ind w:left="740" w:hanging="151"/>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13d-1(c)</w:t>
      </w:r>
    </w:p>
    <w:p>
      <w:pPr>
        <w:spacing w:after="0" w:line="225" w:lineRule="exact"/>
        <w:rPr>
          <w:sz w:val="24"/>
          <w:szCs w:val="24"/>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13 pages</w:t>
      </w:r>
    </w:p>
    <w:p>
      <w:pPr>
        <w:spacing w:after="0" w:line="268"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4"/>
          <w:szCs w:val="24"/>
          <w:color w:val="auto"/>
        </w:rPr>
      </w:pPr>
    </w:p>
    <w:p>
      <w:pPr>
        <w:ind w:left="680" w:hanging="449"/>
        <w:spacing w:after="0"/>
        <w:tabs>
          <w:tab w:leader="none" w:pos="680" w:val="left"/>
        </w:tabs>
        <w:numPr>
          <w:ilvl w:val="0"/>
          <w:numId w:val="3"/>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Andrew H. Tisch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470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347027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4"/>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4"/>
          <w:szCs w:val="24"/>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1,665,289</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370"/>
        </w:trPr>
        <w:tc>
          <w:tcPr>
            <w:tcW w:w="16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0" w:gutter="0" w:footer="0" w:header="0"/>
        </w:sectPr>
      </w:pPr>
    </w:p>
    <w:bookmarkStart w:id="1" w:name="page2"/>
    <w:bookmarkEnd w:id="1"/>
    <w:p>
      <w:pPr>
        <w:ind w:left="2280"/>
        <w:spacing w:after="0"/>
        <w:rPr>
          <w:sz w:val="20"/>
          <w:szCs w:val="20"/>
          <w:color w:val="auto"/>
        </w:rPr>
      </w:pPr>
      <w:r>
        <w:rPr>
          <w:sz w:val="1"/>
          <w:szCs w:val="1"/>
          <w:color w:val="auto"/>
        </w:rPr>
        <w:drawing>
          <wp:inline distT="0" distB="0" distL="0" distR="0">
            <wp:extent cx="42545" cy="218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1,665,289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1942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942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80" w:type="dxa"/>
            <w:vAlign w:val="bottom"/>
            <w:gridSpan w:val="2"/>
          </w:tcPr>
          <w:p>
            <w:pPr>
              <w:jc w:val="center"/>
              <w:spacing w:after="0" w:line="327" w:lineRule="exact"/>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4.0%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88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88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8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6"/>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1,665,289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792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435610</wp:posOffset>
            </wp:positionV>
            <wp:extent cx="7272020" cy="1223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540" w:type="dxa"/>
            <w:vAlign w:val="bottom"/>
          </w:tcPr>
          <w:p>
            <w:pPr>
              <w:jc w:val="right"/>
              <w:spacing w:after="0"/>
              <w:rPr>
                <w:sz w:val="20"/>
                <w:szCs w:val="20"/>
                <w:color w:val="auto"/>
              </w:rPr>
            </w:pPr>
            <w:r>
              <w:rPr>
                <w:rFonts w:ascii="Arial" w:cs="Arial" w:eastAsia="Arial" w:hAnsi="Arial"/>
                <w:sz w:val="32"/>
                <w:szCs w:val="32"/>
                <w:b w:val="1"/>
                <w:bCs w:val="1"/>
                <w:color w:val="auto"/>
              </w:rPr>
              <w:t>1</w:t>
            </w:r>
          </w:p>
        </w:tc>
        <w:tc>
          <w:tcPr>
            <w:tcW w:w="8900" w:type="dxa"/>
            <w:vAlign w:val="bottom"/>
          </w:tcPr>
          <w:p>
            <w:pPr>
              <w:ind w:left="140"/>
              <w:spacing w:after="0"/>
              <w:rPr>
                <w:sz w:val="20"/>
                <w:szCs w:val="20"/>
                <w:color w:val="auto"/>
              </w:rPr>
            </w:pPr>
            <w:r>
              <w:rPr>
                <w:rFonts w:ascii="Arial" w:cs="Arial" w:eastAsia="Arial" w:hAnsi="Arial"/>
                <w:sz w:val="22"/>
                <w:szCs w:val="22"/>
                <w:color w:val="auto"/>
              </w:rPr>
              <w:t>NAMES OF REPORTING PERSONS</w:t>
            </w:r>
          </w:p>
        </w:tc>
        <w:tc>
          <w:tcPr>
            <w:tcW w:w="1980" w:type="dxa"/>
            <w:vAlign w:val="bottom"/>
          </w:tcPr>
          <w:p>
            <w:pPr>
              <w:spacing w:after="0"/>
              <w:rPr>
                <w:sz w:val="24"/>
                <w:szCs w:val="24"/>
                <w:color w:val="auto"/>
              </w:rPr>
            </w:pPr>
          </w:p>
        </w:tc>
      </w:tr>
      <w:tr>
        <w:trPr>
          <w:trHeight w:val="219"/>
        </w:trPr>
        <w:tc>
          <w:tcPr>
            <w:tcW w:w="540" w:type="dxa"/>
            <w:vAlign w:val="bottom"/>
          </w:tcPr>
          <w:p>
            <w:pPr>
              <w:spacing w:after="0"/>
              <w:rPr>
                <w:sz w:val="19"/>
                <w:szCs w:val="19"/>
                <w:color w:val="auto"/>
              </w:rPr>
            </w:pPr>
          </w:p>
        </w:tc>
        <w:tc>
          <w:tcPr>
            <w:tcW w:w="8900" w:type="dxa"/>
            <w:vAlign w:val="bottom"/>
          </w:tcPr>
          <w:p>
            <w:pPr>
              <w:ind w:left="140"/>
              <w:spacing w:after="0" w:line="219" w:lineRule="exact"/>
              <w:rPr>
                <w:sz w:val="20"/>
                <w:szCs w:val="20"/>
                <w:color w:val="auto"/>
              </w:rPr>
            </w:pPr>
            <w:r>
              <w:rPr>
                <w:rFonts w:ascii="Arial" w:cs="Arial" w:eastAsia="Arial" w:hAnsi="Arial"/>
                <w:sz w:val="22"/>
                <w:szCs w:val="22"/>
                <w:color w:val="auto"/>
              </w:rPr>
              <w:t>I.R.S. IDENTIFICATION NOS. OF ABOVE PERSONS (entities only)</w:t>
            </w:r>
          </w:p>
        </w:tc>
        <w:tc>
          <w:tcPr>
            <w:tcW w:w="1980" w:type="dxa"/>
            <w:vAlign w:val="bottom"/>
          </w:tcPr>
          <w:p>
            <w:pPr>
              <w:spacing w:after="0"/>
              <w:rPr>
                <w:sz w:val="19"/>
                <w:szCs w:val="19"/>
                <w:color w:val="auto"/>
              </w:rPr>
            </w:pPr>
          </w:p>
        </w:tc>
      </w:tr>
      <w:tr>
        <w:trPr>
          <w:trHeight w:val="281"/>
        </w:trPr>
        <w:tc>
          <w:tcPr>
            <w:tcW w:w="54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Arial" w:cs="Arial" w:eastAsia="Arial" w:hAnsi="Arial"/>
                <w:sz w:val="22"/>
                <w:szCs w:val="22"/>
                <w:b w:val="1"/>
                <w:bCs w:val="1"/>
                <w:color w:val="auto"/>
              </w:rPr>
              <w:t>James S. Tisch</w:t>
            </w:r>
          </w:p>
        </w:tc>
        <w:tc>
          <w:tcPr>
            <w:tcW w:w="1980" w:type="dxa"/>
            <w:vAlign w:val="bottom"/>
          </w:tcPr>
          <w:p>
            <w:pPr>
              <w:spacing w:after="0"/>
              <w:rPr>
                <w:sz w:val="24"/>
                <w:szCs w:val="24"/>
                <w:color w:val="auto"/>
              </w:rPr>
            </w:pPr>
          </w:p>
        </w:tc>
      </w:tr>
      <w:tr>
        <w:trPr>
          <w:trHeight w:val="110"/>
        </w:trPr>
        <w:tc>
          <w:tcPr>
            <w:tcW w:w="540" w:type="dxa"/>
            <w:vAlign w:val="bottom"/>
            <w:tcBorders>
              <w:bottom w:val="single" w:sz="8" w:color="2C2C2C"/>
            </w:tcBorders>
          </w:tcPr>
          <w:p>
            <w:pPr>
              <w:spacing w:after="0"/>
              <w:rPr>
                <w:sz w:val="9"/>
                <w:szCs w:val="9"/>
                <w:color w:val="auto"/>
              </w:rPr>
            </w:pPr>
          </w:p>
        </w:tc>
        <w:tc>
          <w:tcPr>
            <w:tcW w:w="890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r>
      <w:tr>
        <w:trPr>
          <w:trHeight w:val="294"/>
        </w:trPr>
        <w:tc>
          <w:tcPr>
            <w:tcW w:w="540" w:type="dxa"/>
            <w:vAlign w:val="bottom"/>
            <w:tcBorders>
              <w:top w:val="single" w:sz="8" w:color="2C2C2C"/>
            </w:tcBorders>
          </w:tcPr>
          <w:p>
            <w:pPr>
              <w:jc w:val="right"/>
              <w:spacing w:after="0" w:line="293" w:lineRule="exact"/>
              <w:rPr>
                <w:sz w:val="20"/>
                <w:szCs w:val="20"/>
                <w:color w:val="auto"/>
              </w:rPr>
            </w:pPr>
            <w:r>
              <w:rPr>
                <w:rFonts w:ascii="Arial" w:cs="Arial" w:eastAsia="Arial" w:hAnsi="Arial"/>
                <w:sz w:val="32"/>
                <w:szCs w:val="32"/>
                <w:b w:val="1"/>
                <w:bCs w:val="1"/>
                <w:color w:val="auto"/>
              </w:rPr>
              <w:t>2</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tcBorders>
              <w:top w:val="single" w:sz="8" w:color="2C2C2C"/>
            </w:tcBorders>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5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66"/>
        </w:trPr>
        <w:tc>
          <w:tcPr>
            <w:tcW w:w="540" w:type="dxa"/>
            <w:vAlign w:val="bottom"/>
            <w:tcBorders>
              <w:bottom w:val="single" w:sz="8" w:color="2C2C2C"/>
            </w:tcBorders>
          </w:tcPr>
          <w:p>
            <w:pPr>
              <w:spacing w:after="0"/>
              <w:rPr>
                <w:sz w:val="5"/>
                <w:szCs w:val="5"/>
                <w:color w:val="auto"/>
              </w:rPr>
            </w:pPr>
          </w:p>
        </w:tc>
        <w:tc>
          <w:tcPr>
            <w:tcW w:w="89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r>
      <w:tr>
        <w:trPr>
          <w:trHeight w:val="20"/>
        </w:trPr>
        <w:tc>
          <w:tcPr>
            <w:tcW w:w="54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8900" w:type="dxa"/>
            <w:vAlign w:val="bottom"/>
            <w:tcBorders>
              <w:top w:val="single" w:sz="8" w:color="808080"/>
            </w:tcBorders>
            <w:shd w:val="clear" w:color="auto" w:fill="2C2C2C"/>
          </w:tcPr>
          <w:p>
            <w:pPr>
              <w:spacing w:after="0" w:line="20" w:lineRule="exact"/>
              <w:rPr>
                <w:sz w:val="1"/>
                <w:szCs w:val="1"/>
                <w:color w:val="auto"/>
              </w:rPr>
            </w:pPr>
          </w:p>
        </w:tc>
        <w:tc>
          <w:tcPr>
            <w:tcW w:w="1980" w:type="dxa"/>
            <w:vAlign w:val="bottom"/>
            <w:tcBorders>
              <w:top w:val="single" w:sz="8" w:color="808080"/>
              <w:right w:val="single" w:sz="8" w:color="808080"/>
            </w:tcBorders>
            <w:shd w:val="clear" w:color="auto" w:fill="2C2C2C"/>
          </w:tcPr>
          <w:p>
            <w:pPr>
              <w:spacing w:after="0" w:line="20" w:lineRule="exact"/>
              <w:rPr>
                <w:sz w:val="1"/>
                <w:szCs w:val="1"/>
                <w:color w:val="auto"/>
              </w:rPr>
            </w:pPr>
          </w:p>
        </w:tc>
      </w:tr>
    </w:tbl>
    <w:p>
      <w:pPr>
        <w:sectPr>
          <w:pgSz w:w="11900" w:h="16838" w:orient="portrait"/>
          <w:cols w:equalWidth="0" w:num="1">
            <w:col w:w="11420"/>
          </w:cols>
          <w:pgMar w:left="240" w:top="93" w:right="239" w:bottom="0" w:gutter="0" w:footer="0" w:header="0"/>
        </w:sectPr>
      </w:pPr>
    </w:p>
    <w:bookmarkStart w:id="2" w:name="page3"/>
    <w:bookmarkEnd w:id="2"/>
    <w:p>
      <w:pPr>
        <w:spacing w:after="0" w:line="18" w:lineRule="exact"/>
        <w:rPr>
          <w:sz w:val="20"/>
          <w:szCs w:val="20"/>
          <w:color w:val="auto"/>
        </w:rPr>
      </w:pPr>
    </w:p>
    <w:p>
      <w:pPr>
        <w:ind w:left="240"/>
        <w:spacing w:after="0" w:line="237" w:lineRule="auto"/>
        <w:rPr>
          <w:sz w:val="20"/>
          <w:szCs w:val="20"/>
          <w:color w:val="auto"/>
        </w:rPr>
      </w:pPr>
      <w:r>
        <w:rPr>
          <w:rFonts w:ascii="Arial" w:cs="Arial" w:eastAsia="Arial" w:hAnsi="Arial"/>
          <w:sz w:val="64"/>
          <w:szCs w:val="64"/>
          <w:b w:val="1"/>
          <w:bCs w:val="1"/>
          <w:color w:val="auto"/>
          <w:vertAlign w:val="subscript"/>
        </w:rPr>
        <w:t xml:space="preserve">3 </w:t>
      </w:r>
      <w:r>
        <w:rPr>
          <w:sz w:val="1"/>
          <w:szCs w:val="1"/>
          <w:color w:val="auto"/>
        </w:rPr>
        <w:drawing>
          <wp:inline distT="0" distB="0" distL="0" distR="0">
            <wp:extent cx="42545" cy="372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7274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4189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189095"/>
                    </a:xfrm>
                    <a:prstGeom prst="rect">
                      <a:avLst/>
                    </a:prstGeom>
                    <a:noFill/>
                  </pic:spPr>
                </pic:pic>
              </a:graphicData>
            </a:graphic>
          </wp:anchor>
        </w:drawing>
      </w:r>
    </w:p>
    <w:p>
      <w:pPr>
        <w:ind w:left="680" w:hanging="449"/>
        <w:spacing w:after="0" w:line="180" w:lineRule="auto"/>
        <w:tabs>
          <w:tab w:leader="none" w:pos="680" w:val="left"/>
        </w:tabs>
        <w:numPr>
          <w:ilvl w:val="0"/>
          <w:numId w:val="7"/>
        </w:numPr>
        <w:rPr>
          <w:rFonts w:ascii="Arial" w:cs="Arial" w:eastAsia="Arial" w:hAnsi="Arial"/>
          <w:sz w:val="38"/>
          <w:szCs w:val="38"/>
          <w:b w:val="1"/>
          <w:bCs w:val="1"/>
          <w:color w:val="auto"/>
          <w:vertAlign w:val="subscript"/>
        </w:rPr>
      </w:pPr>
      <w:r>
        <w:rPr>
          <w:rFonts w:ascii="Arial" w:cs="Arial" w:eastAsia="Arial" w:hAnsi="Arial"/>
          <w:sz w:val="17"/>
          <w:szCs w:val="17"/>
          <w:color w:val="auto"/>
        </w:rPr>
        <w:t>CITIZENSHIP OR PLACE OF ORGANIZATION</w:t>
      </w:r>
    </w:p>
    <w:p>
      <w:pPr>
        <w:ind w:left="680"/>
        <w:spacing w:after="0"/>
        <w:rPr>
          <w:rFonts w:ascii="Arial" w:cs="Arial" w:eastAsia="Arial" w:hAnsi="Arial"/>
          <w:sz w:val="38"/>
          <w:szCs w:val="38"/>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1,665,289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8"/>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9"/>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1,665,289</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1,665,289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Page 5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0"/>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1"/>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3,400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3,334,935</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3,400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3,334,935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3,338,335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7.9%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29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329057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3,334,935</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360"/>
              <w:spacing w:after="0"/>
              <w:rPr>
                <w:sz w:val="20"/>
                <w:szCs w:val="20"/>
                <w:color w:val="auto"/>
              </w:rPr>
            </w:pPr>
            <w:r>
              <w:rPr>
                <w:rFonts w:ascii="Arial" w:cs="Arial" w:eastAsia="Arial" w:hAnsi="Arial"/>
                <w:sz w:val="32"/>
                <w:szCs w:val="32"/>
                <w:b w:val="1"/>
                <w:bCs w:val="1"/>
                <w:color w:val="auto"/>
              </w:rPr>
              <w:t>8</w:t>
            </w: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3,334,935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3,335,185</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7.9%</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-2083435</wp:posOffset>
            </wp:positionV>
            <wp:extent cx="42545" cy="372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-2083435</wp:posOffset>
            </wp:positionV>
            <wp:extent cx="42545" cy="372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-1289685</wp:posOffset>
            </wp:positionV>
            <wp:extent cx="42545"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4368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-2083435</wp:posOffset>
            </wp:positionV>
            <wp:extent cx="42545" cy="2096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-2083435</wp:posOffset>
            </wp:positionV>
            <wp:extent cx="42545" cy="2096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-1718945</wp:posOffset>
            </wp:positionV>
            <wp:extent cx="42545" cy="1723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17233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Regeneron Pharmaceuticals,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777 Old Saw Mill River Road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Tarrytown, New York 10591-6707</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Schedule 13G is being filed jointly by Andrew H. Tisch, Daniel R. Tisch, James S. Tisch, Thomas J. Tisch, Julian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Baker and Felix J. Baker.</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color w:val="auto"/>
        </w:rPr>
        <w:t>Address of Principal Business Office or, if none, Residence:</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addresses of the reporting persons are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w w:val="85"/>
              </w:rPr>
              <w:t>Name</w:t>
            </w:r>
          </w:p>
        </w:tc>
        <w:tc>
          <w:tcPr>
            <w:tcW w:w="348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rPr>
              <w:t>Business Address</w:t>
            </w:r>
          </w:p>
        </w:tc>
      </w:tr>
      <w:tr>
        <w:trPr>
          <w:trHeight w:val="20"/>
        </w:trPr>
        <w:tc>
          <w:tcPr>
            <w:tcW w:w="5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28"/>
        </w:trPr>
        <w:tc>
          <w:tcPr>
            <w:tcW w:w="4000" w:type="dxa"/>
            <w:vAlign w:val="bottom"/>
            <w:gridSpan w:val="2"/>
          </w:tcPr>
          <w:p>
            <w:pPr>
              <w:spacing w:after="0"/>
              <w:rPr>
                <w:sz w:val="20"/>
                <w:szCs w:val="20"/>
                <w:color w:val="auto"/>
              </w:rPr>
            </w:pPr>
            <w:r>
              <w:rPr>
                <w:rFonts w:ascii="Arial" w:cs="Arial" w:eastAsia="Arial" w:hAnsi="Arial"/>
                <w:sz w:val="22"/>
                <w:szCs w:val="22"/>
                <w:color w:val="auto"/>
              </w:rPr>
              <w:t>Andrew H.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Daniel R. Tisch</w:t>
            </w:r>
          </w:p>
        </w:tc>
        <w:tc>
          <w:tcPr>
            <w:tcW w:w="2460" w:type="dxa"/>
            <w:vAlign w:val="bottom"/>
            <w:gridSpan w:val="3"/>
          </w:tcPr>
          <w:p>
            <w:pPr>
              <w:spacing w:after="0"/>
              <w:rPr>
                <w:sz w:val="20"/>
                <w:szCs w:val="20"/>
                <w:color w:val="auto"/>
              </w:rPr>
            </w:pPr>
            <w:r>
              <w:rPr>
                <w:rFonts w:ascii="Arial" w:cs="Arial" w:eastAsia="Arial" w:hAnsi="Arial"/>
                <w:sz w:val="22"/>
                <w:szCs w:val="22"/>
                <w:color w:val="auto"/>
              </w:rPr>
              <w:t>Mentor Partners, L.P.</w:t>
            </w:r>
          </w:p>
        </w:tc>
      </w:tr>
      <w:tr>
        <w:trPr>
          <w:trHeight w:val="243"/>
        </w:trPr>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line="243" w:lineRule="exact"/>
              <w:rPr>
                <w:sz w:val="20"/>
                <w:szCs w:val="20"/>
                <w:color w:val="auto"/>
              </w:rPr>
            </w:pPr>
            <w:r>
              <w:rPr>
                <w:rFonts w:ascii="Arial" w:cs="Arial" w:eastAsia="Arial" w:hAnsi="Arial"/>
                <w:sz w:val="22"/>
                <w:szCs w:val="22"/>
                <w:color w:val="auto"/>
                <w:w w:val="87"/>
              </w:rPr>
              <w:t>500</w:t>
            </w:r>
          </w:p>
        </w:tc>
        <w:tc>
          <w:tcPr>
            <w:tcW w:w="212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Park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James S.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Thomas J.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Julian C. Baker</w:t>
            </w:r>
          </w:p>
        </w:tc>
        <w:tc>
          <w:tcPr>
            <w:tcW w:w="340" w:type="dxa"/>
            <w:vAlign w:val="bottom"/>
          </w:tcPr>
          <w:p>
            <w:pPr>
              <w:spacing w:after="0"/>
              <w:rPr>
                <w:sz w:val="20"/>
                <w:szCs w:val="20"/>
                <w:color w:val="auto"/>
              </w:rPr>
            </w:pPr>
            <w:r>
              <w:rPr>
                <w:rFonts w:ascii="Arial" w:cs="Arial" w:eastAsia="Arial" w:hAnsi="Arial"/>
                <w:sz w:val="22"/>
                <w:szCs w:val="22"/>
                <w:color w:val="auto"/>
                <w:w w:val="87"/>
              </w:rPr>
              <w:t>655</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Felix J. Baker</w:t>
            </w:r>
          </w:p>
        </w:tc>
        <w:tc>
          <w:tcPr>
            <w:tcW w:w="340" w:type="dxa"/>
            <w:vAlign w:val="bottom"/>
          </w:tcPr>
          <w:p>
            <w:pPr>
              <w:spacing w:after="0"/>
              <w:rPr>
                <w:sz w:val="20"/>
                <w:szCs w:val="20"/>
                <w:color w:val="auto"/>
              </w:rPr>
            </w:pPr>
            <w:r>
              <w:rPr>
                <w:rFonts w:ascii="Arial" w:cs="Arial" w:eastAsia="Arial" w:hAnsi="Arial"/>
                <w:sz w:val="22"/>
                <w:szCs w:val="22"/>
                <w:color w:val="auto"/>
                <w:w w:val="87"/>
              </w:rPr>
              <w:t>655</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color w:val="auto"/>
        </w:rPr>
        <w:t>Citizenship:</w:t>
      </w:r>
    </w:p>
    <w:p>
      <w:pPr>
        <w:sectPr>
          <w:pgSz w:w="11900" w:h="16838" w:orient="portrait"/>
          <w:cols w:equalWidth="0" w:num="1">
            <w:col w:w="11420"/>
          </w:cols>
          <w:pgMar w:left="240" w:top="11" w:right="239" w:bottom="0" w:gutter="0" w:footer="0" w:header="0"/>
        </w:sectPr>
      </w:pPr>
    </w:p>
    <w:bookmarkStart w:id="5" w:name="page6"/>
    <w:bookmarkEnd w:id="5"/>
    <w:p>
      <w:pPr>
        <w:ind w:right="420" w:firstLine="864"/>
        <w:spacing w:after="0" w:line="251" w:lineRule="auto"/>
        <w:rPr>
          <w:sz w:val="20"/>
          <w:szCs w:val="20"/>
          <w:color w:val="auto"/>
        </w:rPr>
      </w:pPr>
      <w:r>
        <w:rPr>
          <w:rFonts w:ascii="Arial" w:cs="Arial" w:eastAsia="Arial" w:hAnsi="Arial"/>
          <w:sz w:val="22"/>
          <w:szCs w:val="22"/>
          <w:color w:val="auto"/>
        </w:rPr>
        <w:t>Each of Andrew H. Tisch, Daniel R. Tisch, James S. Tisch, Thomas J. Tisch, Julian C. Baker and Felix J. Baker is a United States citizen.</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color w:val="auto"/>
        </w:rPr>
        <w:t>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par value $0.001 par value (the “Common Stock”)</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color w:val="auto"/>
        </w:rPr>
        <w:t>CUSIP Number: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75886F 10 7</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 xml:space="preserve">If this statement is filed pursuant to §§240.13d-1(b) or (c), check whether the person filing is a: </w:t>
      </w:r>
      <w:r>
        <w:rPr>
          <w:rFonts w:ascii="Arial" w:cs="Arial" w:eastAsia="Arial" w:hAnsi="Arial"/>
          <w:sz w:val="19"/>
          <w:szCs w:val="19"/>
          <w:color w:val="auto"/>
        </w:rPr>
        <w:t>N/A</w:t>
      </w:r>
    </w:p>
    <w:p>
      <w:pPr>
        <w:spacing w:after="0" w:line="239" w:lineRule="exact"/>
        <w:rPr>
          <w:sz w:val="20"/>
          <w:szCs w:val="20"/>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67" w:lineRule="exact"/>
        <w:rPr>
          <w:rFonts w:ascii="Arial" w:cs="Arial" w:eastAsia="Arial" w:hAnsi="Arial"/>
          <w:sz w:val="19"/>
          <w:szCs w:val="19"/>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260" w:hanging="1143"/>
        <w:spacing w:after="0" w:line="251" w:lineRule="auto"/>
        <w:tabs>
          <w:tab w:leader="none" w:pos="127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Page 9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Because of certain business and family relationships among the Reporting Persons, they are filing as if they constitute a group solely for informational purposes. By signing this statement, each Reporting Person agrees that this Statement is filed on his behalf. The filing of this statement is not an admission by any Reporting Person that such Reporting Person and any other Reporting Person or Reporting Persons constitute a “group” for purposes of Section 13(d)(3) of the Securities Exchange Act of 1934, as amended, or Rule 13d-5 thereunder. Each Reporting Person disclaims beneficial ownership of any shares of Common Stock owned by any other Reporting Person, except to the extent that beneficial ownership is expressly reported herein.</w:t>
      </w:r>
    </w:p>
    <w:p>
      <w:pPr>
        <w:spacing w:after="0" w:line="151" w:lineRule="exact"/>
        <w:rPr>
          <w:sz w:val="20"/>
          <w:szCs w:val="20"/>
          <w:color w:val="auto"/>
        </w:rPr>
      </w:pPr>
    </w:p>
    <w:p>
      <w:pPr>
        <w:ind w:right="180" w:firstLine="864"/>
        <w:spacing w:after="0" w:line="282" w:lineRule="auto"/>
        <w:rPr>
          <w:sz w:val="20"/>
          <w:szCs w:val="20"/>
          <w:color w:val="auto"/>
        </w:rPr>
      </w:pPr>
      <w:r>
        <w:rPr>
          <w:rFonts w:ascii="Arial" w:cs="Arial" w:eastAsia="Arial" w:hAnsi="Arial"/>
          <w:sz w:val="19"/>
          <w:szCs w:val="19"/>
          <w:color w:val="auto"/>
        </w:rPr>
        <w:t>Set forth in the table below is the aggregate number of shares of Common Stock, including shares of Common Stock issuable upon conversion of 5.50% Convertible Senior Subordinated Notes due 2008, owned as of the date hereof by each of the following persons and entities, together with the percentage of the outstanding shares of Common Stock owned by each such person or entity assuming conversion by such person or entity but not by any other person or entity of the Convertible Senior Subordinated Notes owned by such person or entity, and by all of such persons and entities as a group.</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8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2540" w:type="dxa"/>
            <w:vAlign w:val="bottom"/>
          </w:tcPr>
          <w:p>
            <w:pPr>
              <w:jc w:val="center"/>
              <w:ind w:left="1032"/>
              <w:spacing w:after="0"/>
              <w:rPr>
                <w:sz w:val="20"/>
                <w:szCs w:val="20"/>
                <w:color w:val="auto"/>
              </w:rPr>
            </w:pPr>
            <w:r>
              <w:rPr>
                <w:rFonts w:ascii="Arial" w:cs="Arial" w:eastAsia="Arial" w:hAnsi="Arial"/>
                <w:sz w:val="22"/>
                <w:szCs w:val="22"/>
                <w:color w:val="auto"/>
                <w:w w:val="86"/>
              </w:rPr>
              <w:t>Percent of Class</w:t>
            </w:r>
          </w:p>
        </w:tc>
      </w:tr>
      <w:tr>
        <w:trPr>
          <w:trHeight w:val="275"/>
        </w:trPr>
        <w:tc>
          <w:tcPr>
            <w:tcW w:w="3880" w:type="dxa"/>
            <w:vAlign w:val="bottom"/>
          </w:tcPr>
          <w:p>
            <w:pPr>
              <w:ind w:left="1700"/>
              <w:spacing w:after="0"/>
              <w:rPr>
                <w:sz w:val="20"/>
                <w:szCs w:val="20"/>
                <w:color w:val="auto"/>
              </w:rPr>
            </w:pPr>
            <w:r>
              <w:rPr>
                <w:rFonts w:ascii="Arial" w:cs="Arial" w:eastAsia="Arial" w:hAnsi="Arial"/>
                <w:sz w:val="22"/>
                <w:szCs w:val="22"/>
                <w:color w:val="auto"/>
              </w:rPr>
              <w:t>Name</w:t>
            </w:r>
          </w:p>
        </w:tc>
        <w:tc>
          <w:tcPr>
            <w:tcW w:w="3820" w:type="dxa"/>
            <w:vAlign w:val="bottom"/>
          </w:tcPr>
          <w:p>
            <w:pPr>
              <w:jc w:val="right"/>
              <w:ind w:right="1032"/>
              <w:spacing w:after="0"/>
              <w:rPr>
                <w:sz w:val="20"/>
                <w:szCs w:val="20"/>
                <w:color w:val="auto"/>
              </w:rPr>
            </w:pPr>
            <w:r>
              <w:rPr>
                <w:rFonts w:ascii="Arial" w:cs="Arial" w:eastAsia="Arial" w:hAnsi="Arial"/>
                <w:sz w:val="22"/>
                <w:szCs w:val="22"/>
                <w:color w:val="auto"/>
              </w:rPr>
              <w:t>Number of Shares</w:t>
            </w:r>
          </w:p>
        </w:tc>
        <w:tc>
          <w:tcPr>
            <w:tcW w:w="2540" w:type="dxa"/>
            <w:vAlign w:val="bottom"/>
          </w:tcPr>
          <w:p>
            <w:pPr>
              <w:jc w:val="center"/>
              <w:ind w:left="992"/>
              <w:spacing w:after="0"/>
              <w:rPr>
                <w:sz w:val="20"/>
                <w:szCs w:val="20"/>
                <w:color w:val="auto"/>
              </w:rPr>
            </w:pPr>
            <w:r>
              <w:rPr>
                <w:rFonts w:ascii="Arial" w:cs="Arial" w:eastAsia="Arial" w:hAnsi="Arial"/>
                <w:sz w:val="22"/>
                <w:szCs w:val="22"/>
                <w:color w:val="auto"/>
                <w:w w:val="89"/>
              </w:rPr>
              <w:t>Outstanding (1)</w:t>
            </w:r>
          </w:p>
        </w:tc>
      </w:tr>
      <w:tr>
        <w:trPr>
          <w:trHeight w:val="455"/>
        </w:trPr>
        <w:tc>
          <w:tcPr>
            <w:tcW w:w="3880" w:type="dxa"/>
            <w:vAlign w:val="bottom"/>
          </w:tcPr>
          <w:p>
            <w:pPr>
              <w:spacing w:after="0"/>
              <w:rPr>
                <w:sz w:val="20"/>
                <w:szCs w:val="20"/>
                <w:color w:val="auto"/>
              </w:rPr>
            </w:pPr>
            <w:r>
              <w:rPr>
                <w:rFonts w:ascii="Arial" w:cs="Arial" w:eastAsia="Arial" w:hAnsi="Arial"/>
                <w:sz w:val="22"/>
                <w:szCs w:val="22"/>
                <w:color w:val="auto"/>
              </w:rPr>
              <w:t>Four Partners</w:t>
            </w:r>
          </w:p>
        </w:tc>
        <w:tc>
          <w:tcPr>
            <w:tcW w:w="3820" w:type="dxa"/>
            <w:vAlign w:val="bottom"/>
          </w:tcPr>
          <w:p>
            <w:pPr>
              <w:jc w:val="right"/>
              <w:ind w:right="1372"/>
              <w:spacing w:after="0"/>
              <w:rPr>
                <w:sz w:val="20"/>
                <w:szCs w:val="20"/>
                <w:color w:val="auto"/>
              </w:rPr>
            </w:pPr>
            <w:r>
              <w:rPr>
                <w:rFonts w:ascii="Arial" w:cs="Arial" w:eastAsia="Arial" w:hAnsi="Arial"/>
                <w:sz w:val="22"/>
                <w:szCs w:val="22"/>
                <w:color w:val="auto"/>
              </w:rPr>
              <w:t>1,500,000</w:t>
            </w:r>
          </w:p>
        </w:tc>
        <w:tc>
          <w:tcPr>
            <w:tcW w:w="2540" w:type="dxa"/>
            <w:vAlign w:val="bottom"/>
          </w:tcPr>
          <w:p>
            <w:pPr>
              <w:jc w:val="center"/>
              <w:ind w:left="1032"/>
              <w:spacing w:after="0"/>
              <w:rPr>
                <w:sz w:val="20"/>
                <w:szCs w:val="20"/>
                <w:color w:val="auto"/>
              </w:rPr>
            </w:pPr>
            <w:r>
              <w:rPr>
                <w:rFonts w:ascii="Arial" w:cs="Arial" w:eastAsia="Arial" w:hAnsi="Arial"/>
                <w:sz w:val="22"/>
                <w:szCs w:val="22"/>
                <w:color w:val="auto"/>
                <w:w w:val="87"/>
              </w:rPr>
              <w:t>3.6%</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Andrew H. Tisch (2)</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165,289</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Daniel R. Tisch (2)</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165,289</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James S. Tisch (2)</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165,289</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Thomas J. Tisch (2)</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165,289</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Baker/Tisch Investments, L.P.</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301,673</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0.7%</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Baker Bros. Investments, L.P.</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186,523</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Baker Bros. Investments II, L.P.</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146,623</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0.4%</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Baker Biotech Fund I, L.P.</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1,023,620</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2.5%</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Baker Biotech Fund II, L.P.</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1,649,996</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3.9%</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FBB Associates</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26,500</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0.1%</w:t>
            </w:r>
          </w:p>
        </w:tc>
      </w:tr>
      <w:tr>
        <w:trPr>
          <w:trHeight w:val="243"/>
        </w:trPr>
        <w:tc>
          <w:tcPr>
            <w:tcW w:w="3880" w:type="dxa"/>
            <w:vAlign w:val="bottom"/>
          </w:tcPr>
          <w:p>
            <w:pPr>
              <w:spacing w:after="0" w:line="243" w:lineRule="exact"/>
              <w:rPr>
                <w:sz w:val="20"/>
                <w:szCs w:val="20"/>
                <w:color w:val="auto"/>
              </w:rPr>
            </w:pPr>
            <w:r>
              <w:rPr>
                <w:rFonts w:ascii="Arial" w:cs="Arial" w:eastAsia="Arial" w:hAnsi="Arial"/>
                <w:sz w:val="22"/>
                <w:szCs w:val="22"/>
                <w:color w:val="auto"/>
              </w:rPr>
              <w:t>Julian C. Baker</w:t>
            </w:r>
          </w:p>
        </w:tc>
        <w:tc>
          <w:tcPr>
            <w:tcW w:w="3820" w:type="dxa"/>
            <w:vAlign w:val="bottom"/>
          </w:tcPr>
          <w:p>
            <w:pPr>
              <w:jc w:val="right"/>
              <w:ind w:right="1372"/>
              <w:spacing w:after="0" w:line="243" w:lineRule="exact"/>
              <w:rPr>
                <w:sz w:val="20"/>
                <w:szCs w:val="20"/>
                <w:color w:val="auto"/>
              </w:rPr>
            </w:pPr>
            <w:r>
              <w:rPr>
                <w:rFonts w:ascii="Arial" w:cs="Arial" w:eastAsia="Arial" w:hAnsi="Arial"/>
                <w:sz w:val="22"/>
                <w:szCs w:val="22"/>
                <w:color w:val="auto"/>
              </w:rPr>
              <w:t>3,400</w:t>
            </w:r>
          </w:p>
        </w:tc>
        <w:tc>
          <w:tcPr>
            <w:tcW w:w="2540" w:type="dxa"/>
            <w:vAlign w:val="bottom"/>
          </w:tcPr>
          <w:p>
            <w:pPr>
              <w:jc w:val="center"/>
              <w:ind w:left="1032"/>
              <w:spacing w:after="0" w:line="243" w:lineRule="exact"/>
              <w:rPr>
                <w:sz w:val="20"/>
                <w:szCs w:val="20"/>
                <w:color w:val="auto"/>
              </w:rPr>
            </w:pPr>
            <w:r>
              <w:rPr>
                <w:rFonts w:ascii="Arial" w:cs="Arial" w:eastAsia="Arial" w:hAnsi="Arial"/>
                <w:sz w:val="22"/>
                <w:szCs w:val="22"/>
                <w:color w:val="auto"/>
                <w:w w:val="87"/>
              </w:rPr>
              <w:t>0.0%</w:t>
            </w:r>
          </w:p>
        </w:tc>
      </w:tr>
      <w:tr>
        <w:trPr>
          <w:trHeight w:val="275"/>
        </w:trPr>
        <w:tc>
          <w:tcPr>
            <w:tcW w:w="3880" w:type="dxa"/>
            <w:vAlign w:val="bottom"/>
          </w:tcPr>
          <w:p>
            <w:pPr>
              <w:spacing w:after="0"/>
              <w:rPr>
                <w:sz w:val="20"/>
                <w:szCs w:val="20"/>
                <w:color w:val="auto"/>
              </w:rPr>
            </w:pPr>
            <w:r>
              <w:rPr>
                <w:rFonts w:ascii="Arial" w:cs="Arial" w:eastAsia="Arial" w:hAnsi="Arial"/>
                <w:sz w:val="22"/>
                <w:szCs w:val="22"/>
                <w:color w:val="auto"/>
              </w:rPr>
              <w:t>Felix J. Baker</w:t>
            </w:r>
          </w:p>
        </w:tc>
        <w:tc>
          <w:tcPr>
            <w:tcW w:w="3820" w:type="dxa"/>
            <w:vAlign w:val="bottom"/>
          </w:tcPr>
          <w:p>
            <w:pPr>
              <w:jc w:val="right"/>
              <w:ind w:right="1412"/>
              <w:spacing w:after="0"/>
              <w:rPr>
                <w:sz w:val="20"/>
                <w:szCs w:val="20"/>
                <w:color w:val="auto"/>
              </w:rPr>
            </w:pPr>
            <w:r>
              <w:rPr>
                <w:rFonts w:ascii="Arial" w:cs="Arial" w:eastAsia="Arial" w:hAnsi="Arial"/>
                <w:sz w:val="22"/>
                <w:szCs w:val="22"/>
                <w:color w:val="auto"/>
              </w:rPr>
              <w:t>250</w:t>
            </w:r>
          </w:p>
        </w:tc>
        <w:tc>
          <w:tcPr>
            <w:tcW w:w="2540" w:type="dxa"/>
            <w:vAlign w:val="bottom"/>
          </w:tcPr>
          <w:p>
            <w:pPr>
              <w:jc w:val="center"/>
              <w:ind w:left="1032"/>
              <w:spacing w:after="0"/>
              <w:rPr>
                <w:sz w:val="20"/>
                <w:szCs w:val="20"/>
                <w:color w:val="auto"/>
              </w:rPr>
            </w:pPr>
            <w:r>
              <w:rPr>
                <w:rFonts w:ascii="Arial" w:cs="Arial" w:eastAsia="Arial" w:hAnsi="Arial"/>
                <w:sz w:val="22"/>
                <w:szCs w:val="22"/>
                <w:color w:val="auto"/>
                <w:w w:val="87"/>
              </w:rPr>
              <w:t>0.0%</w:t>
            </w:r>
          </w:p>
        </w:tc>
      </w:tr>
    </w:tbl>
    <w:p>
      <w:pPr>
        <w:sectPr>
          <w:pgSz w:w="11900" w:h="16838" w:orient="portrait"/>
          <w:cols w:equalWidth="0" w:num="1">
            <w:col w:w="11300"/>
          </w:cols>
          <w:pgMar w:left="240" w:top="118" w:right="359" w:bottom="0" w:gutter="0" w:footer="0" w:header="0"/>
        </w:sectPr>
      </w:pPr>
    </w:p>
    <w:bookmarkStart w:id="6" w:name="page7"/>
    <w:bookmarkEnd w:id="6"/>
    <w:p>
      <w:pPr>
        <w:spacing w:after="0" w:line="38" w:lineRule="exact"/>
        <w:rPr>
          <w:sz w:val="20"/>
          <w:szCs w:val="20"/>
          <w:color w:val="auto"/>
        </w:rPr>
      </w:pPr>
    </w:p>
    <w:tbl>
      <w:tblPr>
        <w:tblLayout w:type="fixed"/>
        <w:tblInd w:w="440" w:type="dxa"/>
        <w:tblCellMar>
          <w:top w:w="0" w:type="dxa"/>
          <w:left w:w="0" w:type="dxa"/>
          <w:bottom w:w="0" w:type="dxa"/>
          <w:right w:w="0" w:type="dxa"/>
        </w:tblCellMar>
      </w:tblPr>
      <w:tr>
        <w:trPr>
          <w:trHeight w:val="275"/>
        </w:trPr>
        <w:tc>
          <w:tcPr>
            <w:tcW w:w="2680" w:type="dxa"/>
            <w:vAlign w:val="bottom"/>
          </w:tcPr>
          <w:p>
            <w:pPr>
              <w:spacing w:after="0"/>
              <w:rPr>
                <w:sz w:val="20"/>
                <w:szCs w:val="20"/>
                <w:color w:val="auto"/>
              </w:rPr>
            </w:pPr>
            <w:r>
              <w:rPr>
                <w:rFonts w:ascii="Arial" w:cs="Arial" w:eastAsia="Arial" w:hAnsi="Arial"/>
                <w:sz w:val="22"/>
                <w:szCs w:val="22"/>
                <w:color w:val="auto"/>
              </w:rPr>
              <w:t>Total</w:t>
            </w:r>
          </w:p>
        </w:tc>
        <w:tc>
          <w:tcPr>
            <w:tcW w:w="4620" w:type="dxa"/>
            <w:vAlign w:val="bottom"/>
          </w:tcPr>
          <w:p>
            <w:pPr>
              <w:jc w:val="right"/>
              <w:ind w:right="1412"/>
              <w:spacing w:after="0"/>
              <w:rPr>
                <w:sz w:val="20"/>
                <w:szCs w:val="20"/>
                <w:color w:val="auto"/>
              </w:rPr>
            </w:pPr>
            <w:r>
              <w:rPr>
                <w:rFonts w:ascii="Arial" w:cs="Arial" w:eastAsia="Arial" w:hAnsi="Arial"/>
                <w:sz w:val="22"/>
                <w:szCs w:val="22"/>
                <w:color w:val="auto"/>
              </w:rPr>
              <w:t>5,499,741</w:t>
            </w:r>
          </w:p>
        </w:tc>
        <w:tc>
          <w:tcPr>
            <w:tcW w:w="2080" w:type="dxa"/>
            <w:vAlign w:val="bottom"/>
          </w:tcPr>
          <w:p>
            <w:pPr>
              <w:jc w:val="right"/>
              <w:spacing w:after="0"/>
              <w:rPr>
                <w:sz w:val="20"/>
                <w:szCs w:val="20"/>
                <w:color w:val="auto"/>
              </w:rPr>
            </w:pPr>
            <w:r>
              <w:rPr>
                <w:rFonts w:ascii="Arial" w:cs="Arial" w:eastAsia="Arial" w:hAnsi="Arial"/>
                <w:sz w:val="22"/>
                <w:szCs w:val="22"/>
                <w:color w:val="auto"/>
              </w:rPr>
              <w:t>12.8%</w:t>
            </w:r>
          </w:p>
        </w:tc>
      </w:tr>
    </w:tbl>
    <w:p>
      <w:pPr>
        <w:spacing w:after="0" w:line="212" w:lineRule="exact"/>
        <w:rPr>
          <w:sz w:val="20"/>
          <w:szCs w:val="20"/>
          <w:color w:val="auto"/>
        </w:rPr>
      </w:pPr>
    </w:p>
    <w:p>
      <w:pPr>
        <w:ind w:left="580" w:right="320" w:hanging="572"/>
        <w:spacing w:after="0"/>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percentages set forth in the table above are based on 41,535,710 shares of Common Stock outstanding at October 31, 2002, as reported in the Form 10-Q of the Issuer for the quarter ended September 30, 2002, and on a conversion price of $30.25 for the Convertible Senior Subordinated Notes.</w:t>
      </w:r>
    </w:p>
    <w:p>
      <w:pPr>
        <w:spacing w:after="0" w:line="200" w:lineRule="exact"/>
        <w:rPr>
          <w:rFonts w:ascii="Arial" w:cs="Arial" w:eastAsia="Arial" w:hAnsi="Arial"/>
          <w:sz w:val="22"/>
          <w:szCs w:val="22"/>
          <w:color w:val="auto"/>
        </w:rPr>
      </w:pPr>
    </w:p>
    <w:p>
      <w:pPr>
        <w:spacing w:after="0" w:line="256" w:lineRule="exact"/>
        <w:rPr>
          <w:rFonts w:ascii="Arial" w:cs="Arial" w:eastAsia="Arial" w:hAnsi="Arial"/>
          <w:sz w:val="22"/>
          <w:szCs w:val="22"/>
          <w:color w:val="auto"/>
        </w:rPr>
      </w:pPr>
    </w:p>
    <w:p>
      <w:pPr>
        <w:ind w:left="580" w:right="580" w:hanging="572"/>
        <w:spacing w:after="0" w:line="251" w:lineRule="auto"/>
        <w:tabs>
          <w:tab w:leader="none" w:pos="58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Includes shares held by a trust in which the Reporting Person is the trustee or beneficiary and has voting or investment control over the shares of Common Stock held by such trust.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 of 13 pages</w:t>
      </w: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21"/>
          <w:szCs w:val="21"/>
          <w:color w:val="auto"/>
        </w:rPr>
        <w:t>The following persons may be regarded as beneficial owners of the shares listed above for the reasons listed below:</w:t>
      </w:r>
    </w:p>
    <w:p>
      <w:pPr>
        <w:spacing w:after="0" w:line="218" w:lineRule="exact"/>
        <w:rPr>
          <w:sz w:val="20"/>
          <w:szCs w:val="20"/>
          <w:color w:val="auto"/>
        </w:rPr>
      </w:pPr>
    </w:p>
    <w:p>
      <w:pPr>
        <w:ind w:left="1840" w:hanging="576"/>
        <w:spacing w:after="0" w:line="287" w:lineRule="auto"/>
        <w:tabs>
          <w:tab w:leader="none" w:pos="1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virtue of their status as managing trustees of the trusts which are the general partners of Four Partners, a New York general partnership, Andrew H. Tisch, Daniel R. Tisch, James S. Tisch and Thomas J. Tisch may be deemed to have shared beneficial ownership of securities owned by Four Partners and shared power to vote or direct the vote of and to dispose or direct the disposition of such securities.</w:t>
      </w:r>
    </w:p>
    <w:p>
      <w:pPr>
        <w:spacing w:after="0" w:line="170" w:lineRule="exact"/>
        <w:rPr>
          <w:rFonts w:ascii="Arial" w:cs="Arial" w:eastAsia="Arial" w:hAnsi="Arial"/>
          <w:sz w:val="19"/>
          <w:szCs w:val="19"/>
          <w:color w:val="auto"/>
        </w:rPr>
      </w:pPr>
    </w:p>
    <w:p>
      <w:pPr>
        <w:ind w:left="1840" w:right="20" w:hanging="576"/>
        <w:spacing w:after="0"/>
        <w:tabs>
          <w:tab w:leader="none" w:pos="1840" w:val="left"/>
        </w:tabs>
        <w:numPr>
          <w:ilvl w:val="0"/>
          <w:numId w:val="16"/>
        </w:numPr>
        <w:rPr>
          <w:rFonts w:ascii="Arial" w:cs="Arial" w:eastAsia="Arial" w:hAnsi="Arial"/>
          <w:sz w:val="22"/>
          <w:szCs w:val="22"/>
          <w:color w:val="auto"/>
        </w:rPr>
      </w:pPr>
      <w:r>
        <w:rPr>
          <w:rFonts w:ascii="Arial" w:cs="Arial" w:eastAsia="Arial" w:hAnsi="Arial"/>
          <w:sz w:val="22"/>
          <w:szCs w:val="22"/>
          <w:color w:val="auto"/>
        </w:rPr>
        <w:t>By virtue of his status as manager of Four Partners, Thomas J. Tisch may be deemed to have power to vote or direct the vote of securities owned by Four Partners and power to dispose or direct the disposition of securities owned by Four Partners.</w:t>
      </w:r>
    </w:p>
    <w:p>
      <w:pPr>
        <w:spacing w:after="0" w:line="213" w:lineRule="exact"/>
        <w:rPr>
          <w:rFonts w:ascii="Arial" w:cs="Arial" w:eastAsia="Arial" w:hAnsi="Arial"/>
          <w:sz w:val="22"/>
          <w:szCs w:val="22"/>
          <w:color w:val="auto"/>
        </w:rPr>
      </w:pPr>
    </w:p>
    <w:p>
      <w:pPr>
        <w:ind w:left="1840" w:right="80" w:hanging="576"/>
        <w:spacing w:after="0" w:line="275" w:lineRule="auto"/>
        <w:tabs>
          <w:tab w:leader="none" w:pos="1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Julian C. Baker and Felix J. Baker, by virtue of their ownership of entities that have the power to control the investment decisions of Baker/Tisch Investments, L.P., Baker Bros. Investments, L.P., Baker Bros. Investments II, L.P., Baker Biotech Fund I, L.P., and Baker Biotech Fund II, L.P., may each be deemed to be beneficial owners of securities owned by such entities and may each be deemed to have shared power to vote or direct the vote and to dispose or direct the disposition of such securities. Julian C. Baker and Felix J. Baker are also the sole partners of FBB Associates, a general partnership, and as such may each be deemed to be beneficial owners of securities owned by FBB Associates and to have shared power to vote or direct the vote and to dispose or direct the disposition of such securities.</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right="740" w:firstLine="864"/>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 N/A</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1160" w:right="2360" w:hanging="1147"/>
        <w:spacing w:after="0" w:line="280" w:lineRule="auto"/>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Page 11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2" w:lineRule="exact"/>
        <w:rPr>
          <w:sz w:val="20"/>
          <w:szCs w:val="20"/>
          <w:color w:val="auto"/>
        </w:rPr>
      </w:pPr>
    </w:p>
    <w:p>
      <w:pPr>
        <w:ind w:right="60" w:firstLine="864"/>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80" w:firstLine="864"/>
        <w:spacing w:after="0" w:line="251" w:lineRule="auto"/>
        <w:rPr>
          <w:sz w:val="20"/>
          <w:szCs w:val="20"/>
          <w:color w:val="auto"/>
        </w:rPr>
      </w:pPr>
      <w:r>
        <w:rPr>
          <w:rFonts w:ascii="Arial" w:cs="Arial" w:eastAsia="Arial" w:hAnsi="Arial"/>
          <w:sz w:val="22"/>
          <w:szCs w:val="22"/>
          <w:color w:val="auto"/>
        </w:rPr>
        <w:t>After reasonable inquiry and to the best of my knowledge and belief, I hereby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February 12, 2003</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ectPr>
          <w:pgSz w:w="11900" w:h="16877" w:orient="portrait"/>
          <w:cols w:equalWidth="0" w:num="1">
            <w:col w:w="11420"/>
          </w:cols>
          <w:pgMar w:left="240" w:top="118" w:right="239" w:bottom="0" w:gutter="0" w:footer="0" w:header="0"/>
        </w:sectPr>
      </w:pPr>
    </w:p>
    <w:bookmarkStart w:id="7" w:name="page8"/>
    <w:bookmarkEnd w:id="7"/>
    <w:p>
      <w:pPr>
        <w:ind w:left="59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3947795</wp:posOffset>
            </wp:positionH>
            <wp:positionV relativeFrom="page">
              <wp:posOffset>88900</wp:posOffset>
            </wp:positionV>
            <wp:extent cx="3087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7370" cy="8890"/>
                    </a:xfrm>
                    <a:prstGeom prst="rect">
                      <a:avLst/>
                    </a:prstGeom>
                    <a:noFill/>
                  </pic:spPr>
                </pic:pic>
              </a:graphicData>
            </a:graphic>
          </wp:anchor>
        </w:drawing>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Page 12 of 13 pages</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color w:val="auto"/>
        </w:rPr>
        <w:t>In accordance with Rule 13d-1(k)(1) under the Securities Exchange Act of 1934, as amended, the undersigned hereby agree that this Statement on Schedule 13G relating to the Common Stock, $0.001 par value per share, of Regeneron Pharmaceuticals, Inc., is being filed with the Securities and Exchange Commission on behalf of each of them.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February 12, 2003</w:t>
      </w: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ectPr>
          <w:pgSz w:w="11900" w:h="16838" w:orient="portrait"/>
          <w:cols w:equalWidth="0" w:num="1">
            <w:col w:w="11040"/>
          </w:cols>
          <w:pgMar w:left="240" w:top="361" w:right="61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Page 13 of 13 pages</w:t>
      </w:r>
    </w:p>
    <w:sectPr>
      <w:pgSz w:w="11900" w:h="16838" w:orient="portrait"/>
      <w:cols w:equalWidth="0" w:num="1">
        <w:col w:w="9019"/>
      </w:cols>
      <w:pgMar w:left="14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4"/>
      <w:numFmt w:val="bullet"/>
      <w:start w:val="1"/>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4"/>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1"/>
      <w:numFmt w:val="bullet"/>
      <w:start w:val="1"/>
    </w:lvl>
  </w:abstractNum>
  <w:abstractNum w:abstractNumId="12">
    <w:nsid w:val="7FDCC233"/>
    <w:multiLevelType w:val="hybridMultilevel"/>
    <w:lvl w:ilvl="0">
      <w:lvlJc w:val="left"/>
      <w:lvlText w:val="4"/>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2019-12-19T23:51:25Z</dcterms:created>
  <dcterms:modified xsi:type="dcterms:W3CDTF">2019-12-19T23:51:25Z</dcterms:modified>
</cp:coreProperties>
</file>