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SCHEDULE 14A</w:t>
      </w:r>
    </w:p>
    <w:p>
      <w:pPr>
        <w:jc w:val="center"/>
        <w:ind w:right="-119"/>
        <w:spacing w:after="0" w:line="234" w:lineRule="auto"/>
        <w:rPr>
          <w:sz w:val="20"/>
          <w:szCs w:val="20"/>
          <w:color w:val="auto"/>
        </w:rPr>
      </w:pPr>
      <w:r>
        <w:rPr>
          <w:rFonts w:ascii="Arial" w:cs="Arial" w:eastAsia="Arial" w:hAnsi="Arial"/>
          <w:sz w:val="18"/>
          <w:szCs w:val="18"/>
          <w:color w:val="auto"/>
        </w:rPr>
        <w:t>(Rule 14a-101)</w:t>
      </w:r>
    </w:p>
    <w:p>
      <w:pPr>
        <w:jc w:val="center"/>
        <w:ind w:right="-11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w:t>
      </w:r>
    </w:p>
    <w:p>
      <w:pPr>
        <w:jc w:val="center"/>
        <w:ind w:right="-119"/>
        <w:spacing w:after="0"/>
        <w:rPr>
          <w:sz w:val="20"/>
          <w:szCs w:val="20"/>
          <w:color w:val="auto"/>
        </w:rPr>
      </w:pPr>
      <w:r>
        <w:rPr>
          <w:rFonts w:ascii="Arial" w:cs="Arial" w:eastAsia="Arial" w:hAnsi="Arial"/>
          <w:sz w:val="18"/>
          <w:szCs w:val="18"/>
          <w:color w:val="auto"/>
        </w:rPr>
        <w:t>Securities Exchange Act of 1934 (Amendment No.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rPr>
          <w:sz w:val="20"/>
          <w:szCs w:val="20"/>
          <w:color w:val="auto"/>
        </w:rPr>
      </w:pPr>
      <w:r>
        <w:rPr>
          <w:rFonts w:ascii="Arial" w:cs="Arial" w:eastAsia="Arial" w:hAnsi="Arial"/>
          <w:sz w:val="18"/>
          <w:szCs w:val="18"/>
          <w:color w:val="auto"/>
        </w:rPr>
        <w:t>Filed by a Party other than the Registrant [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23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Rule 14a-12</w:t>
      </w:r>
    </w:p>
    <w:p>
      <w:pPr>
        <w:spacing w:after="0" w:line="239" w:lineRule="exact"/>
        <w:rPr>
          <w:sz w:val="24"/>
          <w:szCs w:val="24"/>
          <w:color w:val="auto"/>
        </w:rPr>
      </w:pPr>
    </w:p>
    <w:p>
      <w:pPr>
        <w:ind w:left="460" w:right="8140" w:hanging="452"/>
        <w:spacing w:after="0"/>
        <w:tabs>
          <w:tab w:leader="none" w:pos="151"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189"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198"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hanging="328"/>
        <w:spacing w:after="0" w:line="24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126365</wp:posOffset>
            </wp:positionV>
            <wp:extent cx="6720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-267335</wp:posOffset>
            </wp:positionV>
            <wp:extent cx="672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-661670</wp:posOffset>
            </wp:positionV>
            <wp:extent cx="6720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-1184910</wp:posOffset>
            </wp:positionV>
            <wp:extent cx="672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-1579245</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198" w:lineRule="exact"/>
        <w:rPr>
          <w:sz w:val="24"/>
          <w:szCs w:val="24"/>
          <w:color w:val="auto"/>
        </w:rPr>
      </w:pPr>
    </w:p>
    <w:p>
      <w:pPr>
        <w:ind w:left="340" w:right="140" w:hanging="332"/>
        <w:spacing w:after="0" w:line="246" w:lineRule="auto"/>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48895</wp:posOffset>
            </wp:positionV>
            <wp:extent cx="6720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-190500</wp:posOffset>
            </wp:positionV>
            <wp:extent cx="672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-430530</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-670560</wp:posOffset>
            </wp:positionV>
            <wp:extent cx="6720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242"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74879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40030"/>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 TO DEFINITIVE PROXY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SHAREHOLDERS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JUNE 11, 2021</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April 23, 2021,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definitive proxy statement on Schedule 14A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relating to Regeneron’s 2021 Annual Meeting of Shareholders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to be held on Friday, June 11, 2021, commencing at 10:30 a.m., Eastern Time. As previously disclosed, the board of directors of the Company has fixed the close of business on April 13, 2021 as the record date (the “</w:t>
      </w:r>
      <w:r>
        <w:rPr>
          <w:rFonts w:ascii="Arial" w:cs="Arial" w:eastAsia="Arial" w:hAnsi="Arial"/>
          <w:sz w:val="17"/>
          <w:szCs w:val="17"/>
          <w:u w:val="single" w:color="auto"/>
          <w:color w:val="auto"/>
        </w:rPr>
        <w:t>Record Date</w:t>
      </w:r>
      <w:r>
        <w:rPr>
          <w:rFonts w:ascii="Arial" w:cs="Arial" w:eastAsia="Arial" w:hAnsi="Arial"/>
          <w:sz w:val="17"/>
          <w:szCs w:val="17"/>
          <w:color w:val="auto"/>
        </w:rPr>
        <w:t>”) for determining shareholders entitled to notice of, and to vote at, the Annual Meeting and at any adjournment(s) or postponement(s) thereof.</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Proxy Statement, the Company inadvertently reported an incorrect number of shares of the Company’s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outstanding as of the Record Date. The correct number of shares of common stock outstanding as of the Record Date is 104,694,835 (not 104,674,240, as reported in the Proxy Statement). For the avoidance of doubt, the number of shares of the Company’s Class A stock, par value $0.001 per share, outstanding as of the Record Date (1,848,970) was reported correctly in the Proxy Statement and did not change.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providing this supplement (this “</w:t>
      </w:r>
      <w:r>
        <w:rPr>
          <w:rFonts w:ascii="Arial" w:cs="Arial" w:eastAsia="Arial" w:hAnsi="Arial"/>
          <w:sz w:val="18"/>
          <w:szCs w:val="18"/>
          <w:u w:val="single" w:color="auto"/>
          <w:color w:val="auto"/>
        </w:rPr>
        <w:t>Supplement</w:t>
      </w:r>
      <w:r>
        <w:rPr>
          <w:rFonts w:ascii="Arial" w:cs="Arial" w:eastAsia="Arial" w:hAnsi="Arial"/>
          <w:sz w:val="18"/>
          <w:szCs w:val="18"/>
          <w:color w:val="auto"/>
        </w:rPr>
        <w:t>”) solely to correct the number of shares of common stock outstanding as of the Record Date, which appears on pages 3 and 47 of the Proxy Statement. This Supplement does not change the proposals to be acted upon at the Annual Meeting, which are described in the Proxy Statement. Except as specifically supplemented by the information contained in this Supplement, the information set forth in the Proxy Statement continues to apply and should be considered in voting your shares. If you have already submitted your proxy, you do not need to take any action unless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00"/>
      </w:cols>
      <w:pgMar w:left="320" w:top="9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2021-05-03T15:45:39Z</dcterms:created>
  <dcterms:modified xsi:type="dcterms:W3CDTF">2021-05-03T15:45:39Z</dcterms:modified>
</cp:coreProperties>
</file>