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9"/>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13D</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(AMENDMENT NO. ___)*</w:t>
      </w:r>
    </w:p>
    <w:p>
      <w:pPr>
        <w:spacing w:after="0" w:line="175"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REGENERON PHARMACEUTICALS, INC.</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(Name of Issuer)</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COMMON STOCK, $.001 PAR VALUE</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(Title of Class of Securities)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00075886F1</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(CUSIP Number)</w:t>
      </w:r>
    </w:p>
    <w:p>
      <w:pPr>
        <w:sectPr>
          <w:pgSz w:w="11900" w:h="16838" w:orient="portrait"/>
          <w:cols w:equalWidth="0" w:num="1">
            <w:col w:w="10239"/>
          </w:cols>
          <w:pgMar w:left="220" w:top="564" w:right="1440" w:bottom="1440" w:gutter="0" w:footer="0" w:header="0"/>
        </w:sectPr>
      </w:pPr>
    </w:p>
    <w:p>
      <w:pPr>
        <w:spacing w:after="0" w:line="34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George A. Vandeman, Esq.</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General Counsel and Secretary</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Amgen Inc.</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Amgen Center</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1840 DeHavilland Drive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Michael W. Sturrock, Esq.</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Latham &amp; Watkins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633 West Fifth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Suite 4000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(213) 485-1234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90071</w:t>
      </w:r>
    </w:p>
    <w:p>
      <w:pPr>
        <w:spacing w:after="0" w:line="174" w:lineRule="exact"/>
        <w:rPr>
          <w:sz w:val="24"/>
          <w:szCs w:val="24"/>
          <w:color w:val="auto"/>
        </w:rPr>
      </w:pPr>
    </w:p>
    <w:p>
      <w:pPr>
        <w:sectPr>
          <w:pgSz w:w="11900" w:h="16838" w:orient="portrait"/>
          <w:cols w:equalWidth="0" w:num="3">
            <w:col w:w="3200" w:space="720"/>
            <w:col w:w="2160" w:space="0"/>
            <w:col w:w="4159"/>
          </w:cols>
          <w:pgMar w:left="220" w:top="564" w:right="1440" w:bottom="1440" w:gutter="0" w:footer="0" w:header="0"/>
          <w:type w:val="continuous"/>
        </w:sectPr>
      </w:pPr>
    </w:p>
    <w:p>
      <w:pPr>
        <w:ind w:left="440"/>
        <w:spacing w:after="0"/>
        <w:tabs>
          <w:tab w:leader="none" w:pos="2080" w:val="left"/>
        </w:tabs>
        <w:rPr>
          <w:sz w:val="20"/>
          <w:szCs w:val="20"/>
          <w:color w:val="auto"/>
        </w:rPr>
      </w:pPr>
      <w:r>
        <w:rPr>
          <w:rFonts w:ascii="Courier New" w:cs="Courier New" w:eastAsia="Courier New" w:hAnsi="Courier New"/>
          <w:sz w:val="14"/>
          <w:szCs w:val="14"/>
          <w:color w:val="auto"/>
        </w:rPr>
        <w:t>Thousand Oaks, CA</w:t>
        <w:tab/>
        <w:t>91320-1789</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(805) 447-1000</w:t>
      </w:r>
    </w:p>
    <w:p>
      <w:pPr>
        <w:sectPr>
          <w:pgSz w:w="11900" w:h="16838" w:orient="portrait"/>
          <w:cols w:equalWidth="0" w:num="1">
            <w:col w:w="10239"/>
          </w:cols>
          <w:pgMar w:left="220" w:top="564" w:right="1440" w:bottom="1440" w:gutter="0" w:footer="0" w:header="0"/>
          <w:type w:val="continuous"/>
        </w:sectPr>
      </w:pP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(Name, Address and Telephone Number of Person</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Authorized to Receive Notices and Communications)</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July 21, 1995</w:t>
      </w:r>
    </w:p>
    <w:p>
      <w:pPr>
        <w:spacing w:after="0" w:line="8"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(Date of Event which Requires Filing</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of this Statement)</w:t>
      </w:r>
    </w:p>
    <w:p>
      <w:pPr>
        <w:spacing w:after="0" w:line="175" w:lineRule="exact"/>
        <w:rPr>
          <w:sz w:val="24"/>
          <w:szCs w:val="24"/>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62" w:lineRule="exact"/>
        <w:rPr>
          <w:sz w:val="24"/>
          <w:szCs w:val="24"/>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Check the following box if a fee is being paid with the statement. /X/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65" w:lineRule="exact"/>
        <w:rPr>
          <w:sz w:val="24"/>
          <w:szCs w:val="24"/>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NOTE: Six copies of this statement, including all exhibits, should be filed with the Commission. SEE Rule 13d-1(a) for other parties to whom copies are to be sent.</w:t>
      </w:r>
    </w:p>
    <w:p>
      <w:pPr>
        <w:spacing w:after="0" w:line="162"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3"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39"/>
          </w:cols>
          <w:pgMar w:left="220" w:top="564" w:right="1440" w:bottom="1440" w:gutter="0" w:footer="0" w:header="0"/>
          <w:type w:val="continuous"/>
        </w:sectPr>
      </w:pPr>
    </w:p>
    <w:bookmarkStart w:id="1" w:name="page2"/>
    <w:bookmarkEnd w:id="1"/>
    <w:p>
      <w:pPr>
        <w:ind w:left="2960"/>
        <w:spacing w:after="0"/>
        <w:rPr>
          <w:sz w:val="20"/>
          <w:szCs w:val="20"/>
          <w:color w:val="auto"/>
        </w:rPr>
      </w:pPr>
      <w:r>
        <w:rPr>
          <w:rFonts w:ascii="Courier New" w:cs="Courier New" w:eastAsia="Courier New" w:hAnsi="Courier New"/>
          <w:sz w:val="14"/>
          <w:szCs w:val="14"/>
          <w:color w:val="auto"/>
        </w:rPr>
        <w:t>SCHEDULE 13D</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CUSIP No. 00075886F1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Page 2 of 11 Pages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40" w:space="720"/>
            <w:col w:w="5379"/>
          </w:cols>
          <w:pgMar w:left="220" w:top="620" w:right="1440" w:bottom="1440" w:gutter="0" w:footer="0" w:header="0"/>
          <w:type w:val="continuous"/>
        </w:sect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 OF PERSON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AMGEN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2</w:t>
            </w:r>
          </w:p>
        </w:tc>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CHECK THE APPROPRIATE BOX IF MEMBER OF A GROUP*</w:t>
            </w:r>
          </w:p>
        </w:tc>
        <w:tc>
          <w:tcPr>
            <w:tcW w:w="960" w:type="dxa"/>
            <w:vAlign w:val="bottom"/>
          </w:tcPr>
          <w:p>
            <w:pPr>
              <w:ind w:left="580"/>
              <w:spacing w:after="0"/>
              <w:rPr>
                <w:sz w:val="20"/>
                <w:szCs w:val="20"/>
                <w:color w:val="auto"/>
              </w:rPr>
            </w:pPr>
            <w:r>
              <w:rPr>
                <w:rFonts w:ascii="Courier New" w:cs="Courier New" w:eastAsia="Courier New" w:hAnsi="Courier New"/>
                <w:sz w:val="14"/>
                <w:szCs w:val="14"/>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60" w:type="dxa"/>
            <w:vAlign w:val="bottom"/>
          </w:tcPr>
          <w:p>
            <w:pPr>
              <w:ind w:left="580"/>
              <w:spacing w:after="0"/>
              <w:rPr>
                <w:sz w:val="20"/>
                <w:szCs w:val="20"/>
                <w:color w:val="auto"/>
              </w:rPr>
            </w:pPr>
            <w:r>
              <w:rPr>
                <w:rFonts w:ascii="Courier New" w:cs="Courier New" w:eastAsia="Courier New" w:hAnsi="Courier New"/>
                <w:sz w:val="14"/>
                <w:szCs w:val="14"/>
                <w:color w:val="auto"/>
              </w:rPr>
              <w:t>(b)</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right="8139" w:hanging="60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4SOURCE OF FUNDS* WC</w:t>
      </w: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5</w:t>
            </w:r>
          </w:p>
        </w:tc>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CHECK BOX IF DISCLOSURE OF LEGAL PROCEEDINGS IS REQUIRED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60" w:type="dxa"/>
            <w:vAlign w:val="bottom"/>
          </w:tcPr>
          <w:p>
            <w:pPr>
              <w:spacing w:after="0"/>
              <w:rPr>
                <w:sz w:val="14"/>
                <w:szCs w:val="14"/>
                <w:color w:val="auto"/>
              </w:rPr>
            </w:pPr>
          </w:p>
        </w:tc>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PURSUANT TO ITEMS 2(d) or 2(e)</w:t>
            </w: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right="6419" w:hanging="60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6CITIZENSHIP OR PLACE OF ORGANIZATION DELAWARE</w:t>
      </w: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VOTING POWER</w:t>
      </w:r>
    </w:p>
    <w:p>
      <w:pPr>
        <w:spacing w:after="0" w:line="8"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1,083,766</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5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8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SHARED VOTING POWER</w:t>
            </w:r>
          </w:p>
        </w:tc>
      </w:tr>
      <w:tr>
        <w:trPr>
          <w:trHeight w:val="167"/>
        </w:trPr>
        <w:tc>
          <w:tcPr>
            <w:tcW w:w="13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spacing w:after="0"/>
              <w:rPr>
                <w:sz w:val="14"/>
                <w:szCs w:val="14"/>
                <w:color w:val="auto"/>
              </w:rPr>
            </w:pPr>
          </w:p>
        </w:tc>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r>
        <w:trPr>
          <w:trHeight w:val="167"/>
        </w:trPr>
        <w:tc>
          <w:tcPr>
            <w:tcW w:w="1380" w:type="dxa"/>
            <w:vAlign w:val="bottom"/>
          </w:tcPr>
          <w:p>
            <w:pPr>
              <w:spacing w:after="0"/>
              <w:rPr>
                <w:sz w:val="20"/>
                <w:szCs w:val="20"/>
                <w:color w:val="auto"/>
              </w:rPr>
            </w:pPr>
            <w:r>
              <w:rPr>
                <w:rFonts w:ascii="Courier New" w:cs="Courier New" w:eastAsia="Courier New" w:hAnsi="Courier New"/>
                <w:sz w:val="14"/>
                <w:szCs w:val="14"/>
                <w:color w:val="auto"/>
              </w:rPr>
              <w:t>BENEFICIALLY</w:t>
            </w:r>
          </w:p>
        </w:tc>
        <w:tc>
          <w:tcPr>
            <w:tcW w:w="5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80" w:type="dxa"/>
            <w:vAlign w:val="bottom"/>
          </w:tcPr>
          <w:p>
            <w:pPr>
              <w:spacing w:after="0"/>
              <w:rPr>
                <w:sz w:val="20"/>
                <w:szCs w:val="20"/>
                <w:color w:val="auto"/>
              </w:rPr>
            </w:pPr>
            <w:r>
              <w:rPr>
                <w:rFonts w:ascii="Courier New" w:cs="Courier New" w:eastAsia="Courier New" w:hAnsi="Courier New"/>
                <w:sz w:val="14"/>
                <w:szCs w:val="14"/>
                <w:color w:val="auto"/>
              </w:rPr>
              <w:t>OWNED BY EACH</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SOLE DISPOSITIVE POWER</w:t>
            </w:r>
          </w:p>
        </w:tc>
      </w:tr>
      <w:tr>
        <w:trPr>
          <w:trHeight w:val="167"/>
        </w:trPr>
        <w:tc>
          <w:tcPr>
            <w:tcW w:w="1380" w:type="dxa"/>
            <w:vAlign w:val="bottom"/>
          </w:tcPr>
          <w:p>
            <w:pPr>
              <w:spacing w:after="0"/>
              <w:rPr>
                <w:sz w:val="20"/>
                <w:szCs w:val="20"/>
                <w:color w:val="auto"/>
              </w:rPr>
            </w:pPr>
            <w:r>
              <w:rPr>
                <w:rFonts w:ascii="Courier New" w:cs="Courier New" w:eastAsia="Courier New" w:hAnsi="Courier New"/>
                <w:sz w:val="14"/>
                <w:szCs w:val="14"/>
                <w:color w:val="auto"/>
              </w:rPr>
              <w:t>REPORTING</w:t>
            </w:r>
          </w:p>
        </w:tc>
        <w:tc>
          <w:tcPr>
            <w:tcW w:w="960" w:type="dxa"/>
            <w:vAlign w:val="bottom"/>
          </w:tcPr>
          <w:p>
            <w:pPr>
              <w:spacing w:after="0"/>
              <w:rPr>
                <w:sz w:val="14"/>
                <w:szCs w:val="14"/>
                <w:color w:val="auto"/>
              </w:rPr>
            </w:pPr>
          </w:p>
        </w:tc>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1,083,766</w:t>
            </w:r>
          </w:p>
        </w:tc>
      </w:tr>
      <w:tr>
        <w:trPr>
          <w:trHeight w:val="167"/>
        </w:trPr>
        <w:tc>
          <w:tcPr>
            <w:tcW w:w="1380" w:type="dxa"/>
            <w:vAlign w:val="bottom"/>
          </w:tcPr>
          <w:p>
            <w:pPr>
              <w:spacing w:after="0"/>
              <w:rPr>
                <w:sz w:val="20"/>
                <w:szCs w:val="20"/>
                <w:color w:val="auto"/>
              </w:rPr>
            </w:pPr>
            <w:r>
              <w:rPr>
                <w:rFonts w:ascii="Courier New" w:cs="Courier New" w:eastAsia="Courier New" w:hAnsi="Courier New"/>
                <w:sz w:val="14"/>
                <w:szCs w:val="14"/>
                <w:color w:val="auto"/>
              </w:rPr>
              <w:t>PERSON WITH</w:t>
            </w:r>
          </w:p>
        </w:tc>
        <w:tc>
          <w:tcPr>
            <w:tcW w:w="5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SHARED DISPOSITIVE POWER</w:t>
            </w:r>
          </w:p>
        </w:tc>
      </w:tr>
      <w:tr>
        <w:trPr>
          <w:trHeight w:val="167"/>
        </w:trPr>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r>
        <w:trPr>
          <w:trHeight w:val="167"/>
        </w:trPr>
        <w:tc>
          <w:tcPr>
            <w:tcW w:w="1380" w:type="dxa"/>
            <w:vAlign w:val="bottom"/>
          </w:tcPr>
          <w:p>
            <w:pPr>
              <w:spacing w:after="0"/>
              <w:rPr>
                <w:sz w:val="14"/>
                <w:szCs w:val="14"/>
                <w:color w:val="auto"/>
              </w:rPr>
            </w:pPr>
          </w:p>
        </w:tc>
        <w:tc>
          <w:tcPr>
            <w:tcW w:w="5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700" w:right="5799" w:hanging="517"/>
        <w:spacing w:after="0" w:line="252" w:lineRule="auto"/>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AMOUNT BENEFICIALLY OWNED BY EACH REPORTING PERSON</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1,083,766</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00" w:right="3539" w:hanging="519"/>
        <w:spacing w:after="0" w:line="252" w:lineRule="auto"/>
        <w:tabs>
          <w:tab w:leader="none" w:pos="6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CHECK BOX IF THE AGGREGATE AMOUNT IN ROW (11) EXCLUDES / / CERTAIN SHARES*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N/A</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right="5199" w:hanging="69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13PERCENT OF CLASS REPRESENTED BY AMOUNT IN ROW (11) 7.4%</w:t>
      </w: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right="7359" w:hanging="69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14TYPE OF PERSON REPORTING* CO</w:t>
      </w: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INSTRUCTIONS BEFORE FILLING OUT</w:t>
      </w:r>
    </w:p>
    <w:p>
      <w:pPr>
        <w:sectPr>
          <w:pgSz w:w="11900" w:h="16838" w:orient="portrait"/>
          <w:cols w:equalWidth="0" w:num="1">
            <w:col w:w="10239"/>
          </w:cols>
          <w:pgMar w:left="220" w:top="620" w:right="1440" w:bottom="1440" w:gutter="0" w:footer="0" w:header="0"/>
          <w:type w:val="continuous"/>
        </w:sectPr>
      </w:pPr>
    </w:p>
    <w:bookmarkStart w:id="2" w:name="page3"/>
    <w:bookmarkEnd w:id="2"/>
    <w:p>
      <w:pPr>
        <w:spacing w:after="0"/>
        <w:tabs>
          <w:tab w:leader="none" w:pos="860" w:val="left"/>
        </w:tabs>
        <w:rPr>
          <w:sz w:val="20"/>
          <w:szCs w:val="20"/>
          <w:color w:val="auto"/>
        </w:rPr>
      </w:pPr>
      <w:r>
        <w:rPr>
          <w:rFonts w:ascii="Courier New" w:cs="Courier New" w:eastAsia="Courier New" w:hAnsi="Courier New"/>
          <w:sz w:val="14"/>
          <w:szCs w:val="14"/>
          <w:color w:val="auto"/>
        </w:rPr>
        <w:t>ITEM 1.</w:t>
        <w:tab/>
        <w:t>SECURITY AND ISSUER.</w:t>
      </w:r>
    </w:p>
    <w:p>
      <w:pPr>
        <w:spacing w:after="0" w:line="175" w:lineRule="exact"/>
        <w:rPr>
          <w:sz w:val="20"/>
          <w:szCs w:val="20"/>
          <w:color w:val="auto"/>
        </w:rPr>
      </w:pPr>
    </w:p>
    <w:p>
      <w:pPr>
        <w:ind w:right="3379" w:firstLine="868"/>
        <w:spacing w:after="0" w:line="254" w:lineRule="auto"/>
        <w:rPr>
          <w:sz w:val="20"/>
          <w:szCs w:val="20"/>
          <w:color w:val="auto"/>
        </w:rPr>
      </w:pPr>
      <w:r>
        <w:rPr>
          <w:rFonts w:ascii="Courier New" w:cs="Courier New" w:eastAsia="Courier New" w:hAnsi="Courier New"/>
          <w:sz w:val="14"/>
          <w:szCs w:val="14"/>
          <w:color w:val="auto"/>
        </w:rPr>
        <w:t>This statement relates to the shares of Common Stock, $.001 par value per share (the "Common Stock"), of Regeneron Pharmaceuticals, Inc., a New York corporation (the "Issuer"). The principal executive offices of the Issuer are located at 777 Old Saw Mill River Road, Tarrytown, New York 10591-6706.</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2.</w:t>
        <w:tab/>
        <w:t>IDENTITY AND BACKGROUND.</w:t>
      </w:r>
    </w:p>
    <w:p>
      <w:pPr>
        <w:spacing w:after="0" w:line="175"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(a)-(c). This statement is being filed by Amgen Inc., a Delaware corporation (the "Reporting Person"). The Reporting Person is a global biotechnology company that develops, manufactures and markets human therapeutics based upon advanced cellular and molecular biology. Its principal offices are located at Amgen Center, 1840 DeHavilland Drive, Thousand Oaks, California 91320-1789.</w:t>
      </w:r>
    </w:p>
    <w:p>
      <w:pPr>
        <w:spacing w:after="0" w:line="165"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For information with respect to the identity and background of each executive officer and director of the Reporting Person, see Schedule I attached hereto.</w:t>
      </w:r>
    </w:p>
    <w:p>
      <w:pPr>
        <w:spacing w:after="0" w:line="162"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(d)-(e). During the last five years, neither the Reporting Person nor, to the best knowledge of the Reporting Person, none of the other persons identified in Schedule I: (i) have been convicted in a criminal proceeding (excluding traffic violations or similar misdemeanors); or (ii) was a party to a civil proceeding of a judicial or administrative body of competent jurisdiction and as a result of such proceeding was or is subject to a judgement, decree or final order enjoining future violations of, or prohibiting or mandating activities subject to, federal or state securities laws or finding any violation with respect to such laws.</w:t>
      </w:r>
    </w:p>
    <w:p>
      <w:pPr>
        <w:spacing w:after="0" w:line="1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3.</w:t>
        <w:tab/>
        <w:t>SOURCE AND AMOUNT OF FUNDS OR OTHER CONSIDERATION.</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source of the $2,796,925 used for the Reporting Person's purchases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described in Item 5(c), below) of 295,000 shares of Common Stock was the</w:t>
      </w:r>
    </w:p>
    <w:p>
      <w:pPr>
        <w:spacing w:after="0" w:line="8" w:lineRule="exact"/>
        <w:rPr>
          <w:sz w:val="20"/>
          <w:szCs w:val="20"/>
          <w:color w:val="auto"/>
        </w:rPr>
      </w:pPr>
    </w:p>
    <w:p>
      <w:pPr>
        <w:spacing w:after="0"/>
        <w:tabs>
          <w:tab w:leader="none" w:pos="3640" w:val="left"/>
        </w:tabs>
        <w:rPr>
          <w:sz w:val="20"/>
          <w:szCs w:val="20"/>
          <w:color w:val="auto"/>
        </w:rPr>
      </w:pPr>
      <w:r>
        <w:rPr>
          <w:rFonts w:ascii="Courier New" w:cs="Courier New" w:eastAsia="Courier New" w:hAnsi="Courier New"/>
          <w:sz w:val="14"/>
          <w:szCs w:val="14"/>
          <w:color w:val="auto"/>
        </w:rPr>
        <w:t>working capital of the Reporting Person.</w:t>
        <w:tab/>
        <w:t>In 1990, the Reporting Person used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$15,000,000 of working capital to purchase 767,656 shares of Class D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$.01 par value per share, of the Issuer (the "Class D Preferred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which were automatically converted in 1991 into 788,766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Stock, $.001 par value per share, of the Issuer (the "Class A Stock"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the Common Stock, the "Shares"), as further described in Item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4.</w:t>
        <w:tab/>
        <w:t>PURPOSE OF TRANSACTION.</w:t>
      </w:r>
    </w:p>
    <w:p>
      <w:pPr>
        <w:spacing w:after="0" w:line="175"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The Reporting Person acquired the 295,000 shares of Common Stock and 767,656 shares of Class D Preferred Stock (which were later automatically converted into 788,766 shares of Class A Stock) for investment purposes.</w:t>
      </w:r>
    </w:p>
    <w:p>
      <w:pPr>
        <w:spacing w:after="0" w:line="162"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As a result of an August 1990 agreement between the Reporting Person and the Issuer, further described in Item 6 below, the Reporting Person is subject to a number of so-called "standstill" restrictions (the "Standstill Restrictions"). One Standstill Restriction generally prohibits the Reporting Person from acquiring more than 20% of the outstanding shares of capital stock of the Issuer. Other Standstill Restrictions generally prohibit the Reporting Person from making acquisition proposals to the Issuer and engaging in the solicitation of proxies. SEE Item 6, below, for additional information with respect to the Standstill Restrictions. ALSO SEE Item 6, below, for a discussion of certain (i) registration rights with respect to certain of the Shares beneficially owned by the Reporting Person, (ii) information requirements and covenants of the Issuer relating to the conduct of its</w:t>
      </w:r>
    </w:p>
    <w:p>
      <w:pPr>
        <w:spacing w:after="0" w:line="33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3 of 11 Pages</w:t>
      </w:r>
    </w:p>
    <w:p>
      <w:pPr>
        <w:sectPr>
          <w:pgSz w:w="11900" w:h="16838" w:orient="portrait"/>
          <w:cols w:equalWidth="0" w:num="1">
            <w:col w:w="10239"/>
          </w:cols>
          <w:pgMar w:left="220" w:top="620" w:right="1440" w:bottom="1440" w:gutter="0" w:footer="0" w:header="0"/>
        </w:sectPr>
      </w:pPr>
    </w:p>
    <w:bookmarkStart w:id="3" w:name="page4"/>
    <w:bookmarkEnd w:id="3"/>
    <w:p>
      <w:pPr>
        <w:ind w:right="3799"/>
        <w:spacing w:after="0" w:line="258" w:lineRule="auto"/>
        <w:rPr>
          <w:sz w:val="20"/>
          <w:szCs w:val="20"/>
          <w:color w:val="auto"/>
        </w:rPr>
      </w:pPr>
      <w:r>
        <w:rPr>
          <w:rFonts w:ascii="Courier New" w:cs="Courier New" w:eastAsia="Courier New" w:hAnsi="Courier New"/>
          <w:sz w:val="14"/>
          <w:szCs w:val="14"/>
          <w:color w:val="auto"/>
        </w:rPr>
        <w:t>business and (iii) transfer restrictions relating to certain of the Shares beneficially owned by the Reporting Person.</w:t>
      </w:r>
    </w:p>
    <w:p>
      <w:pPr>
        <w:spacing w:after="0" w:line="16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Subject to the Standstill Restrictions and depending on general market and economic conditions affecting the Issuer and other relevant factors, the Reporting Person may purchase additional Shares or dispose of some or all of its Shares from time to time in open market transactions, private transactions or otherwise.</w:t>
      </w:r>
    </w:p>
    <w:p>
      <w:pPr>
        <w:spacing w:after="0" w:line="162"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Except as set forth herein, the Reporting Person has no present plans or proposals with respect to any material change in the Issuer's business or corporate structure or which relate to or would result in:</w:t>
      </w:r>
    </w:p>
    <w:p>
      <w:pPr>
        <w:spacing w:after="0" w:line="162" w:lineRule="exact"/>
        <w:rPr>
          <w:sz w:val="20"/>
          <w:szCs w:val="20"/>
          <w:color w:val="auto"/>
        </w:rPr>
      </w:pPr>
    </w:p>
    <w:p>
      <w:pPr>
        <w:ind w:left="440" w:right="3539" w:firstLine="871"/>
        <w:spacing w:after="0" w:line="258" w:lineRule="auto"/>
        <w:tabs>
          <w:tab w:leader="none" w:pos="17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person of additional securities of the Issuer, or the disposition of securities of the Issuer;</w:t>
      </w:r>
    </w:p>
    <w:p>
      <w:pPr>
        <w:spacing w:after="0" w:line="159" w:lineRule="exact"/>
        <w:rPr>
          <w:rFonts w:ascii="Courier New" w:cs="Courier New" w:eastAsia="Courier New" w:hAnsi="Courier New"/>
          <w:sz w:val="14"/>
          <w:szCs w:val="14"/>
          <w:color w:val="auto"/>
        </w:rPr>
      </w:pPr>
    </w:p>
    <w:p>
      <w:pPr>
        <w:ind w:left="440" w:right="3539" w:firstLine="871"/>
        <w:spacing w:after="0" w:line="255" w:lineRule="auto"/>
        <w:tabs>
          <w:tab w:leader="none" w:pos="17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extraordinary corporate transaction, such as a merger, reorganization or liquidation, involving the Issuer or any of its subsidiaries;</w:t>
      </w:r>
    </w:p>
    <w:p>
      <w:pPr>
        <w:spacing w:after="0" w:line="162" w:lineRule="exact"/>
        <w:rPr>
          <w:rFonts w:ascii="Courier New" w:cs="Courier New" w:eastAsia="Courier New" w:hAnsi="Courier New"/>
          <w:sz w:val="14"/>
          <w:szCs w:val="14"/>
          <w:color w:val="auto"/>
        </w:rPr>
      </w:pPr>
    </w:p>
    <w:p>
      <w:pPr>
        <w:ind w:left="440" w:right="3639" w:firstLine="871"/>
        <w:spacing w:after="0" w:line="258" w:lineRule="auto"/>
        <w:tabs>
          <w:tab w:leader="none" w:pos="17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transfer of a material amount of assets of the Issuer or any of its subsidiaries;</w:t>
      </w:r>
    </w:p>
    <w:p>
      <w:pPr>
        <w:spacing w:after="0" w:line="159" w:lineRule="exact"/>
        <w:rPr>
          <w:rFonts w:ascii="Courier New" w:cs="Courier New" w:eastAsia="Courier New" w:hAnsi="Courier New"/>
          <w:sz w:val="14"/>
          <w:szCs w:val="14"/>
          <w:color w:val="auto"/>
        </w:rPr>
      </w:pPr>
    </w:p>
    <w:p>
      <w:pPr>
        <w:ind w:left="440" w:right="3459" w:firstLine="871"/>
        <w:spacing w:after="0" w:line="255" w:lineRule="auto"/>
        <w:tabs>
          <w:tab w:leader="none" w:pos="17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present board of directors or management of the Issuer, including any plans or proposals to change the number or term of directors or to fill any existing vacancies on the board;</w:t>
      </w:r>
    </w:p>
    <w:p>
      <w:pPr>
        <w:spacing w:after="0" w:line="162" w:lineRule="exact"/>
        <w:rPr>
          <w:rFonts w:ascii="Courier New" w:cs="Courier New" w:eastAsia="Courier New" w:hAnsi="Courier New"/>
          <w:sz w:val="14"/>
          <w:szCs w:val="14"/>
          <w:color w:val="auto"/>
        </w:rPr>
      </w:pPr>
    </w:p>
    <w:p>
      <w:pPr>
        <w:ind w:left="440" w:right="3979" w:firstLine="871"/>
        <w:spacing w:after="0" w:line="258" w:lineRule="auto"/>
        <w:tabs>
          <w:tab w:leader="none" w:pos="17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the present capitalization or dividend policy of the Issuer;</w:t>
      </w:r>
    </w:p>
    <w:p>
      <w:pPr>
        <w:spacing w:after="0" w:line="159" w:lineRule="exact"/>
        <w:rPr>
          <w:rFonts w:ascii="Courier New" w:cs="Courier New" w:eastAsia="Courier New" w:hAnsi="Courier New"/>
          <w:sz w:val="14"/>
          <w:szCs w:val="14"/>
          <w:color w:val="auto"/>
        </w:rPr>
      </w:pPr>
    </w:p>
    <w:p>
      <w:pPr>
        <w:ind w:left="440" w:right="3379" w:firstLine="871"/>
        <w:spacing w:after="0" w:line="255" w:lineRule="auto"/>
        <w:tabs>
          <w:tab w:leader="none" w:pos="17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Issuer's charter, bylaws or instruments corresponding thereto or other actions which may impede the acquisition of control of the Issuer by any person;</w:t>
      </w:r>
    </w:p>
    <w:p>
      <w:pPr>
        <w:spacing w:after="0" w:line="162" w:lineRule="exact"/>
        <w:rPr>
          <w:rFonts w:ascii="Courier New" w:cs="Courier New" w:eastAsia="Courier New" w:hAnsi="Courier New"/>
          <w:sz w:val="14"/>
          <w:szCs w:val="14"/>
          <w:color w:val="auto"/>
        </w:rPr>
      </w:pPr>
    </w:p>
    <w:p>
      <w:pPr>
        <w:ind w:left="440" w:right="3379" w:firstLine="871"/>
        <w:spacing w:after="0" w:line="254" w:lineRule="auto"/>
        <w:tabs>
          <w:tab w:leader="none" w:pos="17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causing a class of securities of the Issuer to be delisted from a national securities exchange or cease to be authorized to be quoted in an inter-dealer quotation system of a registered national securities association;</w:t>
      </w:r>
    </w:p>
    <w:p>
      <w:pPr>
        <w:spacing w:after="0" w:line="163" w:lineRule="exact"/>
        <w:rPr>
          <w:rFonts w:ascii="Courier New" w:cs="Courier New" w:eastAsia="Courier New" w:hAnsi="Courier New"/>
          <w:sz w:val="14"/>
          <w:szCs w:val="14"/>
          <w:color w:val="auto"/>
        </w:rPr>
      </w:pPr>
    </w:p>
    <w:p>
      <w:pPr>
        <w:ind w:left="440" w:right="3279" w:firstLine="871"/>
        <w:spacing w:after="0" w:line="255" w:lineRule="auto"/>
        <w:tabs>
          <w:tab w:leader="none" w:pos="17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class of equity securities of the Issuer becoming eligible for termination of registration pursuant to Section 12(g)(4) of the Securities Exchange Act of 1934; or</w:t>
      </w:r>
    </w:p>
    <w:p>
      <w:pPr>
        <w:spacing w:after="0" w:line="162" w:lineRule="exact"/>
        <w:rPr>
          <w:rFonts w:ascii="Courier New" w:cs="Courier New" w:eastAsia="Courier New" w:hAnsi="Courier New"/>
          <w:sz w:val="14"/>
          <w:szCs w:val="14"/>
          <w:color w:val="auto"/>
        </w:rPr>
      </w:pPr>
    </w:p>
    <w:p>
      <w:pPr>
        <w:ind w:left="1740" w:hanging="429"/>
        <w:spacing w:after="0"/>
        <w:tabs>
          <w:tab w:leader="none" w:pos="17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similar to any of those enumerated above.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5.</w:t>
        <w:tab/>
        <w:t>INTEREST IN SECURITIES OF THE ISSUER.</w:t>
      </w:r>
    </w:p>
    <w:p>
      <w:pPr>
        <w:spacing w:after="0" w:line="175" w:lineRule="exact"/>
        <w:rPr>
          <w:sz w:val="20"/>
          <w:szCs w:val="20"/>
          <w:color w:val="auto"/>
        </w:rPr>
      </w:pPr>
    </w:p>
    <w:p>
      <w:pPr>
        <w:ind w:right="3379" w:firstLine="877"/>
        <w:spacing w:after="0" w:line="253" w:lineRule="auto"/>
        <w:tabs>
          <w:tab w:leader="none" w:pos="130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close of business on July 25, 1995, the Reporting Person beneficially owned 1,083,766 shares of Common Stock (which includes 788,766 shares of Common Stock issuable if and when the shares of Class A Stock are converted into shares of Common Stock). Such shares of Common Stock constitute approximately 7.4% of the total number of shares of Common Stock outstanding as of July 25, 1995, assuming the conversion of the shares of Class A Stock beneficially owned by the Reporting Person into shares of Common Stock, and based upon</w:t>
      </w:r>
    </w:p>
    <w:p>
      <w:pPr>
        <w:spacing w:after="0" w:line="33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4 of 11 Pages</w:t>
      </w:r>
    </w:p>
    <w:p>
      <w:pPr>
        <w:sectPr>
          <w:pgSz w:w="11900" w:h="16838" w:orient="portrait"/>
          <w:cols w:equalWidth="0" w:num="1">
            <w:col w:w="10239"/>
          </w:cols>
          <w:pgMar w:left="220" w:top="620" w:right="1440" w:bottom="1440" w:gutter="0" w:footer="0" w:header="0"/>
        </w:sectPr>
      </w:pPr>
    </w:p>
    <w:bookmarkStart w:id="4" w:name="page5"/>
    <w:bookmarkEnd w:id="4"/>
    <w:p>
      <w:pPr>
        <w:jc w:val="both"/>
        <w:ind w:right="4760"/>
        <w:spacing w:after="0" w:line="255" w:lineRule="auto"/>
        <w:rPr>
          <w:sz w:val="20"/>
          <w:szCs w:val="20"/>
          <w:color w:val="auto"/>
        </w:rPr>
      </w:pPr>
      <w:r>
        <w:rPr>
          <w:rFonts w:ascii="Courier New" w:cs="Courier New" w:eastAsia="Courier New" w:hAnsi="Courier New"/>
          <w:sz w:val="14"/>
          <w:szCs w:val="14"/>
          <w:color w:val="auto"/>
        </w:rPr>
        <w:t>13,911,630 shares of Common Stock outstanding as of May 12, 1995, as set forth in the Issuer's Form 10-Q filed with the Securities and Exchange Commission on May 15, 1995.</w:t>
      </w:r>
    </w:p>
    <w:p>
      <w:pPr>
        <w:spacing w:after="0" w:line="162" w:lineRule="exact"/>
        <w:rPr>
          <w:sz w:val="20"/>
          <w:szCs w:val="20"/>
          <w:color w:val="auto"/>
        </w:rPr>
      </w:pPr>
    </w:p>
    <w:p>
      <w:pPr>
        <w:jc w:val="both"/>
        <w:ind w:right="4680" w:firstLine="877"/>
        <w:spacing w:after="0" w:line="255" w:lineRule="auto"/>
        <w:tabs>
          <w:tab w:leader="none" w:pos="130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Reporting Person has the sole power to vote or to direct the vote, and the sole power to dispose or to direct the disposition of, the Shares beneficially owned by the Reporting Person.</w:t>
      </w:r>
    </w:p>
    <w:p>
      <w:pPr>
        <w:spacing w:after="0" w:line="162" w:lineRule="exact"/>
        <w:rPr>
          <w:rFonts w:ascii="Courier New" w:cs="Courier New" w:eastAsia="Courier New" w:hAnsi="Courier New"/>
          <w:sz w:val="14"/>
          <w:szCs w:val="14"/>
          <w:color w:val="auto"/>
        </w:rPr>
      </w:pPr>
    </w:p>
    <w:p>
      <w:pPr>
        <w:ind w:right="4940" w:firstLine="877"/>
        <w:spacing w:after="0" w:line="258" w:lineRule="auto"/>
        <w:tabs>
          <w:tab w:leader="none" w:pos="130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chart sets forth the transactions in the Common Stock effected by the Reporting Person during the past 60 days.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Average Price Paid Per Share</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Number of Shares of</w:t>
            </w:r>
          </w:p>
        </w:tc>
        <w:tc>
          <w:tcPr>
            <w:tcW w:w="18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Excluding</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Including</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Type of</w:t>
            </w:r>
          </w:p>
        </w:tc>
        <w:tc>
          <w:tcPr>
            <w:tcW w:w="1200" w:type="dxa"/>
            <w:vAlign w:val="bottom"/>
          </w:tcPr>
          <w:p>
            <w:pPr>
              <w:spacing w:after="0"/>
              <w:rPr>
                <w:sz w:val="14"/>
                <w:szCs w:val="14"/>
                <w:color w:val="auto"/>
              </w:rPr>
            </w:pPr>
          </w:p>
        </w:tc>
      </w:tr>
      <w:tr>
        <w:trPr>
          <w:trHeight w:val="167"/>
        </w:trPr>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Purchaser</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Date</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Common Stock Acquired</w:t>
            </w:r>
          </w:p>
        </w:tc>
        <w:tc>
          <w:tcPr>
            <w:tcW w:w="18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Commissions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Commissions</w:t>
            </w:r>
          </w:p>
        </w:tc>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Purchase</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Broker</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7/7/95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$9.0500</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7/10/95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30,000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$8.8750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$8.9250</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7/11/95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$9.0156</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$9.0656</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7/12/95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$9.3214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$9.3714</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7/14/95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$9.3750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$9.4250</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7/18/95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$9.6964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$9.7464</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7/19/95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167,500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$9.6250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$9.6750</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7/20/95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$9.2500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$9.3000</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7/21/95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$9.2500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$9.3000</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The Reporting</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7/24/95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$9.1250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$9.1750</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Open</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CS First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market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Boston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295,000</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$9.4311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$9.4811</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338" w:lineRule="exact"/>
        <w:rPr>
          <w:sz w:val="20"/>
          <w:szCs w:val="20"/>
          <w:color w:val="auto"/>
        </w:rPr>
      </w:pPr>
    </w:p>
    <w:p>
      <w:pPr>
        <w:ind w:left="1320" w:hanging="443"/>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5 of 11 Pages</w:t>
      </w:r>
    </w:p>
    <w:p>
      <w:pPr>
        <w:sectPr>
          <w:pgSz w:w="11900" w:h="16838" w:orient="portrait"/>
          <w:cols w:equalWidth="0" w:num="1">
            <w:col w:w="11540"/>
          </w:cols>
          <w:pgMar w:left="220" w:top="620" w:right="139" w:bottom="1440" w:gutter="0" w:footer="0" w:header="0"/>
        </w:sectPr>
      </w:pPr>
    </w:p>
    <w:bookmarkStart w:id="5" w:name="page6"/>
    <w:bookmarkEnd w:id="5"/>
    <w:p>
      <w:pPr>
        <w:ind w:left="880" w:right="33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6.</w:t>
        <w:tab/>
        <w:t>CONTRACTS, ARRANGEMENTS, UNDERSTANDINGS OR RELATIONSHIPS WITH RESPECT TO SECURITIES OF THE ISSUER.</w:t>
      </w:r>
    </w:p>
    <w:p>
      <w:pPr>
        <w:spacing w:after="0" w:line="160"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Pursuant to the Class D Convertible Preferred Stock Purchase Agreement dated as of August 31, 1990 by and between the Issuer and the Reporting Person (the "Purchase Agreement"), the Issuer acquired, for an aggregate purchase price of $15 million, beneficial ownership of 767,656 shares of Class D Preferred Stock in 1990. In 1991, the Issuer effected a recapitalization and an initial public offering of shares of its Common Stock and following such recapitalization and offering the Reporting Person's 767,656 shares of Class D Preferred Stock were automatically converted into 788,766 shares of Class A Stock. As described in the Issuer's Restated Certificate of Incorporation, the shares of Class A Stock are super-voting (each share having 10 votes instead of one), are subject to certain transfer restrictions and are optionally convertible, at any time and at the option of the holder thereof, and mandatorily convertible, upon the transfer of such shares to someone other than a permitted transferee, into an equal number of shares of Common Stock.</w:t>
      </w:r>
    </w:p>
    <w:p>
      <w:pPr>
        <w:spacing w:after="0" w:line="163"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Section 9 of the Purchase Agreement also contains the Standstill Restrictions referred to in Item 4. The Reporting Person has agreed, among other things, for a period of 20 years or the term of a collaboration agreement between the Issuer and the Reporting Person, whichever is earlier, (i) not to purchase any shares of the capital stock of the Issuer if its ownership position in the Issuer on a fully diluted basis would be greater than 20% of the then outstanding capital stock of the Issuer, (ii) not to engage in the solicitation of proxies and (iii) not to make any acquisition proposal. There are certain very limited circumstances in which the Standstill Restrictions would not apply.</w:t>
      </w:r>
    </w:p>
    <w:p>
      <w:pPr>
        <w:spacing w:after="0" w:line="331"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The Issuer has also granted the Reporting Person customary demand and piggyback registration rights under Section 8 of the Purchase Agreement with respect to certain of the Shares beneficially owned by the Reporting Person.</w:t>
      </w:r>
    </w:p>
    <w:p>
      <w:pPr>
        <w:spacing w:after="0" w:line="162" w:lineRule="exact"/>
        <w:rPr>
          <w:sz w:val="20"/>
          <w:szCs w:val="20"/>
          <w:color w:val="auto"/>
        </w:rPr>
      </w:pPr>
    </w:p>
    <w:p>
      <w:pPr>
        <w:ind w:right="3379" w:firstLine="868"/>
        <w:spacing w:after="0" w:line="253" w:lineRule="auto"/>
        <w:rPr>
          <w:sz w:val="20"/>
          <w:szCs w:val="20"/>
          <w:color w:val="auto"/>
        </w:rPr>
      </w:pPr>
      <w:r>
        <w:rPr>
          <w:rFonts w:ascii="Courier New" w:cs="Courier New" w:eastAsia="Courier New" w:hAnsi="Courier New"/>
          <w:sz w:val="14"/>
          <w:szCs w:val="14"/>
          <w:color w:val="auto"/>
        </w:rPr>
        <w:t>So long as the Reporting Person beneficially owns at least 50% of the shares of Class A Stock it received under the Purchase Agreement which remain outstanding, the Issuer has also agreed, pursuant to Section 7 of the Purchase Agreement, to provide the Reporting Person with certain financial, budgetary, operating and other information which is confidential, and has agreed to be bound by certain affirmative and negative covenants relating to the conduct of the Issuer's business, including, among other things, restrictions on the Issuer's ability to declare or pay dividends, amend its charter documents and enter into new lines of business.</w:t>
      </w:r>
    </w:p>
    <w:p>
      <w:pPr>
        <w:spacing w:after="0" w:line="164"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Section 11(d) of the Purchase Agreement also provides the Issuer with certain rights of first refusal with respect to transfers by the Reporting Person of certain Shares to competitors of the Issuer.</w:t>
      </w:r>
    </w:p>
    <w:p>
      <w:pPr>
        <w:spacing w:after="0" w:line="162"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above description of the Purchase Agreement, as well as the description set forth in Item 4, are summaries only and do not purport to be complete descriptions of the terms of the Purchase Agreement. These summaries are subject to, and are qualified in their entirety by reference to, the detailed provisions of the Purchase Agreement, which is filed as Exhibit 7.1 hereto.</w:t>
      </w:r>
    </w:p>
    <w:p>
      <w:pPr>
        <w:spacing w:after="0" w:line="33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6 of 11 Pages</w:t>
      </w:r>
    </w:p>
    <w:p>
      <w:pPr>
        <w:sectPr>
          <w:pgSz w:w="11900" w:h="16838" w:orient="portrait"/>
          <w:cols w:equalWidth="0" w:num="1">
            <w:col w:w="10239"/>
          </w:cols>
          <w:pgMar w:left="220" w:top="620" w:right="1440" w:bottom="1440" w:gutter="0" w:footer="0" w:header="0"/>
        </w:sectPr>
      </w:pPr>
    </w:p>
    <w:bookmarkStart w:id="6" w:name="page7"/>
    <w:bookmarkEnd w:id="6"/>
    <w:p>
      <w:pPr>
        <w:spacing w:after="0"/>
        <w:tabs>
          <w:tab w:leader="none" w:pos="860" w:val="left"/>
        </w:tabs>
        <w:rPr>
          <w:sz w:val="20"/>
          <w:szCs w:val="20"/>
          <w:color w:val="auto"/>
        </w:rPr>
      </w:pPr>
      <w:r>
        <w:rPr>
          <w:rFonts w:ascii="Courier New" w:cs="Courier New" w:eastAsia="Courier New" w:hAnsi="Courier New"/>
          <w:sz w:val="14"/>
          <w:szCs w:val="14"/>
          <w:color w:val="auto"/>
        </w:rPr>
        <w:t>ITEM 7.</w:t>
        <w:tab/>
        <w:t>MATERIAL TO BE FILED AS EXHIBITS.</w:t>
      </w:r>
    </w:p>
    <w:p>
      <w:pPr>
        <w:spacing w:after="0" w:line="175" w:lineRule="exact"/>
        <w:rPr>
          <w:sz w:val="20"/>
          <w:szCs w:val="20"/>
          <w:color w:val="auto"/>
        </w:rPr>
      </w:pPr>
    </w:p>
    <w:p>
      <w:pPr>
        <w:ind w:left="440" w:right="3979" w:hanging="433"/>
        <w:spacing w:after="0" w:line="258" w:lineRule="auto"/>
        <w:tabs>
          <w:tab w:leader="none" w:pos="420" w:val="left"/>
        </w:tabs>
        <w:rPr>
          <w:sz w:val="20"/>
          <w:szCs w:val="20"/>
          <w:color w:val="auto"/>
        </w:rPr>
      </w:pPr>
      <w:r>
        <w:rPr>
          <w:rFonts w:ascii="Courier New" w:cs="Courier New" w:eastAsia="Courier New" w:hAnsi="Courier New"/>
          <w:sz w:val="14"/>
          <w:szCs w:val="14"/>
          <w:color w:val="auto"/>
        </w:rPr>
        <w:t>7.1</w:t>
        <w:tab/>
        <w:t>Class D Convertible Preferred Stock Purchase Agreement dated as of August 31, 1990 by and between the Issuer and the Reporting Person.</w:t>
      </w:r>
    </w:p>
    <w:p>
      <w:pPr>
        <w:spacing w:after="0" w:line="327"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7 of 11 Pages</w:t>
      </w:r>
    </w:p>
    <w:p>
      <w:pPr>
        <w:sectPr>
          <w:pgSz w:w="11900" w:h="16838" w:orient="portrait"/>
          <w:cols w:equalWidth="0" w:num="1">
            <w:col w:w="10239"/>
          </w:cols>
          <w:pgMar w:left="220" w:top="620" w:right="1440" w:bottom="1440" w:gutter="0" w:footer="0" w:header="0"/>
        </w:sectPr>
      </w:pPr>
    </w:p>
    <w:bookmarkStart w:id="7" w:name="page8"/>
    <w:bookmarkEnd w:id="7"/>
    <w:p>
      <w:pPr>
        <w:ind w:left="314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right="3279" w:firstLine="868"/>
        <w:spacing w:after="0" w:line="255"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32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AMGEN INC.</w:t>
      </w:r>
    </w:p>
    <w:p>
      <w:pPr>
        <w:spacing w:after="0" w:line="200" w:lineRule="exact"/>
        <w:rPr>
          <w:sz w:val="20"/>
          <w:szCs w:val="20"/>
          <w:color w:val="auto"/>
        </w:r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 George A. Vandeman</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60"/>
        <w:spacing w:after="0"/>
        <w:tabs>
          <w:tab w:leader="none" w:pos="37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George A. Vandeman</w:t>
      </w:r>
    </w:p>
    <w:p>
      <w:pPr>
        <w:spacing w:after="0" w:line="8" w:lineRule="exact"/>
        <w:rPr>
          <w:sz w:val="20"/>
          <w:szCs w:val="20"/>
          <w:color w:val="auto"/>
        </w:rPr>
      </w:pPr>
    </w:p>
    <w:p>
      <w:pPr>
        <w:jc w:val="center"/>
        <w:ind w:right="319"/>
        <w:spacing w:after="0"/>
        <w:tabs>
          <w:tab w:leader="none" w:pos="240" w:val="left"/>
        </w:tabs>
        <w:rPr>
          <w:sz w:val="20"/>
          <w:szCs w:val="20"/>
          <w:color w:val="auto"/>
        </w:rPr>
      </w:pPr>
      <w:r>
        <w:rPr>
          <w:rFonts w:ascii="Courier New" w:cs="Courier New" w:eastAsia="Courier New" w:hAnsi="Courier New"/>
          <w:sz w:val="14"/>
          <w:szCs w:val="14"/>
          <w:color w:val="auto"/>
        </w:rPr>
        <w:t>Title:</w:t>
        <w:tab/>
        <w:t>Senior Vice President, General</w:t>
      </w:r>
    </w:p>
    <w:p>
      <w:pPr>
        <w:spacing w:after="0" w:line="8"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July 26, 1995</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8 of 11 Pages</w:t>
      </w:r>
    </w:p>
    <w:p>
      <w:pPr>
        <w:sectPr>
          <w:pgSz w:w="11900" w:h="16838" w:orient="portrait"/>
          <w:cols w:equalWidth="0" w:num="1">
            <w:col w:w="10239"/>
          </w:cols>
          <w:pgMar w:left="220" w:top="620" w:right="1440" w:bottom="1440" w:gutter="0" w:footer="0" w:header="0"/>
        </w:sectPr>
      </w:pPr>
    </w:p>
    <w:bookmarkStart w:id="8" w:name="page9"/>
    <w:bookmarkEnd w:id="8"/>
    <w:p>
      <w:pPr>
        <w:ind w:left="3040"/>
        <w:spacing w:after="0"/>
        <w:rPr>
          <w:sz w:val="20"/>
          <w:szCs w:val="20"/>
          <w:color w:val="auto"/>
        </w:rPr>
      </w:pPr>
      <w:r>
        <w:rPr>
          <w:rFonts w:ascii="Courier New" w:cs="Courier New" w:eastAsia="Courier New" w:hAnsi="Courier New"/>
          <w:sz w:val="14"/>
          <w:szCs w:val="14"/>
          <w:color w:val="auto"/>
        </w:rPr>
        <w:t>SCHEDULE I</w:t>
      </w:r>
    </w:p>
    <w:p>
      <w:pPr>
        <w:spacing w:after="0" w:line="175"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AMGEN INC.</w:t>
      </w:r>
    </w:p>
    <w:p>
      <w:pPr>
        <w:spacing w:after="0" w:line="8"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EXECUTIVE OFFICERS AND DIRECTORS</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Present Business Address</w:t>
            </w: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Present Principal Occupation</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Citizenship</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2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N. Kirby Alton</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Senior Vice President, Development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Robert S. Attiyeh</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Senior Vice President, Finance and</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Corporate Development</w:t>
            </w: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Stanley M. Benson</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Senior Vice President, Sales and</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Marketing</w:t>
            </w: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Gordon M. Binder</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Chairman of the Board and Chief</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Executive Officer</w:t>
            </w: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Dennis M. Fenton</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Senior Vice President, Operations</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and Process Development</w:t>
            </w: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Daryl D. Hill</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Senior Vice President, Asia Pacific</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Larry A. May</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Vice President, Corporate Controller</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and Chief Accounting Officer</w:t>
            </w: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Kevin W. Sharer</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President, Chief Operating Officer and</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Director</w:t>
            </w: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George A. Vandeman</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560" w:type="dxa"/>
            <w:vAlign w:val="bottom"/>
          </w:tcPr>
          <w:p>
            <w:pPr>
              <w:spacing w:after="0"/>
              <w:rPr>
                <w:sz w:val="24"/>
                <w:szCs w:val="2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Senior Vice President, General Counsel</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10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Amgen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1560" w:type="dxa"/>
            <w:vAlign w:val="bottom"/>
          </w:tcPr>
          <w:p>
            <w:pPr>
              <w:spacing w:after="0"/>
              <w:rPr>
                <w:sz w:val="14"/>
                <w:szCs w:val="14"/>
                <w:color w:val="auto"/>
              </w:rPr>
            </w:pPr>
          </w:p>
        </w:tc>
        <w:tc>
          <w:tcPr>
            <w:tcW w:w="4120" w:type="dxa"/>
            <w:vAlign w:val="bottom"/>
          </w:tcPr>
          <w:p>
            <w:pPr>
              <w:ind w:left="700"/>
              <w:spacing w:after="0"/>
              <w:rPr>
                <w:sz w:val="20"/>
                <w:szCs w:val="20"/>
                <w:color w:val="auto"/>
              </w:rPr>
            </w:pPr>
            <w:r>
              <w:rPr>
                <w:rFonts w:ascii="Courier New" w:cs="Courier New" w:eastAsia="Courier New" w:hAnsi="Courier New"/>
                <w:sz w:val="14"/>
                <w:szCs w:val="14"/>
                <w:color w:val="auto"/>
              </w:rPr>
              <w:t>and Secretary</w:t>
            </w: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3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1840 DeHavilland Drive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Thousand Oaks, CA</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91320-1789</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1"/>
        </w:trPr>
        <w:tc>
          <w:tcPr>
            <w:tcW w:w="2100" w:type="dxa"/>
            <w:vAlign w:val="bottom"/>
          </w:tcPr>
          <w:p>
            <w:pPr>
              <w:spacing w:after="0"/>
              <w:rPr>
                <w:sz w:val="24"/>
                <w:szCs w:val="24"/>
                <w:color w:val="auto"/>
              </w:rPr>
            </w:pPr>
          </w:p>
        </w:tc>
        <w:tc>
          <w:tcPr>
            <w:tcW w:w="1000" w:type="dxa"/>
            <w:vAlign w:val="bottom"/>
          </w:tcPr>
          <w:p>
            <w:pPr>
              <w:ind w:left="600"/>
              <w:spacing w:after="0"/>
              <w:rPr>
                <w:sz w:val="20"/>
                <w:szCs w:val="20"/>
                <w:color w:val="auto"/>
              </w:rPr>
            </w:pPr>
            <w:r>
              <w:rPr>
                <w:rFonts w:ascii="Courier New" w:cs="Courier New" w:eastAsia="Courier New" w:hAnsi="Courier New"/>
                <w:sz w:val="14"/>
                <w:szCs w:val="14"/>
                <w:color w:val="auto"/>
              </w:rPr>
              <w:t>Page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9 of 11 Pages</w:t>
            </w:r>
          </w:p>
        </w:tc>
        <w:tc>
          <w:tcPr>
            <w:tcW w:w="15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00"/>
          </w:cols>
          <w:pgMar w:left="220" w:top="620" w:right="47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Daniel Vapnek</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Amgen Inc.</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Senior Vice President, Research</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Amgen Center</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1840 DeHavilland Drive</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Thousand Oaks, CA</w:t>
            </w:r>
          </w:p>
        </w:tc>
        <w:tc>
          <w:tcPr>
            <w:tcW w:w="18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91320-1789</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Linda R. Wudl</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Amgen Inc.</w:t>
            </w: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Vice President, Quality Assurance</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Amgen Center</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1840 DeHavilland Drive</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Thousand Oaks, CA</w:t>
            </w:r>
          </w:p>
        </w:tc>
        <w:tc>
          <w:tcPr>
            <w:tcW w:w="18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91320-1789</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NON-EMPLOYEE DIRECTORS</w:t>
            </w:r>
          </w:p>
        </w:tc>
        <w:tc>
          <w:tcPr>
            <w:tcW w:w="1260" w:type="dxa"/>
            <w:vAlign w:val="bottom"/>
          </w:tcPr>
          <w:p>
            <w:pPr>
              <w:spacing w:after="0"/>
              <w:rPr>
                <w:sz w:val="24"/>
                <w:szCs w:val="2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Present Business Address</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Present Principal Occupation</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Citizenship</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60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w:t>
            </w:r>
          </w:p>
        </w:tc>
        <w:tc>
          <w:tcPr>
            <w:tcW w:w="398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Raymond F. Baddour</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c/o CRB, Inc.</w:t>
            </w: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Lammot du Pont Professor Emeritus,</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Attn: Arnette C. Baddour</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Massachusetts Institute of Technology</w:t>
            </w: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2600 Douglas Road, Suite 602</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Coral Gables, FL</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33134</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William K. Bowes, Jr.</w:t>
            </w: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U.S. Venture Partners</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General Partner, U.S. Venture Partners</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2180 Sand Hill Road, Suite 300</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Menlo Park, CA  94025</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Franklin P. Johnson, Jr.</w:t>
            </w: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Asset Management Partners</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General Partner, Asset Management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2275 East Bayshore Road,</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Partners</w:t>
            </w: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Suite 150</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Palo Alto, CA</w:t>
            </w:r>
          </w:p>
        </w:tc>
        <w:tc>
          <w:tcPr>
            <w:tcW w:w="2220" w:type="dxa"/>
            <w:vAlign w:val="bottom"/>
            <w:gridSpan w:val="2"/>
          </w:tcPr>
          <w:p>
            <w:pPr>
              <w:jc w:val="right"/>
              <w:ind w:right="1548"/>
              <w:spacing w:after="0"/>
              <w:rPr>
                <w:sz w:val="20"/>
                <w:szCs w:val="20"/>
                <w:color w:val="auto"/>
              </w:rPr>
            </w:pPr>
            <w:r>
              <w:rPr>
                <w:rFonts w:ascii="Courier New" w:cs="Courier New" w:eastAsia="Courier New" w:hAnsi="Courier New"/>
                <w:sz w:val="14"/>
                <w:szCs w:val="14"/>
                <w:color w:val="auto"/>
              </w:rPr>
              <w:t>94303</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Steven Lazarus</w:t>
            </w: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ARCH Venture Partners</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Managing General Partner, ARCH Venture</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135 South La Salle Street,</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Partners, L.P.</w:t>
            </w: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Suite 3702</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Chicago, IL</w:t>
            </w:r>
          </w:p>
        </w:tc>
        <w:tc>
          <w:tcPr>
            <w:tcW w:w="222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w w:val="99"/>
              </w:rPr>
              <w:t>60603</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Edward J. Ledder</w:t>
            </w: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Medicine Bow River Ranch</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Retired Chairman of the Board and</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P.O. Box 410</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Chief Executive Officer, Abbott</w:t>
            </w: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Medicine Bow, WY</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82329</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Laboratories</w:t>
            </w:r>
          </w:p>
        </w:tc>
        <w:tc>
          <w:tcPr>
            <w:tcW w:w="12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Gilbert S. Omenn</w:t>
            </w: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School of Public Health</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Dean, School of Public Health and</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SC-30</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Community Medicine, University of</w:t>
            </w: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University of Washington</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Washington</w:t>
            </w: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Seattle, WA</w:t>
            </w:r>
          </w:p>
        </w:tc>
        <w:tc>
          <w:tcPr>
            <w:tcW w:w="222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w w:val="99"/>
              </w:rPr>
              <w:t>98195</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Judith C. Pelham</w:t>
            </w: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Mercy Health Services</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President and Chief Executive Officer,</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34605 Twelve Mile Road</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Mercy Health Services</w:t>
            </w:r>
          </w:p>
        </w:tc>
        <w:tc>
          <w:tcPr>
            <w:tcW w:w="12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Farmington Hills, MI  48331-3221</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Bernard H. Semler</w:t>
            </w:r>
          </w:p>
        </w:tc>
        <w:tc>
          <w:tcPr>
            <w:tcW w:w="36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908 Gloucester Crossing</w:t>
            </w:r>
          </w:p>
        </w:tc>
        <w:tc>
          <w:tcPr>
            <w:tcW w:w="3980" w:type="dxa"/>
            <w:vAlign w:val="bottom"/>
          </w:tcPr>
          <w:p>
            <w:pPr>
              <w:ind w:left="560"/>
              <w:spacing w:after="0"/>
              <w:rPr>
                <w:sz w:val="20"/>
                <w:szCs w:val="20"/>
                <w:color w:val="auto"/>
              </w:rPr>
            </w:pPr>
            <w:r>
              <w:rPr>
                <w:rFonts w:ascii="Courier New" w:cs="Courier New" w:eastAsia="Courier New" w:hAnsi="Courier New"/>
                <w:sz w:val="14"/>
                <w:szCs w:val="14"/>
                <w:color w:val="auto"/>
              </w:rPr>
              <w:t>Management Consultant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U.S.</w:t>
            </w:r>
          </w:p>
        </w:tc>
      </w:tr>
      <w:tr>
        <w:trPr>
          <w:trHeight w:val="167"/>
        </w:trPr>
        <w:tc>
          <w:tcPr>
            <w:tcW w:w="2360" w:type="dxa"/>
            <w:vAlign w:val="bottom"/>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Lake Forest, IL</w:t>
            </w:r>
          </w:p>
        </w:tc>
        <w:tc>
          <w:tcPr>
            <w:tcW w:w="1880" w:type="dxa"/>
            <w:vAlign w:val="bottom"/>
          </w:tcPr>
          <w:p>
            <w:pPr>
              <w:jc w:val="right"/>
              <w:ind w:right="1368"/>
              <w:spacing w:after="0"/>
              <w:rPr>
                <w:sz w:val="20"/>
                <w:szCs w:val="20"/>
                <w:color w:val="auto"/>
              </w:rPr>
            </w:pPr>
            <w:r>
              <w:rPr>
                <w:rFonts w:ascii="Courier New" w:cs="Courier New" w:eastAsia="Courier New" w:hAnsi="Courier New"/>
                <w:sz w:val="14"/>
                <w:szCs w:val="14"/>
                <w:color w:val="auto"/>
                <w:w w:val="99"/>
              </w:rPr>
              <w:t>60045</w:t>
            </w: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10 of 11 Pages</w:t>
      </w:r>
    </w:p>
    <w:p>
      <w:pPr>
        <w:sectPr>
          <w:pgSz w:w="11900" w:h="16838" w:orient="portrait"/>
          <w:cols w:equalWidth="0" w:num="1">
            <w:col w:w="11200"/>
          </w:cols>
          <w:pgMar w:left="220" w:top="620" w:right="479" w:bottom="1440" w:gutter="0" w:footer="0" w:header="0"/>
        </w:sectPr>
      </w:pPr>
    </w:p>
    <w:bookmarkStart w:id="10" w:name="page11"/>
    <w:bookmarkEnd w:id="10"/>
    <w:p>
      <w:pPr>
        <w:ind w:left="2520"/>
        <w:spacing w:after="0"/>
        <w:rPr>
          <w:sz w:val="20"/>
          <w:szCs w:val="20"/>
          <w:color w:val="auto"/>
        </w:rPr>
      </w:pPr>
      <w:r>
        <w:rPr>
          <w:rFonts w:ascii="Courier New" w:cs="Courier New" w:eastAsia="Courier New" w:hAnsi="Courier New"/>
          <w:sz w:val="14"/>
          <w:szCs w:val="14"/>
          <w:color w:val="auto"/>
        </w:rPr>
        <w:t>EXHIBIT INDEX</w:t>
      </w:r>
    </w:p>
    <w:p>
      <w:pPr>
        <w:spacing w:after="0" w:line="342" w:lineRule="exact"/>
        <w:rPr>
          <w:sz w:val="20"/>
          <w:szCs w:val="20"/>
          <w:color w:val="auto"/>
        </w:rPr>
      </w:pPr>
    </w:p>
    <w:p>
      <w:pPr>
        <w:ind w:right="3639" w:hanging="433"/>
        <w:spacing w:after="0" w:line="254" w:lineRule="auto"/>
        <w:rPr>
          <w:sz w:val="20"/>
          <w:szCs w:val="20"/>
          <w:color w:val="auto"/>
        </w:rPr>
      </w:pPr>
      <w:r>
        <w:rPr>
          <w:rFonts w:ascii="Courier New" w:cs="Courier New" w:eastAsia="Courier New" w:hAnsi="Courier New"/>
          <w:sz w:val="14"/>
          <w:szCs w:val="14"/>
          <w:color w:val="auto"/>
        </w:rPr>
        <w:t>7.1</w:t>
      </w:r>
      <w:r>
        <w:rPr>
          <w:sz w:val="20"/>
          <w:szCs w:val="20"/>
          <w:color w:val="auto"/>
        </w:rPr>
        <w:t xml:space="preserve"> </w:t>
      </w:r>
      <w:r>
        <w:rPr>
          <w:rFonts w:ascii="Courier New" w:cs="Courier New" w:eastAsia="Courier New" w:hAnsi="Courier New"/>
          <w:sz w:val="14"/>
          <w:szCs w:val="14"/>
          <w:color w:val="auto"/>
        </w:rPr>
        <w:t>Class D Convertible Preferred Stock Purchase Agreement dated as of August 31, 1990 by and between the Issuer and the Reporting Person (incorporated by reference to Exhibit 10.9 to the Issuer's Registration Statement on Form S-1 (file number 33-39043)).</w:t>
      </w:r>
    </w:p>
    <w:p>
      <w:pPr>
        <w:spacing w:after="0" w:line="330"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Page 11 of 11 Pages</w:t>
      </w:r>
    </w:p>
    <w:sectPr>
      <w:pgSz w:w="11900" w:h="16838" w:orient="portrait"/>
      <w:cols w:equalWidth="0" w:num="1">
        <w:col w:w="9799"/>
      </w:cols>
      <w:pgMar w:left="66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1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2019-12-20T00:49:01Z</dcterms:created>
  <dcterms:modified xsi:type="dcterms:W3CDTF">2019-12-20T00:49:01Z</dcterms:modified>
</cp:coreProperties>
</file>