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4"/>
          <w:szCs w:val="24"/>
          <w:color w:val="auto"/>
        </w:rPr>
      </w:pPr>
    </w:p>
    <w:p>
      <w:pPr>
        <w:spacing w:after="0" w:line="210" w:lineRule="exact"/>
        <w:rPr>
          <w:sz w:val="24"/>
          <w:szCs w:val="24"/>
          <w:color w:val="auto"/>
        </w:rPr>
      </w:pPr>
    </w:p>
    <w:p>
      <w:pPr>
        <w:ind w:left="2820"/>
        <w:spacing w:after="0"/>
        <w:rPr>
          <w:sz w:val="20"/>
          <w:szCs w:val="20"/>
          <w:color w:val="auto"/>
        </w:rPr>
      </w:pPr>
      <w:r>
        <w:rPr>
          <w:rFonts w:ascii="Arial" w:cs="Arial" w:eastAsia="Arial" w:hAnsi="Arial"/>
          <w:sz w:val="13"/>
          <w:szCs w:val="13"/>
          <w:b w:val="1"/>
          <w:bCs w:val="1"/>
          <w:color w:val="auto"/>
        </w:rPr>
        <w:t>As filed with the Securities and Exchange Commission on November 4, 2021</w:t>
      </w:r>
    </w:p>
    <w:p>
      <w:pPr>
        <w:spacing w:after="0" w:line="10" w:lineRule="exact"/>
        <w:rPr>
          <w:sz w:val="24"/>
          <w:szCs w:val="24"/>
          <w:color w:val="auto"/>
        </w:rPr>
      </w:pPr>
    </w:p>
    <w:p>
      <w:pPr>
        <w:ind w:left="77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9525</wp:posOffset>
            </wp:positionV>
            <wp:extent cx="557022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0220" cy="2286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48260</wp:posOffset>
            </wp:positionV>
            <wp:extent cx="55702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0220" cy="7620"/>
                    </a:xfrm>
                    <a:prstGeom prst="rect">
                      <a:avLst/>
                    </a:prstGeom>
                    <a:noFill/>
                  </pic:spPr>
                </pic:pic>
              </a:graphicData>
            </a:graphic>
          </wp:anchor>
        </w:drawing>
      </w:r>
    </w:p>
    <w:p>
      <w:pPr>
        <w:spacing w:after="0" w:line="85" w:lineRule="exact"/>
        <w:rPr>
          <w:sz w:val="24"/>
          <w:szCs w:val="24"/>
          <w:color w:val="auto"/>
        </w:rPr>
      </w:pPr>
    </w:p>
    <w:p>
      <w:pPr>
        <w:jc w:val="center"/>
        <w:ind w:right="-240"/>
        <w:spacing w:after="0"/>
        <w:rPr>
          <w:sz w:val="20"/>
          <w:szCs w:val="20"/>
          <w:color w:val="auto"/>
        </w:rPr>
      </w:pPr>
      <w:r>
        <w:rPr>
          <w:rFonts w:ascii="Arial" w:cs="Arial" w:eastAsia="Arial" w:hAnsi="Arial"/>
          <w:sz w:val="26"/>
          <w:szCs w:val="26"/>
          <w:b w:val="1"/>
          <w:bCs w:val="1"/>
          <w:color w:val="auto"/>
        </w:rPr>
        <w:t>UNITED STATES</w:t>
      </w:r>
    </w:p>
    <w:p>
      <w:pPr>
        <w:jc w:val="center"/>
        <w:ind w:right="-320"/>
        <w:spacing w:after="0" w:line="190" w:lineRule="auto"/>
        <w:rPr>
          <w:sz w:val="20"/>
          <w:szCs w:val="20"/>
          <w:color w:val="auto"/>
        </w:rPr>
      </w:pPr>
      <w:r>
        <w:rPr>
          <w:rFonts w:ascii="Arial" w:cs="Arial" w:eastAsia="Arial" w:hAnsi="Arial"/>
          <w:sz w:val="26"/>
          <w:szCs w:val="26"/>
          <w:b w:val="1"/>
          <w:bCs w:val="1"/>
          <w:color w:val="auto"/>
        </w:rPr>
        <w:t>SECURITIES AND EXCHANGE COMMISSION</w:t>
      </w:r>
    </w:p>
    <w:p>
      <w:pPr>
        <w:spacing w:after="0" w:line="1"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48260</wp:posOffset>
            </wp:positionV>
            <wp:extent cx="11125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2520" cy="7620"/>
                    </a:xfrm>
                    <a:prstGeom prst="rect">
                      <a:avLst/>
                    </a:prstGeom>
                    <a:noFill/>
                  </pic:spPr>
                </pic:pic>
              </a:graphicData>
            </a:graphic>
          </wp:anchor>
        </w:drawing>
      </w:r>
    </w:p>
    <w:p>
      <w:pPr>
        <w:spacing w:after="0" w:line="79" w:lineRule="exact"/>
        <w:rPr>
          <w:sz w:val="24"/>
          <w:szCs w:val="24"/>
          <w:color w:val="auto"/>
        </w:rPr>
      </w:pPr>
    </w:p>
    <w:p>
      <w:pPr>
        <w:jc w:val="center"/>
        <w:ind w:right="-320"/>
        <w:spacing w:after="0"/>
        <w:rPr>
          <w:sz w:val="20"/>
          <w:szCs w:val="20"/>
          <w:color w:val="auto"/>
        </w:rPr>
      </w:pPr>
      <w:r>
        <w:rPr>
          <w:rFonts w:ascii="Arial" w:cs="Arial" w:eastAsia="Arial" w:hAnsi="Arial"/>
          <w:sz w:val="26"/>
          <w:szCs w:val="26"/>
          <w:b w:val="1"/>
          <w:bCs w:val="1"/>
          <w:color w:val="auto"/>
        </w:rPr>
        <w:t>FORM S-3</w:t>
      </w:r>
    </w:p>
    <w:p>
      <w:pPr>
        <w:jc w:val="center"/>
        <w:ind w:right="-280"/>
        <w:spacing w:after="0" w:line="195" w:lineRule="auto"/>
        <w:rPr>
          <w:sz w:val="20"/>
          <w:szCs w:val="20"/>
          <w:color w:val="auto"/>
        </w:rPr>
      </w:pPr>
      <w:r>
        <w:rPr>
          <w:rFonts w:ascii="Arial" w:cs="Arial" w:eastAsia="Arial" w:hAnsi="Arial"/>
          <w:sz w:val="13"/>
          <w:szCs w:val="13"/>
          <w:b w:val="1"/>
          <w:bCs w:val="1"/>
          <w:color w:val="auto"/>
        </w:rPr>
        <w:t>REGISTRATION STATEMENT</w:t>
      </w:r>
    </w:p>
    <w:p>
      <w:pPr>
        <w:jc w:val="center"/>
        <w:ind w:right="-280"/>
        <w:spacing w:after="0" w:line="195" w:lineRule="auto"/>
        <w:rPr>
          <w:sz w:val="20"/>
          <w:szCs w:val="20"/>
          <w:color w:val="auto"/>
        </w:rPr>
      </w:pPr>
      <w:r>
        <w:rPr>
          <w:rFonts w:ascii="Arial" w:cs="Arial" w:eastAsia="Arial" w:hAnsi="Arial"/>
          <w:sz w:val="13"/>
          <w:szCs w:val="13"/>
          <w:b w:val="1"/>
          <w:bCs w:val="1"/>
          <w:color w:val="auto"/>
        </w:rPr>
        <w:t>UNDER</w:t>
      </w:r>
    </w:p>
    <w:p>
      <w:pPr>
        <w:jc w:val="center"/>
        <w:ind w:right="-320"/>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48260</wp:posOffset>
            </wp:positionV>
            <wp:extent cx="11125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2520" cy="7620"/>
                    </a:xfrm>
                    <a:prstGeom prst="rect">
                      <a:avLst/>
                    </a:prstGeom>
                    <a:noFill/>
                  </pic:spPr>
                </pic:pic>
              </a:graphicData>
            </a:graphic>
          </wp:anchor>
        </w:drawing>
      </w:r>
    </w:p>
    <w:p>
      <w:pPr>
        <w:spacing w:after="0" w:line="111" w:lineRule="exact"/>
        <w:rPr>
          <w:sz w:val="24"/>
          <w:szCs w:val="24"/>
          <w:color w:val="auto"/>
        </w:rPr>
      </w:pPr>
    </w:p>
    <w:p>
      <w:pPr>
        <w:jc w:val="center"/>
        <w:ind w:right="-320"/>
        <w:spacing w:after="0"/>
        <w:rPr>
          <w:sz w:val="20"/>
          <w:szCs w:val="20"/>
          <w:color w:val="auto"/>
        </w:rPr>
      </w:pPr>
      <w:r>
        <w:rPr>
          <w:rFonts w:ascii="Arial" w:cs="Arial" w:eastAsia="Arial" w:hAnsi="Arial"/>
          <w:sz w:val="26"/>
          <w:szCs w:val="26"/>
          <w:b w:val="1"/>
          <w:bCs w:val="1"/>
          <w:color w:val="auto"/>
        </w:rPr>
        <w:t>Regeneron Pharmaceuticals, Inc.</w:t>
      </w:r>
    </w:p>
    <w:p>
      <w:pPr>
        <w:spacing w:after="0" w:line="17" w:lineRule="exact"/>
        <w:rPr>
          <w:sz w:val="24"/>
          <w:szCs w:val="24"/>
          <w:color w:val="auto"/>
        </w:rPr>
      </w:pPr>
    </w:p>
    <w:p>
      <w:pPr>
        <w:jc w:val="center"/>
        <w:ind w:right="-300"/>
        <w:spacing w:after="0"/>
        <w:rPr>
          <w:sz w:val="20"/>
          <w:szCs w:val="20"/>
          <w:color w:val="auto"/>
        </w:rPr>
      </w:pPr>
      <w:r>
        <w:rPr>
          <w:rFonts w:ascii="Arial" w:cs="Arial" w:eastAsia="Arial" w:hAnsi="Arial"/>
          <w:sz w:val="13"/>
          <w:szCs w:val="13"/>
          <w:color w:val="auto"/>
        </w:rPr>
        <w:t>(Exact Name of Registrant as Specified in Its Charter)</w:t>
      </w:r>
    </w:p>
    <w:p>
      <w:pPr>
        <w:spacing w:after="0" w:line="19" w:lineRule="exact"/>
        <w:rPr>
          <w:sz w:val="24"/>
          <w:szCs w:val="24"/>
          <w:color w:val="auto"/>
        </w:rPr>
      </w:pPr>
    </w:p>
    <w:tbl>
      <w:tblPr>
        <w:tblLayout w:type="fixed"/>
        <w:tblInd w:w="1740" w:type="dxa"/>
        <w:tblCellMar>
          <w:top w:w="0" w:type="dxa"/>
          <w:left w:w="0" w:type="dxa"/>
          <w:bottom w:w="0" w:type="dxa"/>
          <w:right w:w="0" w:type="dxa"/>
        </w:tblCellMar>
      </w:tblPr>
      <w:tr>
        <w:trPr>
          <w:trHeight w:val="150"/>
        </w:trPr>
        <w:tc>
          <w:tcPr>
            <w:tcW w:w="3240" w:type="dxa"/>
            <w:vAlign w:val="bottom"/>
          </w:tcPr>
          <w:p>
            <w:pPr>
              <w:ind w:left="580"/>
              <w:spacing w:after="0"/>
              <w:rPr>
                <w:sz w:val="20"/>
                <w:szCs w:val="20"/>
                <w:color w:val="auto"/>
              </w:rPr>
            </w:pPr>
            <w:r>
              <w:rPr>
                <w:rFonts w:ascii="Arial" w:cs="Arial" w:eastAsia="Arial" w:hAnsi="Arial"/>
                <w:sz w:val="13"/>
                <w:szCs w:val="13"/>
                <w:b w:val="1"/>
                <w:bCs w:val="1"/>
                <w:color w:val="auto"/>
              </w:rPr>
              <w:t>New York</w:t>
            </w:r>
          </w:p>
        </w:tc>
        <w:tc>
          <w:tcPr>
            <w:tcW w:w="2580" w:type="dxa"/>
            <w:vAlign w:val="bottom"/>
          </w:tcPr>
          <w:p>
            <w:pPr>
              <w:jc w:val="right"/>
              <w:ind w:right="135"/>
              <w:spacing w:after="0"/>
              <w:rPr>
                <w:sz w:val="20"/>
                <w:szCs w:val="20"/>
                <w:color w:val="auto"/>
              </w:rPr>
            </w:pPr>
            <w:r>
              <w:rPr>
                <w:rFonts w:ascii="Arial" w:cs="Arial" w:eastAsia="Arial" w:hAnsi="Arial"/>
                <w:sz w:val="13"/>
                <w:szCs w:val="13"/>
                <w:b w:val="1"/>
                <w:bCs w:val="1"/>
                <w:color w:val="auto"/>
              </w:rPr>
              <w:t>13-3444607</w:t>
            </w:r>
          </w:p>
        </w:tc>
      </w:tr>
      <w:tr>
        <w:trPr>
          <w:trHeight w:val="146"/>
        </w:trPr>
        <w:tc>
          <w:tcPr>
            <w:tcW w:w="3240" w:type="dxa"/>
            <w:vAlign w:val="bottom"/>
          </w:tcPr>
          <w:p>
            <w:pPr>
              <w:spacing w:after="0" w:line="146" w:lineRule="exact"/>
              <w:rPr>
                <w:sz w:val="20"/>
                <w:szCs w:val="20"/>
                <w:color w:val="auto"/>
              </w:rPr>
            </w:pPr>
            <w:r>
              <w:rPr>
                <w:rFonts w:ascii="Arial" w:cs="Arial" w:eastAsia="Arial" w:hAnsi="Arial"/>
                <w:sz w:val="13"/>
                <w:szCs w:val="13"/>
                <w:color w:val="auto"/>
              </w:rPr>
              <w:t>(State or Other Jurisdiction of</w:t>
            </w:r>
          </w:p>
        </w:tc>
        <w:tc>
          <w:tcPr>
            <w:tcW w:w="2580" w:type="dxa"/>
            <w:vAlign w:val="bottom"/>
          </w:tcPr>
          <w:p>
            <w:pPr>
              <w:ind w:left="1600"/>
              <w:spacing w:after="0" w:line="146" w:lineRule="exact"/>
              <w:rPr>
                <w:sz w:val="20"/>
                <w:szCs w:val="20"/>
                <w:color w:val="auto"/>
              </w:rPr>
            </w:pPr>
            <w:r>
              <w:rPr>
                <w:rFonts w:ascii="Arial" w:cs="Arial" w:eastAsia="Arial" w:hAnsi="Arial"/>
                <w:sz w:val="13"/>
                <w:szCs w:val="13"/>
                <w:color w:val="auto"/>
              </w:rPr>
              <w:t>(I.R.S. Employer</w:t>
            </w:r>
          </w:p>
        </w:tc>
      </w:tr>
      <w:tr>
        <w:trPr>
          <w:trHeight w:val="164"/>
        </w:trPr>
        <w:tc>
          <w:tcPr>
            <w:tcW w:w="324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2580" w:type="dxa"/>
            <w:vAlign w:val="bottom"/>
          </w:tcPr>
          <w:p>
            <w:pPr>
              <w:jc w:val="center"/>
              <w:ind w:left="1495"/>
              <w:spacing w:after="0"/>
              <w:rPr>
                <w:sz w:val="20"/>
                <w:szCs w:val="20"/>
                <w:color w:val="auto"/>
              </w:rPr>
            </w:pPr>
            <w:r>
              <w:rPr>
                <w:rFonts w:ascii="Arial" w:cs="Arial" w:eastAsia="Arial" w:hAnsi="Arial"/>
                <w:sz w:val="13"/>
                <w:szCs w:val="13"/>
                <w:color w:val="auto"/>
              </w:rPr>
              <w:t>Identification No.)</w:t>
            </w:r>
          </w:p>
        </w:tc>
      </w:tr>
    </w:tbl>
    <w:p>
      <w:pPr>
        <w:spacing w:after="0" w:line="135"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777 Old Saw Mill River Road</w:t>
      </w:r>
    </w:p>
    <w:p>
      <w:pPr>
        <w:jc w:val="center"/>
        <w:ind w:right="-280"/>
        <w:spacing w:after="0" w:line="195" w:lineRule="auto"/>
        <w:rPr>
          <w:sz w:val="20"/>
          <w:szCs w:val="20"/>
          <w:color w:val="auto"/>
        </w:rPr>
      </w:pPr>
      <w:r>
        <w:rPr>
          <w:rFonts w:ascii="Arial" w:cs="Arial" w:eastAsia="Arial" w:hAnsi="Arial"/>
          <w:sz w:val="13"/>
          <w:szCs w:val="13"/>
          <w:b w:val="1"/>
          <w:bCs w:val="1"/>
          <w:color w:val="auto"/>
        </w:rPr>
        <w:t>Tarrytown, New York 10591-6707</w:t>
      </w:r>
    </w:p>
    <w:p>
      <w:pPr>
        <w:jc w:val="center"/>
        <w:ind w:right="-320"/>
        <w:spacing w:after="0" w:line="234" w:lineRule="auto"/>
        <w:rPr>
          <w:sz w:val="20"/>
          <w:szCs w:val="20"/>
          <w:color w:val="auto"/>
        </w:rPr>
      </w:pPr>
      <w:r>
        <w:rPr>
          <w:rFonts w:ascii="Arial" w:cs="Arial" w:eastAsia="Arial" w:hAnsi="Arial"/>
          <w:sz w:val="13"/>
          <w:szCs w:val="13"/>
          <w:b w:val="1"/>
          <w:bCs w:val="1"/>
          <w:color w:val="auto"/>
        </w:rPr>
        <w:t>(914) 847-7000</w:t>
      </w:r>
    </w:p>
    <w:p>
      <w:pPr>
        <w:jc w:val="center"/>
        <w:ind w:right="-300"/>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48260</wp:posOffset>
            </wp:positionV>
            <wp:extent cx="11125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2520" cy="7620"/>
                    </a:xfrm>
                    <a:prstGeom prst="rect">
                      <a:avLst/>
                    </a:prstGeom>
                    <a:noFill/>
                  </pic:spPr>
                </pic:pic>
              </a:graphicData>
            </a:graphic>
          </wp:anchor>
        </w:drawing>
      </w:r>
    </w:p>
    <w:p>
      <w:pPr>
        <w:spacing w:after="0" w:line="131"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Joseph J. LaRosa, Esq.</w:t>
      </w:r>
    </w:p>
    <w:p>
      <w:pPr>
        <w:jc w:val="center"/>
        <w:ind w:right="-280"/>
        <w:spacing w:after="0" w:line="214" w:lineRule="auto"/>
        <w:rPr>
          <w:sz w:val="20"/>
          <w:szCs w:val="20"/>
          <w:color w:val="auto"/>
        </w:rPr>
      </w:pPr>
      <w:r>
        <w:rPr>
          <w:rFonts w:ascii="Arial" w:cs="Arial" w:eastAsia="Arial" w:hAnsi="Arial"/>
          <w:sz w:val="13"/>
          <w:szCs w:val="13"/>
          <w:b w:val="1"/>
          <w:bCs w:val="1"/>
          <w:color w:val="auto"/>
        </w:rPr>
        <w:t>Executive Vice President, General Counsel and Secretary</w:t>
      </w:r>
    </w:p>
    <w:p>
      <w:pPr>
        <w:jc w:val="center"/>
        <w:ind w:right="-280"/>
        <w:spacing w:after="0" w:line="215" w:lineRule="auto"/>
        <w:rPr>
          <w:sz w:val="20"/>
          <w:szCs w:val="20"/>
          <w:color w:val="auto"/>
        </w:rPr>
      </w:pPr>
      <w:r>
        <w:rPr>
          <w:rFonts w:ascii="Arial" w:cs="Arial" w:eastAsia="Arial" w:hAnsi="Arial"/>
          <w:sz w:val="13"/>
          <w:szCs w:val="13"/>
          <w:b w:val="1"/>
          <w:bCs w:val="1"/>
          <w:color w:val="auto"/>
        </w:rPr>
        <w:t>Regeneron Pharmaceuticals, Inc.</w:t>
      </w:r>
    </w:p>
    <w:p>
      <w:pPr>
        <w:jc w:val="center"/>
        <w:ind w:right="-280"/>
        <w:spacing w:after="0" w:line="215" w:lineRule="auto"/>
        <w:rPr>
          <w:sz w:val="20"/>
          <w:szCs w:val="20"/>
          <w:color w:val="auto"/>
        </w:rPr>
      </w:pPr>
      <w:r>
        <w:rPr>
          <w:rFonts w:ascii="Arial" w:cs="Arial" w:eastAsia="Arial" w:hAnsi="Arial"/>
          <w:sz w:val="13"/>
          <w:szCs w:val="13"/>
          <w:b w:val="1"/>
          <w:bCs w:val="1"/>
          <w:color w:val="auto"/>
        </w:rPr>
        <w:t>777 Old Saw Mill River Road</w:t>
      </w:r>
    </w:p>
    <w:p>
      <w:pPr>
        <w:jc w:val="center"/>
        <w:ind w:right="-280"/>
        <w:spacing w:after="0" w:line="215" w:lineRule="auto"/>
        <w:rPr>
          <w:sz w:val="20"/>
          <w:szCs w:val="20"/>
          <w:color w:val="auto"/>
        </w:rPr>
      </w:pPr>
      <w:r>
        <w:rPr>
          <w:rFonts w:ascii="Arial" w:cs="Arial" w:eastAsia="Arial" w:hAnsi="Arial"/>
          <w:sz w:val="13"/>
          <w:szCs w:val="13"/>
          <w:b w:val="1"/>
          <w:bCs w:val="1"/>
          <w:color w:val="auto"/>
        </w:rPr>
        <w:t>Tarrytown, New York 10591-6707</w:t>
      </w:r>
    </w:p>
    <w:p>
      <w:pPr>
        <w:jc w:val="center"/>
        <w:ind w:right="-320"/>
        <w:spacing w:after="0" w:line="234" w:lineRule="auto"/>
        <w:rPr>
          <w:sz w:val="20"/>
          <w:szCs w:val="20"/>
          <w:color w:val="auto"/>
        </w:rPr>
      </w:pPr>
      <w:r>
        <w:rPr>
          <w:rFonts w:ascii="Arial" w:cs="Arial" w:eastAsia="Arial" w:hAnsi="Arial"/>
          <w:sz w:val="13"/>
          <w:szCs w:val="13"/>
          <w:b w:val="1"/>
          <w:bCs w:val="1"/>
          <w:color w:val="auto"/>
        </w:rPr>
        <w:t>(914) 847-7000</w:t>
      </w:r>
    </w:p>
    <w:p>
      <w:pPr>
        <w:jc w:val="center"/>
        <w:ind w:right="-300"/>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48260</wp:posOffset>
            </wp:positionV>
            <wp:extent cx="11125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2520" cy="7620"/>
                    </a:xfrm>
                    <a:prstGeom prst="rect">
                      <a:avLst/>
                    </a:prstGeom>
                    <a:noFill/>
                  </pic:spPr>
                </pic:pic>
              </a:graphicData>
            </a:graphic>
          </wp:anchor>
        </w:drawing>
      </w:r>
    </w:p>
    <w:p>
      <w:pPr>
        <w:spacing w:after="0" w:line="133"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With a copy to:</w:t>
      </w:r>
    </w:p>
    <w:p>
      <w:pPr>
        <w:spacing w:after="0" w:line="31"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David J. Goldschmidt, Esq.</w:t>
      </w:r>
    </w:p>
    <w:p>
      <w:pPr>
        <w:jc w:val="center"/>
        <w:ind w:right="-280"/>
        <w:spacing w:after="0" w:line="214" w:lineRule="auto"/>
        <w:rPr>
          <w:sz w:val="20"/>
          <w:szCs w:val="20"/>
          <w:color w:val="auto"/>
        </w:rPr>
      </w:pPr>
      <w:r>
        <w:rPr>
          <w:rFonts w:ascii="Arial" w:cs="Arial" w:eastAsia="Arial" w:hAnsi="Arial"/>
          <w:sz w:val="13"/>
          <w:szCs w:val="13"/>
          <w:color w:val="auto"/>
        </w:rPr>
        <w:t>Skadden, Arps, Slate, Meagher &amp; Flom LLP</w:t>
      </w:r>
    </w:p>
    <w:p>
      <w:pPr>
        <w:jc w:val="center"/>
        <w:ind w:right="-280"/>
        <w:spacing w:after="0" w:line="215" w:lineRule="auto"/>
        <w:rPr>
          <w:sz w:val="20"/>
          <w:szCs w:val="20"/>
          <w:color w:val="auto"/>
        </w:rPr>
      </w:pPr>
      <w:r>
        <w:rPr>
          <w:rFonts w:ascii="Arial" w:cs="Arial" w:eastAsia="Arial" w:hAnsi="Arial"/>
          <w:sz w:val="13"/>
          <w:szCs w:val="13"/>
          <w:color w:val="auto"/>
        </w:rPr>
        <w:t>One Manhattan West</w:t>
      </w:r>
    </w:p>
    <w:p>
      <w:pPr>
        <w:jc w:val="center"/>
        <w:ind w:right="-280"/>
        <w:spacing w:after="0" w:line="215" w:lineRule="auto"/>
        <w:rPr>
          <w:sz w:val="20"/>
          <w:szCs w:val="20"/>
          <w:color w:val="auto"/>
        </w:rPr>
      </w:pPr>
      <w:r>
        <w:rPr>
          <w:rFonts w:ascii="Arial" w:cs="Arial" w:eastAsia="Arial" w:hAnsi="Arial"/>
          <w:sz w:val="13"/>
          <w:szCs w:val="13"/>
          <w:color w:val="auto"/>
        </w:rPr>
        <w:t>New York, New York 10001</w:t>
      </w:r>
    </w:p>
    <w:p>
      <w:pPr>
        <w:jc w:val="center"/>
        <w:ind w:right="-280"/>
        <w:spacing w:after="0" w:line="215" w:lineRule="auto"/>
        <w:rPr>
          <w:sz w:val="20"/>
          <w:szCs w:val="20"/>
          <w:color w:val="auto"/>
        </w:rPr>
      </w:pPr>
      <w:r>
        <w:rPr>
          <w:rFonts w:ascii="Arial" w:cs="Arial" w:eastAsia="Arial" w:hAnsi="Arial"/>
          <w:sz w:val="13"/>
          <w:szCs w:val="13"/>
          <w:color w:val="auto"/>
        </w:rPr>
        <w:t>Telephone: (212) 735-3000</w:t>
      </w:r>
    </w:p>
    <w:p>
      <w:pPr>
        <w:jc w:val="center"/>
        <w:ind w:right="-300"/>
        <w:spacing w:after="0"/>
        <w:rPr>
          <w:sz w:val="20"/>
          <w:szCs w:val="20"/>
          <w:color w:val="auto"/>
        </w:rPr>
      </w:pPr>
      <w:r>
        <w:rPr>
          <w:rFonts w:ascii="Arial" w:cs="Arial" w:eastAsia="Arial" w:hAnsi="Arial"/>
          <w:sz w:val="13"/>
          <w:szCs w:val="13"/>
          <w:color w:val="auto"/>
        </w:rPr>
        <w:t>Facsimile: (212) 735-2000</w:t>
      </w:r>
    </w:p>
    <w:p>
      <w:pPr>
        <w:spacing w:after="0" w:line="19" w:lineRule="exact"/>
        <w:rPr>
          <w:sz w:val="24"/>
          <w:szCs w:val="24"/>
          <w:color w:val="auto"/>
        </w:rPr>
      </w:pPr>
    </w:p>
    <w:p>
      <w:pPr>
        <w:ind w:left="440" w:right="139" w:firstLine="324"/>
        <w:spacing w:after="0" w:line="243" w:lineRule="auto"/>
        <w:rPr>
          <w:sz w:val="20"/>
          <w:szCs w:val="20"/>
          <w:color w:val="auto"/>
        </w:rPr>
      </w:pPr>
      <w:r>
        <w:rPr>
          <w:rFonts w:ascii="Arial" w:cs="Arial" w:eastAsia="Arial" w:hAnsi="Arial"/>
          <w:sz w:val="13"/>
          <w:szCs w:val="13"/>
          <w:b w:val="1"/>
          <w:bCs w:val="1"/>
          <w:color w:val="auto"/>
        </w:rPr>
        <w:t>Approximate date of commencement of proposed sale to the public: From time to time after the effective date of this registration statement as determined by the Registrant</w:t>
      </w:r>
    </w:p>
    <w:p>
      <w:pPr>
        <w:spacing w:after="0" w:line="18" w:lineRule="exact"/>
        <w:rPr>
          <w:sz w:val="24"/>
          <w:szCs w:val="24"/>
          <w:color w:val="auto"/>
        </w:rPr>
      </w:pPr>
    </w:p>
    <w:p>
      <w:pPr>
        <w:ind w:left="440" w:right="539" w:firstLine="324"/>
        <w:spacing w:after="0" w:line="156"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6" w:lineRule="exact"/>
        <w:rPr>
          <w:sz w:val="24"/>
          <w:szCs w:val="24"/>
          <w:color w:val="auto"/>
        </w:rPr>
      </w:pPr>
    </w:p>
    <w:p>
      <w:pPr>
        <w:ind w:left="440" w:right="319" w:firstLine="324"/>
        <w:spacing w:after="0" w:line="156"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6" w:lineRule="exact"/>
        <w:rPr>
          <w:sz w:val="24"/>
          <w:szCs w:val="24"/>
          <w:color w:val="auto"/>
        </w:rPr>
      </w:pPr>
    </w:p>
    <w:p>
      <w:pPr>
        <w:ind w:left="440" w:right="319" w:firstLine="324"/>
        <w:spacing w:after="0" w:line="15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 w:lineRule="exact"/>
        <w:rPr>
          <w:sz w:val="24"/>
          <w:szCs w:val="24"/>
          <w:color w:val="auto"/>
        </w:rPr>
      </w:pPr>
    </w:p>
    <w:p>
      <w:pPr>
        <w:ind w:left="440" w:right="479" w:firstLine="324"/>
        <w:spacing w:after="0" w:line="15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 w:lineRule="exact"/>
        <w:rPr>
          <w:sz w:val="24"/>
          <w:szCs w:val="24"/>
          <w:color w:val="auto"/>
        </w:rPr>
      </w:pPr>
    </w:p>
    <w:p>
      <w:pPr>
        <w:ind w:left="440" w:right="279" w:firstLine="324"/>
        <w:spacing w:after="0" w:line="156"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6" w:lineRule="exact"/>
        <w:rPr>
          <w:sz w:val="24"/>
          <w:szCs w:val="24"/>
          <w:color w:val="auto"/>
        </w:rPr>
      </w:pPr>
    </w:p>
    <w:p>
      <w:pPr>
        <w:ind w:left="440" w:right="399" w:firstLine="324"/>
        <w:spacing w:after="0" w:line="156"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6" w:lineRule="exact"/>
        <w:rPr>
          <w:sz w:val="24"/>
          <w:szCs w:val="24"/>
          <w:color w:val="auto"/>
        </w:rPr>
      </w:pPr>
    </w:p>
    <w:p>
      <w:pPr>
        <w:jc w:val="both"/>
        <w:ind w:left="440" w:right="199" w:firstLine="324"/>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400" w:type="dxa"/>
        <w:tblCellMar>
          <w:top w:w="0" w:type="dxa"/>
          <w:left w:w="0" w:type="dxa"/>
          <w:bottom w:w="0" w:type="dxa"/>
          <w:right w:w="0" w:type="dxa"/>
        </w:tblCellMar>
      </w:tblPr>
      <w:tr>
        <w:trPr>
          <w:trHeight w:val="146"/>
        </w:trPr>
        <w:tc>
          <w:tcPr>
            <w:tcW w:w="1400" w:type="dxa"/>
            <w:vAlign w:val="bottom"/>
          </w:tcPr>
          <w:p>
            <w:pPr>
              <w:spacing w:after="0" w:line="146" w:lineRule="exact"/>
              <w:rPr>
                <w:sz w:val="20"/>
                <w:szCs w:val="20"/>
                <w:color w:val="auto"/>
              </w:rPr>
            </w:pPr>
            <w:r>
              <w:rPr>
                <w:rFonts w:ascii="Arial" w:cs="Arial" w:eastAsia="Arial" w:hAnsi="Arial"/>
                <w:sz w:val="13"/>
                <w:szCs w:val="13"/>
                <w:color w:val="auto"/>
              </w:rPr>
              <w:t>Large accelerated filer</w:t>
            </w:r>
          </w:p>
        </w:tc>
        <w:tc>
          <w:tcPr>
            <w:tcW w:w="120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920"/>
              <w:spacing w:after="0" w:line="146" w:lineRule="exact"/>
              <w:rPr>
                <w:sz w:val="20"/>
                <w:szCs w:val="20"/>
                <w:color w:val="auto"/>
              </w:rPr>
            </w:pPr>
            <w:r>
              <w:rPr>
                <w:rFonts w:ascii="Arial" w:cs="Arial" w:eastAsia="Arial" w:hAnsi="Arial"/>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22"/>
        </w:trPr>
        <w:tc>
          <w:tcPr>
            <w:tcW w:w="1400" w:type="dxa"/>
            <w:vAlign w:val="bottom"/>
          </w:tcPr>
          <w:p>
            <w:pPr>
              <w:spacing w:after="0" w:line="122" w:lineRule="exact"/>
              <w:rPr>
                <w:sz w:val="20"/>
                <w:szCs w:val="20"/>
                <w:color w:val="auto"/>
              </w:rPr>
            </w:pPr>
            <w:r>
              <w:rPr>
                <w:rFonts w:ascii="Arial" w:cs="Arial" w:eastAsia="Arial" w:hAnsi="Arial"/>
                <w:sz w:val="13"/>
                <w:szCs w:val="13"/>
                <w:color w:val="auto"/>
              </w:rPr>
              <w:t>Non-accelerated filer</w:t>
            </w:r>
          </w:p>
        </w:tc>
        <w:tc>
          <w:tcPr>
            <w:tcW w:w="1200" w:type="dxa"/>
            <w:vAlign w:val="bottom"/>
          </w:tcPr>
          <w:p>
            <w:pPr>
              <w:ind w:left="160"/>
              <w:spacing w:after="0" w:line="122"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920"/>
              <w:spacing w:after="0" w:line="122" w:lineRule="exact"/>
              <w:rPr>
                <w:sz w:val="20"/>
                <w:szCs w:val="20"/>
                <w:color w:val="auto"/>
              </w:rPr>
            </w:pPr>
            <w:r>
              <w:rPr>
                <w:rFonts w:ascii="Arial" w:cs="Arial" w:eastAsia="Arial" w:hAnsi="Arial"/>
                <w:sz w:val="13"/>
                <w:szCs w:val="13"/>
                <w:color w:val="auto"/>
              </w:rPr>
              <w:t>Smaller reporting company</w:t>
            </w:r>
          </w:p>
        </w:tc>
        <w:tc>
          <w:tcPr>
            <w:tcW w:w="300" w:type="dxa"/>
            <w:vAlign w:val="bottom"/>
          </w:tcPr>
          <w:p>
            <w:pPr>
              <w:ind w:left="180"/>
              <w:spacing w:after="0" w:line="122"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580" w:type="dxa"/>
            <w:vAlign w:val="bottom"/>
          </w:tcPr>
          <w:p>
            <w:pPr>
              <w:ind w:left="920"/>
              <w:spacing w:after="0"/>
              <w:rPr>
                <w:sz w:val="20"/>
                <w:szCs w:val="20"/>
                <w:color w:val="auto"/>
              </w:rPr>
            </w:pPr>
            <w:r>
              <w:rPr>
                <w:rFonts w:ascii="Arial" w:cs="Arial" w:eastAsia="Arial" w:hAnsi="Arial"/>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9" w:lineRule="exact"/>
        <w:rPr>
          <w:sz w:val="24"/>
          <w:szCs w:val="24"/>
          <w:color w:val="auto"/>
        </w:rPr>
      </w:pPr>
    </w:p>
    <w:p>
      <w:pPr>
        <w:ind w:left="440" w:right="219" w:firstLine="324"/>
        <w:spacing w:after="0" w:line="15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3"/>
          <w:szCs w:val="13"/>
          <w:color w:val="auto"/>
        </w:rPr>
        <w:t>☐</w:t>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CALCULATION OF REGISTRATION FEE</w:t>
      </w:r>
    </w:p>
    <w:p>
      <w:pPr>
        <w:spacing w:after="0" w:line="21" w:lineRule="exact"/>
        <w:rPr>
          <w:sz w:val="24"/>
          <w:szCs w:val="24"/>
          <w:color w:val="auto"/>
        </w:rPr>
      </w:pPr>
    </w:p>
    <w:tbl>
      <w:tblPr>
        <w:tblLayout w:type="fixed"/>
        <w:tblInd w:w="440" w:type="dxa"/>
        <w:tblCellMar>
          <w:top w:w="0" w:type="dxa"/>
          <w:left w:w="0" w:type="dxa"/>
          <w:bottom w:w="0" w:type="dxa"/>
          <w:right w:w="0" w:type="dxa"/>
        </w:tblCellMar>
      </w:tblPr>
      <w:tr>
        <w:trPr>
          <w:trHeight w:val="40"/>
        </w:trPr>
        <w:tc>
          <w:tcPr>
            <w:tcW w:w="424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r>
      <w:tr>
        <w:trPr>
          <w:trHeight w:val="127"/>
        </w:trPr>
        <w:tc>
          <w:tcPr>
            <w:tcW w:w="42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ind w:right="19"/>
              <w:spacing w:after="0" w:line="127" w:lineRule="exact"/>
              <w:rPr>
                <w:sz w:val="20"/>
                <w:szCs w:val="20"/>
                <w:color w:val="auto"/>
              </w:rPr>
            </w:pPr>
            <w:r>
              <w:rPr>
                <w:rFonts w:ascii="Arial" w:cs="Arial" w:eastAsia="Arial" w:hAnsi="Arial"/>
                <w:sz w:val="13"/>
                <w:szCs w:val="13"/>
                <w:b w:val="1"/>
                <w:bCs w:val="1"/>
                <w:color w:val="auto"/>
                <w:w w:val="87"/>
              </w:rPr>
              <w:t>Proposed Maximum</w:t>
            </w:r>
          </w:p>
        </w:tc>
        <w:tc>
          <w:tcPr>
            <w:tcW w:w="1300" w:type="dxa"/>
            <w:vAlign w:val="bottom"/>
            <w:tcBorders>
              <w:right w:val="single" w:sz="8" w:color="auto"/>
            </w:tcBorders>
          </w:tcPr>
          <w:p>
            <w:pPr>
              <w:jc w:val="center"/>
              <w:ind w:right="19"/>
              <w:spacing w:after="0" w:line="127" w:lineRule="exact"/>
              <w:rPr>
                <w:sz w:val="20"/>
                <w:szCs w:val="20"/>
                <w:color w:val="auto"/>
              </w:rPr>
            </w:pPr>
            <w:r>
              <w:rPr>
                <w:rFonts w:ascii="Arial" w:cs="Arial" w:eastAsia="Arial" w:hAnsi="Arial"/>
                <w:sz w:val="13"/>
                <w:szCs w:val="13"/>
                <w:b w:val="1"/>
                <w:bCs w:val="1"/>
                <w:color w:val="auto"/>
                <w:w w:val="89"/>
              </w:rPr>
              <w:t>Proposed Maximum</w:t>
            </w:r>
          </w:p>
        </w:tc>
        <w:tc>
          <w:tcPr>
            <w:tcW w:w="960" w:type="dxa"/>
            <w:vAlign w:val="bottom"/>
          </w:tcPr>
          <w:p>
            <w:pPr>
              <w:spacing w:after="0"/>
              <w:rPr>
                <w:sz w:val="11"/>
                <w:szCs w:val="11"/>
                <w:color w:val="auto"/>
              </w:rPr>
            </w:pPr>
          </w:p>
        </w:tc>
      </w:tr>
      <w:tr>
        <w:trPr>
          <w:trHeight w:val="146"/>
        </w:trPr>
        <w:tc>
          <w:tcPr>
            <w:tcW w:w="4240" w:type="dxa"/>
            <w:vAlign w:val="bottom"/>
            <w:tcBorders>
              <w:right w:val="single" w:sz="8" w:color="auto"/>
            </w:tcBorders>
          </w:tcPr>
          <w:p>
            <w:pPr>
              <w:jc w:val="center"/>
              <w:ind w:right="75"/>
              <w:spacing w:after="0" w:line="146" w:lineRule="exact"/>
              <w:rPr>
                <w:sz w:val="20"/>
                <w:szCs w:val="20"/>
                <w:color w:val="auto"/>
              </w:rPr>
            </w:pPr>
            <w:r>
              <w:rPr>
                <w:rFonts w:ascii="Arial" w:cs="Arial" w:eastAsia="Arial" w:hAnsi="Arial"/>
                <w:sz w:val="13"/>
                <w:szCs w:val="13"/>
                <w:b w:val="1"/>
                <w:bCs w:val="1"/>
                <w:color w:val="auto"/>
                <w:w w:val="84"/>
              </w:rPr>
              <w:t>Title of Each Class of Securities</w:t>
            </w:r>
          </w:p>
        </w:tc>
        <w:tc>
          <w:tcPr>
            <w:tcW w:w="940" w:type="dxa"/>
            <w:vAlign w:val="bottom"/>
            <w:tcBorders>
              <w:right w:val="single" w:sz="8" w:color="auto"/>
            </w:tcBorders>
          </w:tcPr>
          <w:p>
            <w:pPr>
              <w:jc w:val="center"/>
              <w:ind w:right="1"/>
              <w:spacing w:after="0" w:line="146" w:lineRule="exact"/>
              <w:rPr>
                <w:sz w:val="20"/>
                <w:szCs w:val="20"/>
                <w:color w:val="auto"/>
              </w:rPr>
            </w:pPr>
            <w:r>
              <w:rPr>
                <w:rFonts w:ascii="Arial" w:cs="Arial" w:eastAsia="Arial" w:hAnsi="Arial"/>
                <w:sz w:val="13"/>
                <w:szCs w:val="13"/>
                <w:b w:val="1"/>
                <w:bCs w:val="1"/>
                <w:color w:val="auto"/>
                <w:w w:val="85"/>
              </w:rPr>
              <w:t>Amount to be</w:t>
            </w:r>
          </w:p>
        </w:tc>
        <w:tc>
          <w:tcPr>
            <w:tcW w:w="1320" w:type="dxa"/>
            <w:vAlign w:val="bottom"/>
            <w:tcBorders>
              <w:right w:val="single" w:sz="8" w:color="auto"/>
            </w:tcBorders>
          </w:tcPr>
          <w:p>
            <w:pPr>
              <w:jc w:val="center"/>
              <w:ind w:right="19"/>
              <w:spacing w:after="0" w:line="146" w:lineRule="exact"/>
              <w:rPr>
                <w:sz w:val="20"/>
                <w:szCs w:val="20"/>
                <w:color w:val="auto"/>
              </w:rPr>
            </w:pPr>
            <w:r>
              <w:rPr>
                <w:rFonts w:ascii="Arial" w:cs="Arial" w:eastAsia="Arial" w:hAnsi="Arial"/>
                <w:sz w:val="13"/>
                <w:szCs w:val="13"/>
                <w:b w:val="1"/>
                <w:bCs w:val="1"/>
                <w:color w:val="auto"/>
                <w:w w:val="88"/>
              </w:rPr>
              <w:t>Offering Price</w:t>
            </w:r>
          </w:p>
        </w:tc>
        <w:tc>
          <w:tcPr>
            <w:tcW w:w="1300" w:type="dxa"/>
            <w:vAlign w:val="bottom"/>
            <w:tcBorders>
              <w:right w:val="single" w:sz="8" w:color="auto"/>
            </w:tcBorders>
          </w:tcPr>
          <w:p>
            <w:pPr>
              <w:jc w:val="center"/>
              <w:ind w:right="19"/>
              <w:spacing w:after="0" w:line="146" w:lineRule="exact"/>
              <w:rPr>
                <w:sz w:val="20"/>
                <w:szCs w:val="20"/>
                <w:color w:val="auto"/>
              </w:rPr>
            </w:pPr>
            <w:r>
              <w:rPr>
                <w:rFonts w:ascii="Arial" w:cs="Arial" w:eastAsia="Arial" w:hAnsi="Arial"/>
                <w:sz w:val="13"/>
                <w:szCs w:val="13"/>
                <w:b w:val="1"/>
                <w:bCs w:val="1"/>
                <w:color w:val="auto"/>
                <w:w w:val="86"/>
              </w:rPr>
              <w:t>Aggregate Offering</w:t>
            </w: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Amount of</w:t>
            </w:r>
          </w:p>
        </w:tc>
      </w:tr>
      <w:tr>
        <w:trPr>
          <w:trHeight w:val="178"/>
        </w:trPr>
        <w:tc>
          <w:tcPr>
            <w:tcW w:w="4240" w:type="dxa"/>
            <w:vAlign w:val="bottom"/>
            <w:tcBorders>
              <w:bottom w:val="single" w:sz="8" w:color="auto"/>
              <w:right w:val="single" w:sz="8" w:color="auto"/>
            </w:tcBorders>
          </w:tcPr>
          <w:p>
            <w:pPr>
              <w:jc w:val="center"/>
              <w:ind w:right="55"/>
              <w:spacing w:after="0" w:line="178" w:lineRule="exact"/>
              <w:rPr>
                <w:sz w:val="20"/>
                <w:szCs w:val="20"/>
                <w:color w:val="auto"/>
              </w:rPr>
            </w:pPr>
            <w:r>
              <w:rPr>
                <w:rFonts w:ascii="Arial" w:cs="Arial" w:eastAsia="Arial" w:hAnsi="Arial"/>
                <w:sz w:val="13"/>
                <w:szCs w:val="13"/>
                <w:b w:val="1"/>
                <w:bCs w:val="1"/>
                <w:color w:val="auto"/>
                <w:w w:val="80"/>
              </w:rPr>
              <w:t xml:space="preserve">to be Registered </w:t>
            </w:r>
            <w:r>
              <w:rPr>
                <w:rFonts w:ascii="Arial" w:cs="Arial" w:eastAsia="Arial" w:hAnsi="Arial"/>
                <w:sz w:val="16"/>
                <w:szCs w:val="16"/>
                <w:b w:val="1"/>
                <w:bCs w:val="1"/>
                <w:color w:val="auto"/>
                <w:w w:val="80"/>
                <w:vertAlign w:val="superscript"/>
              </w:rPr>
              <w:t>(1)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Registered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Unit</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960" w:type="dxa"/>
            <w:vAlign w:val="bottom"/>
            <w:tcBorders>
              <w:bottom w:val="single" w:sz="8" w:color="auto"/>
            </w:tcBorders>
          </w:tcPr>
          <w:p>
            <w:pPr>
              <w:jc w:val="center"/>
              <w:ind w:left="21"/>
              <w:spacing w:after="0"/>
              <w:rPr>
                <w:sz w:val="20"/>
                <w:szCs w:val="20"/>
                <w:color w:val="auto"/>
              </w:rPr>
            </w:pPr>
            <w:r>
              <w:rPr>
                <w:rFonts w:ascii="Arial" w:cs="Arial" w:eastAsia="Arial" w:hAnsi="Arial"/>
                <w:sz w:val="13"/>
                <w:szCs w:val="13"/>
                <w:b w:val="1"/>
                <w:bCs w:val="1"/>
                <w:color w:val="auto"/>
                <w:w w:val="86"/>
              </w:rPr>
              <w:t>Registration Fee</w:t>
            </w:r>
          </w:p>
        </w:tc>
      </w:tr>
      <w:tr>
        <w:trPr>
          <w:trHeight w:val="200"/>
        </w:trPr>
        <w:tc>
          <w:tcPr>
            <w:tcW w:w="424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3"/>
                <w:szCs w:val="13"/>
                <w:color w:val="auto"/>
              </w:rPr>
              <w:t>Common Stock, Preferred Stock, Debt Securities, Warrants</w:t>
            </w:r>
          </w:p>
        </w:tc>
        <w:tc>
          <w:tcPr>
            <w:tcW w:w="940" w:type="dxa"/>
            <w:vAlign w:val="bottom"/>
            <w:tcBorders>
              <w:bottom w:val="single" w:sz="8" w:color="CCEEFF"/>
              <w:right w:val="single" w:sz="8" w:color="auto"/>
            </w:tcBorders>
            <w:shd w:val="clear" w:color="auto" w:fill="CCEEFF"/>
          </w:tcPr>
          <w:p>
            <w:pPr>
              <w:jc w:val="right"/>
              <w:ind w:right="101"/>
              <w:spacing w:after="0"/>
              <w:rPr>
                <w:sz w:val="20"/>
                <w:szCs w:val="20"/>
                <w:color w:val="auto"/>
              </w:rPr>
            </w:pPr>
            <w:r>
              <w:rPr>
                <w:rFonts w:ascii="Arial" w:cs="Arial" w:eastAsia="Arial" w:hAnsi="Arial"/>
                <w:sz w:val="10"/>
                <w:szCs w:val="10"/>
                <w:color w:val="auto"/>
              </w:rPr>
              <w:t>(2)</w:t>
            </w:r>
          </w:p>
        </w:tc>
        <w:tc>
          <w:tcPr>
            <w:tcW w:w="1320" w:type="dxa"/>
            <w:vAlign w:val="bottom"/>
            <w:tcBorders>
              <w:bottom w:val="single" w:sz="8" w:color="CCEEFF"/>
              <w:right w:val="single" w:sz="8" w:color="auto"/>
            </w:tcBorders>
            <w:shd w:val="clear" w:color="auto" w:fill="CCEEFF"/>
          </w:tcPr>
          <w:p>
            <w:pPr>
              <w:jc w:val="right"/>
              <w:ind w:right="279"/>
              <w:spacing w:after="0"/>
              <w:rPr>
                <w:sz w:val="20"/>
                <w:szCs w:val="20"/>
                <w:color w:val="auto"/>
              </w:rPr>
            </w:pPr>
            <w:r>
              <w:rPr>
                <w:rFonts w:ascii="Arial" w:cs="Arial" w:eastAsia="Arial" w:hAnsi="Arial"/>
                <w:sz w:val="10"/>
                <w:szCs w:val="10"/>
                <w:color w:val="auto"/>
              </w:rPr>
              <w:t>(2)</w:t>
            </w:r>
          </w:p>
        </w:tc>
        <w:tc>
          <w:tcPr>
            <w:tcW w:w="1300" w:type="dxa"/>
            <w:vAlign w:val="bottom"/>
            <w:tcBorders>
              <w:bottom w:val="single" w:sz="8" w:color="CCEEFF"/>
              <w:right w:val="single" w:sz="8" w:color="auto"/>
            </w:tcBorders>
            <w:shd w:val="clear" w:color="auto" w:fill="CCEEFF"/>
          </w:tcPr>
          <w:p>
            <w:pPr>
              <w:jc w:val="right"/>
              <w:ind w:right="279"/>
              <w:spacing w:after="0"/>
              <w:rPr>
                <w:sz w:val="20"/>
                <w:szCs w:val="20"/>
                <w:color w:val="auto"/>
              </w:rPr>
            </w:pPr>
            <w:r>
              <w:rPr>
                <w:rFonts w:ascii="Arial" w:cs="Arial" w:eastAsia="Arial" w:hAnsi="Arial"/>
                <w:sz w:val="10"/>
                <w:szCs w:val="10"/>
                <w:color w:val="auto"/>
              </w:rPr>
              <w:t>(2)</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0"/>
                <w:szCs w:val="10"/>
                <w:color w:val="auto"/>
              </w:rPr>
              <w:t>(2)</w:t>
            </w:r>
          </w:p>
        </w:tc>
      </w:tr>
      <w:tr>
        <w:trPr>
          <w:trHeight w:val="20"/>
        </w:trPr>
        <w:tc>
          <w:tcPr>
            <w:tcW w:w="42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3" w:lineRule="exact"/>
        <w:rPr>
          <w:sz w:val="24"/>
          <w:szCs w:val="24"/>
          <w:color w:val="auto"/>
        </w:rPr>
      </w:pPr>
    </w:p>
    <w:p>
      <w:pPr>
        <w:ind w:left="760" w:hanging="326"/>
        <w:spacing w:after="0"/>
        <w:tabs>
          <w:tab w:leader="none" w:pos="7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Securities registered hereunder may be sold separately, together or as units with other securities registered hereunder.</w:t>
      </w:r>
    </w:p>
    <w:p>
      <w:pPr>
        <w:spacing w:after="0" w:line="32" w:lineRule="exact"/>
        <w:rPr>
          <w:rFonts w:ascii="Arial" w:cs="Arial" w:eastAsia="Arial" w:hAnsi="Arial"/>
          <w:sz w:val="13"/>
          <w:szCs w:val="13"/>
          <w:color w:val="auto"/>
        </w:rPr>
      </w:pPr>
    </w:p>
    <w:p>
      <w:pPr>
        <w:ind w:left="760" w:right="159" w:hanging="326"/>
        <w:spacing w:after="0" w:line="243" w:lineRule="auto"/>
        <w:tabs>
          <w:tab w:leader="none" w:pos="760" w:val="left"/>
        </w:tabs>
        <w:numPr>
          <w:ilvl w:val="0"/>
          <w:numId w:val="1"/>
        </w:numPr>
        <w:rPr>
          <w:rFonts w:ascii="Arial" w:cs="Arial" w:eastAsia="Arial" w:hAnsi="Arial"/>
          <w:sz w:val="12"/>
          <w:szCs w:val="12"/>
          <w:color w:val="auto"/>
        </w:rPr>
      </w:pPr>
      <w:r>
        <w:rPr>
          <w:rFonts w:ascii="Arial" w:cs="Arial" w:eastAsia="Arial" w:hAnsi="Arial"/>
          <w:sz w:val="12"/>
          <w:szCs w:val="12"/>
          <w:color w:val="auto"/>
        </w:rPr>
        <w:t>We are registering an indeterminate aggregate principal amount and number of securities of each identified class of securities, which may be offered from time to time in unspecified numbers and at indeterminate prices, and as may be issuable upon conversion, redemption, repurchase, exchange or exercise of any securities registered hereunder, including under any applicable anti-dilution provisions. Separate consideration may or may not be received for securities that are issuable on exercise, conversion or exchange of other securities. In accordance with Rules 456(b) and 457(r) under the Securities Act, the registrant is deferring payment of the entire registration fee. Registration fees will be paid subsequently on a pay-as-you-go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38100</wp:posOffset>
            </wp:positionV>
            <wp:extent cx="55702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0220" cy="762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60960</wp:posOffset>
            </wp:positionV>
            <wp:extent cx="557022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022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287655</wp:posOffset>
            </wp:positionV>
            <wp:extent cx="615124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229" w:right="1440" w:bottom="1440" w:gutter="0" w:footer="0" w:header="0"/>
        </w:sectPr>
      </w:pPr>
    </w:p>
    <w:bookmarkStart w:id="1" w:name="page2"/>
    <w:bookmarkEnd w:id="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PROSPECTUS</w:t>
      </w:r>
    </w:p>
    <w:p>
      <w:pPr>
        <w:spacing w:after="0" w:line="183" w:lineRule="exact"/>
        <w:rPr>
          <w:sz w:val="20"/>
          <w:szCs w:val="20"/>
          <w:color w:val="auto"/>
        </w:rPr>
      </w:pPr>
    </w:p>
    <w:p>
      <w:pPr>
        <w:jc w:val="center"/>
        <w:ind w:right="-320"/>
        <w:spacing w:after="0"/>
        <w:rPr>
          <w:sz w:val="20"/>
          <w:szCs w:val="20"/>
          <w:color w:val="auto"/>
        </w:rPr>
      </w:pPr>
      <w:r>
        <w:rPr>
          <w:rFonts w:ascii="Arial" w:cs="Arial" w:eastAsia="Arial" w:hAnsi="Arial"/>
          <w:sz w:val="29"/>
          <w:szCs w:val="29"/>
          <w:b w:val="1"/>
          <w:bCs w:val="1"/>
          <w:color w:val="auto"/>
        </w:rPr>
        <w:t>Regeneron Pharmaceuticals, Inc.</w:t>
      </w:r>
    </w:p>
    <w:p>
      <w:pPr>
        <w:spacing w:after="0" w:line="195" w:lineRule="exact"/>
        <w:rPr>
          <w:sz w:val="20"/>
          <w:szCs w:val="20"/>
          <w:color w:val="auto"/>
        </w:rPr>
      </w:pPr>
    </w:p>
    <w:p>
      <w:pPr>
        <w:ind w:left="3840"/>
        <w:spacing w:after="0"/>
        <w:rPr>
          <w:sz w:val="20"/>
          <w:szCs w:val="20"/>
          <w:color w:val="auto"/>
        </w:rPr>
      </w:pPr>
      <w:r>
        <w:rPr>
          <w:rFonts w:ascii="Arial" w:cs="Arial" w:eastAsia="Arial" w:hAnsi="Arial"/>
          <w:sz w:val="23"/>
          <w:szCs w:val="23"/>
          <w:b w:val="1"/>
          <w:bCs w:val="1"/>
          <w:color w:val="auto"/>
        </w:rPr>
        <w:t>COMMON STOCK</w:t>
      </w:r>
    </w:p>
    <w:p>
      <w:pPr>
        <w:spacing w:after="0" w:line="8" w:lineRule="exact"/>
        <w:rPr>
          <w:sz w:val="20"/>
          <w:szCs w:val="20"/>
          <w:color w:val="auto"/>
        </w:rPr>
      </w:pPr>
    </w:p>
    <w:p>
      <w:pPr>
        <w:ind w:left="3720"/>
        <w:spacing w:after="0"/>
        <w:rPr>
          <w:sz w:val="20"/>
          <w:szCs w:val="20"/>
          <w:color w:val="auto"/>
        </w:rPr>
      </w:pPr>
      <w:r>
        <w:rPr>
          <w:rFonts w:ascii="Arial" w:cs="Arial" w:eastAsia="Arial" w:hAnsi="Arial"/>
          <w:sz w:val="23"/>
          <w:szCs w:val="23"/>
          <w:b w:val="1"/>
          <w:bCs w:val="1"/>
          <w:color w:val="auto"/>
        </w:rPr>
        <w:t>PREFERRED STOCK</w:t>
      </w:r>
    </w:p>
    <w:p>
      <w:pPr>
        <w:ind w:left="3800"/>
        <w:spacing w:after="0" w:line="231" w:lineRule="auto"/>
        <w:rPr>
          <w:sz w:val="20"/>
          <w:szCs w:val="20"/>
          <w:color w:val="auto"/>
        </w:rPr>
      </w:pPr>
      <w:r>
        <w:rPr>
          <w:rFonts w:ascii="Arial" w:cs="Arial" w:eastAsia="Arial" w:hAnsi="Arial"/>
          <w:sz w:val="23"/>
          <w:szCs w:val="23"/>
          <w:b w:val="1"/>
          <w:bCs w:val="1"/>
          <w:color w:val="auto"/>
        </w:rPr>
        <w:t>DEBT SECURITIES</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23"/>
          <w:szCs w:val="23"/>
          <w:b w:val="1"/>
          <w:bCs w:val="1"/>
          <w:color w:val="auto"/>
        </w:rPr>
        <w:t>WARRANTS</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We may from time to time offer to sell together or separately in one or more offerings:</w:t>
      </w:r>
    </w:p>
    <w:p>
      <w:pPr>
        <w:spacing w:after="0" w:line="108" w:lineRule="exact"/>
        <w:rPr>
          <w:sz w:val="20"/>
          <w:szCs w:val="20"/>
          <w:color w:val="auto"/>
        </w:rPr>
      </w:pPr>
    </w:p>
    <w:p>
      <w:pPr>
        <w:ind w:left="1620" w:hanging="170"/>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common stock;</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preferred stock;</w:t>
      </w:r>
    </w:p>
    <w:p>
      <w:pPr>
        <w:spacing w:after="0" w:line="107" w:lineRule="exact"/>
        <w:rPr>
          <w:rFonts w:ascii="Arial" w:cs="Arial" w:eastAsia="Arial" w:hAnsi="Arial"/>
          <w:sz w:val="16"/>
          <w:szCs w:val="16"/>
          <w:color w:val="auto"/>
        </w:rPr>
      </w:pPr>
    </w:p>
    <w:p>
      <w:pPr>
        <w:ind w:left="1620" w:right="1059" w:hanging="170"/>
        <w:spacing w:after="0" w:line="283"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debt securities, which may be senior, subordinated or junior subordinated, and convertible or non-convertible; and</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warrants to purchase our common stock, preferred stock, or debt securities.</w:t>
      </w:r>
    </w:p>
    <w:p>
      <w:pPr>
        <w:spacing w:after="0" w:line="132" w:lineRule="exact"/>
        <w:rPr>
          <w:sz w:val="20"/>
          <w:szCs w:val="20"/>
          <w:color w:val="auto"/>
        </w:rPr>
      </w:pPr>
    </w:p>
    <w:p>
      <w:pPr>
        <w:jc w:val="both"/>
        <w:ind w:left="1120" w:right="859" w:firstLine="324"/>
        <w:spacing w:after="0" w:line="263" w:lineRule="auto"/>
        <w:rPr>
          <w:sz w:val="20"/>
          <w:szCs w:val="20"/>
          <w:color w:val="auto"/>
        </w:rPr>
      </w:pPr>
      <w:r>
        <w:rPr>
          <w:rFonts w:ascii="Arial" w:cs="Arial" w:eastAsia="Arial" w:hAnsi="Arial"/>
          <w:sz w:val="16"/>
          <w:szCs w:val="16"/>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106" w:lineRule="exact"/>
        <w:rPr>
          <w:sz w:val="20"/>
          <w:szCs w:val="20"/>
          <w:color w:val="auto"/>
        </w:rPr>
      </w:pPr>
    </w:p>
    <w:p>
      <w:pPr>
        <w:ind w:left="1120" w:right="819" w:firstLine="324"/>
        <w:spacing w:after="0" w:line="263" w:lineRule="auto"/>
        <w:rPr>
          <w:sz w:val="20"/>
          <w:szCs w:val="20"/>
          <w:color w:val="auto"/>
        </w:rPr>
      </w:pPr>
      <w:r>
        <w:rPr>
          <w:rFonts w:ascii="Arial" w:cs="Arial" w:eastAsia="Arial" w:hAnsi="Arial"/>
          <w:sz w:val="16"/>
          <w:szCs w:val="16"/>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06" w:lineRule="exact"/>
        <w:rPr>
          <w:sz w:val="20"/>
          <w:szCs w:val="20"/>
          <w:color w:val="auto"/>
        </w:rPr>
      </w:pPr>
    </w:p>
    <w:p>
      <w:pPr>
        <w:ind w:left="1120" w:right="899" w:firstLine="324"/>
        <w:spacing w:after="0" w:line="283" w:lineRule="auto"/>
        <w:rPr>
          <w:sz w:val="20"/>
          <w:szCs w:val="20"/>
          <w:color w:val="auto"/>
        </w:rPr>
      </w:pPr>
      <w:r>
        <w:rPr>
          <w:rFonts w:ascii="Arial" w:cs="Arial" w:eastAsia="Arial" w:hAnsi="Arial"/>
          <w:sz w:val="16"/>
          <w:szCs w:val="16"/>
          <w:color w:val="auto"/>
        </w:rPr>
        <w:t>This prospectus may not be used to sell securities unless accompanied by a prospectus supplement or a free writing prospectus.</w:t>
      </w:r>
    </w:p>
    <w:p>
      <w:pPr>
        <w:spacing w:after="0" w:line="77" w:lineRule="exact"/>
        <w:rPr>
          <w:sz w:val="20"/>
          <w:szCs w:val="20"/>
          <w:color w:val="auto"/>
        </w:rPr>
      </w:pPr>
    </w:p>
    <w:p>
      <w:pPr>
        <w:ind w:left="1120" w:right="959" w:firstLine="324"/>
        <w:spacing w:after="0" w:line="268" w:lineRule="auto"/>
        <w:rPr>
          <w:sz w:val="20"/>
          <w:szCs w:val="20"/>
          <w:color w:val="auto"/>
        </w:rPr>
      </w:pPr>
      <w:r>
        <w:rPr>
          <w:rFonts w:ascii="Arial" w:cs="Arial" w:eastAsia="Arial" w:hAnsi="Arial"/>
          <w:sz w:val="16"/>
          <w:szCs w:val="16"/>
          <w:color w:val="auto"/>
        </w:rPr>
        <w:t>Our Common Stock is listed on The Nasdaq Global Select Market under the trading symbol “REGN.” Each prospectus supplement will indicate if the securities offered thereby will be listed on any securities exchange.</w:t>
      </w:r>
    </w:p>
    <w:p>
      <w:pPr>
        <w:spacing w:after="0" w:line="97" w:lineRule="exact"/>
        <w:rPr>
          <w:sz w:val="20"/>
          <w:szCs w:val="20"/>
          <w:color w:val="auto"/>
        </w:rPr>
      </w:pPr>
    </w:p>
    <w:p>
      <w:pPr>
        <w:ind w:left="1120" w:right="1099" w:firstLine="324"/>
        <w:spacing w:after="0" w:line="288"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securities involves a high degree of risk. See “Risk Factors” on page </w:t>
      </w:r>
      <w:hyperlink w:anchor="page7">
        <w:r>
          <w:rPr>
            <w:rFonts w:ascii="Arial" w:cs="Arial" w:eastAsia="Arial" w:hAnsi="Arial"/>
            <w:sz w:val="16"/>
            <w:szCs w:val="16"/>
            <w:b w:val="1"/>
            <w:bCs w:val="1"/>
            <w:u w:val="single" w:color="auto"/>
            <w:color w:val="0000EE"/>
          </w:rPr>
          <w:t>2</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before you make your investment decision.</w:t>
      </w:r>
    </w:p>
    <w:p>
      <w:pPr>
        <w:spacing w:after="0" w:line="82" w:lineRule="exact"/>
        <w:rPr>
          <w:sz w:val="20"/>
          <w:szCs w:val="20"/>
          <w:color w:val="auto"/>
        </w:rPr>
      </w:pPr>
    </w:p>
    <w:p>
      <w:pPr>
        <w:ind w:left="1120" w:right="939" w:firstLine="324"/>
        <w:spacing w:after="0" w:line="327"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The date of this prospectus is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228600</wp:posOffset>
            </wp:positionV>
            <wp:extent cx="615124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 w:name="page3"/>
    <w:bookmarkEnd w:id="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TABLE OF CONTENTS</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gridSpan w:val="3"/>
          </w:tcPr>
          <w:p>
            <w:pPr>
              <w:spacing w:after="0"/>
              <w:rPr>
                <w:sz w:val="20"/>
                <w:szCs w:val="20"/>
                <w:color w:val="auto"/>
              </w:rPr>
            </w:pPr>
            <w:r>
              <w:rPr>
                <w:rFonts w:ascii="Arial" w:cs="Arial" w:eastAsia="Arial" w:hAnsi="Arial"/>
                <w:sz w:val="8"/>
                <w:szCs w:val="8"/>
                <w:b w:val="1"/>
                <w:bCs w:val="1"/>
                <w:color w:val="auto"/>
                <w:w w:val="72"/>
              </w:rPr>
              <w:t>Page</w:t>
            </w:r>
          </w:p>
        </w:tc>
      </w:tr>
      <w:tr>
        <w:trPr>
          <w:trHeight w:val="23"/>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0" w:type="dxa"/>
            <w:vAlign w:val="bottom"/>
            <w:tcBorders>
              <w:bottom w:val="single" w:sz="8" w:color="0000EE"/>
            </w:tcBorders>
          </w:tcPr>
          <w:p>
            <w:pPr>
              <w:spacing w:after="0"/>
              <w:rPr>
                <w:sz w:val="17"/>
                <w:szCs w:val="17"/>
                <w:color w:val="auto"/>
              </w:rPr>
            </w:pPr>
          </w:p>
        </w:tc>
        <w:tc>
          <w:tcPr>
            <w:tcW w:w="2060" w:type="dxa"/>
            <w:vAlign w:val="bottom"/>
            <w:tcBorders>
              <w:top w:val="single" w:sz="8" w:color="CCEEFF"/>
              <w:bottom w:val="single" w:sz="8" w:color="0000EE"/>
            </w:tcBorders>
            <w:gridSpan w:val="7"/>
            <w:shd w:val="clear" w:color="auto" w:fill="CCEEFF"/>
          </w:tcPr>
          <w:p>
            <w:pPr>
              <w:spacing w:after="0"/>
              <w:rPr>
                <w:rFonts w:ascii="Arial" w:cs="Arial" w:eastAsia="Arial" w:hAnsi="Arial"/>
                <w:sz w:val="16"/>
                <w:szCs w:val="16"/>
                <w:color w:val="0000EE"/>
                <w:w w:val="96"/>
              </w:rPr>
            </w:pPr>
            <w:hyperlink w:anchor="page3">
              <w:r>
                <w:rPr>
                  <w:rFonts w:ascii="Arial" w:cs="Arial" w:eastAsia="Arial" w:hAnsi="Arial"/>
                  <w:sz w:val="16"/>
                  <w:szCs w:val="16"/>
                  <w:color w:val="0000EE"/>
                  <w:w w:val="96"/>
                </w:rPr>
                <w:t>ABOUT THIS PROSPECTUS</w:t>
              </w:r>
            </w:hyperlink>
          </w:p>
        </w:tc>
        <w:tc>
          <w:tcPr>
            <w:tcW w:w="5160" w:type="dxa"/>
            <w:vAlign w:val="bottom"/>
            <w:tcBorders>
              <w:top w:val="single" w:sz="8" w:color="CCEEFF"/>
              <w:bottom w:val="single" w:sz="8" w:color="CCEEFF"/>
              <w:right w:val="single" w:sz="8" w:color="CCEEFF"/>
            </w:tcBorders>
            <w:gridSpan w:val="6"/>
            <w:shd w:val="clear" w:color="auto" w:fill="CCEEFF"/>
          </w:tcPr>
          <w:p>
            <w:pPr>
              <w:spacing w:after="0"/>
              <w:rPr>
                <w:sz w:val="17"/>
                <w:szCs w:val="17"/>
                <w:color w:val="auto"/>
              </w:rPr>
            </w:pPr>
          </w:p>
        </w:tc>
        <w:tc>
          <w:tcPr>
            <w:tcW w:w="100" w:type="dxa"/>
            <w:vAlign w:val="bottom"/>
            <w:tcBorders>
              <w:top w:val="single" w:sz="8" w:color="auto"/>
              <w:bottom w:val="single" w:sz="8" w:color="0000EE"/>
            </w:tcBorders>
            <w:gridSpan w:val="2"/>
            <w:shd w:val="clear" w:color="auto" w:fill="CCEEFF"/>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ii</w:t>
              </w:r>
            </w:hyperlink>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3"/>
        </w:trPr>
        <w:tc>
          <w:tcPr>
            <w:tcW w:w="5900" w:type="dxa"/>
            <w:vAlign w:val="bottom"/>
            <w:tcBorders>
              <w:bottom w:val="single" w:sz="8" w:color="0000EE"/>
            </w:tcBorders>
            <w:gridSpan w:val="1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CAUTIONARY STATEMENT REGARDING FORWARD-LOOKING STATEMENTS</w:t>
              </w:r>
            </w:hyperlink>
          </w:p>
        </w:tc>
        <w:tc>
          <w:tcPr>
            <w:tcW w:w="1340" w:type="dxa"/>
            <w:vAlign w:val="bottom"/>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6"/>
                <w:szCs w:val="16"/>
                <w:color w:val="0000EE"/>
                <w:w w:val="74"/>
              </w:rPr>
            </w:pPr>
            <w:hyperlink w:anchor="page4">
              <w:r>
                <w:rPr>
                  <w:rFonts w:ascii="Arial" w:cs="Arial" w:eastAsia="Arial" w:hAnsi="Arial"/>
                  <w:sz w:val="16"/>
                  <w:szCs w:val="16"/>
                  <w:color w:val="0000EE"/>
                  <w:w w:val="74"/>
                </w:rPr>
                <w:t>iii</w:t>
              </w:r>
            </w:hyperlink>
          </w:p>
        </w:tc>
        <w:tc>
          <w:tcPr>
            <w:tcW w:w="60" w:type="dxa"/>
            <w:vAlign w:val="bottom"/>
          </w:tcPr>
          <w:p>
            <w:pPr>
              <w:spacing w:after="0"/>
              <w:rPr>
                <w:sz w:val="17"/>
                <w:szCs w:val="17"/>
                <w:color w:val="auto"/>
              </w:rPr>
            </w:pPr>
          </w:p>
        </w:tc>
      </w:tr>
      <w:tr>
        <w:trPr>
          <w:trHeight w:val="219"/>
        </w:trPr>
        <w:tc>
          <w:tcPr>
            <w:tcW w:w="20" w:type="dxa"/>
            <w:vAlign w:val="bottom"/>
            <w:tcBorders>
              <w:bottom w:val="single" w:sz="8" w:color="0000EE"/>
            </w:tcBorders>
          </w:tcPr>
          <w:p>
            <w:pPr>
              <w:spacing w:after="0"/>
              <w:rPr>
                <w:sz w:val="19"/>
                <w:szCs w:val="19"/>
                <w:color w:val="auto"/>
              </w:rPr>
            </w:pPr>
          </w:p>
        </w:tc>
        <w:tc>
          <w:tcPr>
            <w:tcW w:w="2660" w:type="dxa"/>
            <w:vAlign w:val="bottom"/>
            <w:tcBorders>
              <w:bottom w:val="single" w:sz="8" w:color="0000EE"/>
            </w:tcBorders>
            <w:gridSpan w:val="9"/>
            <w:shd w:val="clear" w:color="auto" w:fill="CCEEFF"/>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NOTE REGARDING TRADEMARKS</w:t>
              </w:r>
            </w:hyperlink>
          </w:p>
        </w:tc>
        <w:tc>
          <w:tcPr>
            <w:tcW w:w="4560" w:type="dxa"/>
            <w:vAlign w:val="bottom"/>
            <w:tcBorders>
              <w:bottom w:val="single" w:sz="8" w:color="CCEEFF"/>
              <w:right w:val="single" w:sz="8" w:color="CCEEFF"/>
            </w:tcBorders>
            <w:gridSpan w:val="4"/>
            <w:shd w:val="clear" w:color="auto" w:fill="CCEEFF"/>
          </w:tcPr>
          <w:p>
            <w:pPr>
              <w:spacing w:after="0"/>
              <w:rPr>
                <w:sz w:val="19"/>
                <w:szCs w:val="19"/>
                <w:color w:val="auto"/>
              </w:rPr>
            </w:pPr>
          </w:p>
        </w:tc>
        <w:tc>
          <w:tcPr>
            <w:tcW w:w="100" w:type="dxa"/>
            <w:vAlign w:val="bottom"/>
            <w:tcBorders>
              <w:bottom w:val="single" w:sz="8" w:color="0000EE"/>
            </w:tcBorders>
            <w:gridSpan w:val="2"/>
            <w:shd w:val="clear" w:color="auto" w:fill="CCEEFF"/>
          </w:tcPr>
          <w:p>
            <w:pPr>
              <w:jc w:val="right"/>
              <w:spacing w:after="0"/>
              <w:rPr>
                <w:rFonts w:ascii="Arial" w:cs="Arial" w:eastAsia="Arial" w:hAnsi="Arial"/>
                <w:sz w:val="15"/>
                <w:szCs w:val="15"/>
                <w:color w:val="0000EE"/>
                <w:w w:val="73"/>
              </w:rPr>
            </w:pPr>
            <w:hyperlink w:anchor="page5">
              <w:r>
                <w:rPr>
                  <w:rFonts w:ascii="Arial" w:cs="Arial" w:eastAsia="Arial" w:hAnsi="Arial"/>
                  <w:sz w:val="15"/>
                  <w:szCs w:val="15"/>
                  <w:color w:val="0000EE"/>
                  <w:w w:val="73"/>
                </w:rPr>
                <w:t>iv</w:t>
              </w:r>
            </w:hyperlink>
          </w:p>
        </w:tc>
        <w:tc>
          <w:tcPr>
            <w:tcW w:w="60" w:type="dxa"/>
            <w:vAlign w:val="bottom"/>
            <w:tcBorders>
              <w:bottom w:val="single" w:sz="8" w:color="CCEEFF"/>
            </w:tcBorders>
            <w:shd w:val="clear" w:color="auto" w:fill="CCEEFF"/>
          </w:tcPr>
          <w:p>
            <w:pPr>
              <w:spacing w:after="0"/>
              <w:rPr>
                <w:sz w:val="19"/>
                <w:szCs w:val="19"/>
                <w:color w:val="auto"/>
              </w:rPr>
            </w:pPr>
          </w:p>
        </w:tc>
      </w:tr>
      <w:tr>
        <w:trPr>
          <w:trHeight w:val="207"/>
        </w:trPr>
        <w:tc>
          <w:tcPr>
            <w:tcW w:w="860" w:type="dxa"/>
            <w:vAlign w:val="bottom"/>
            <w:gridSpan w:val="3"/>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SUMMARY</w:t>
              </w:r>
            </w:hyperlink>
          </w:p>
        </w:tc>
        <w:tc>
          <w:tcPr>
            <w:tcW w:w="6380" w:type="dxa"/>
            <w:vAlign w:val="bottom"/>
            <w:gridSpan w:val="11"/>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1</w:t>
              </w:r>
            </w:hyperlink>
          </w:p>
        </w:tc>
        <w:tc>
          <w:tcPr>
            <w:tcW w:w="60" w:type="dxa"/>
            <w:vAlign w:val="bottom"/>
          </w:tcPr>
          <w:p>
            <w:pPr>
              <w:spacing w:after="0"/>
              <w:rPr>
                <w:sz w:val="17"/>
                <w:szCs w:val="17"/>
                <w:color w:val="auto"/>
              </w:rPr>
            </w:pPr>
          </w:p>
        </w:tc>
      </w:tr>
      <w:tr>
        <w:trPr>
          <w:trHeight w:val="28"/>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7220" w:type="dxa"/>
            <w:vAlign w:val="bottom"/>
            <w:tcBorders>
              <w:right w:val="single" w:sz="8" w:color="CCEEFF"/>
            </w:tcBorders>
            <w:gridSpan w:val="13"/>
            <w:shd w:val="clear" w:color="auto" w:fill="CCEEFF"/>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RISK FACTORS</w:t>
              </w:r>
            </w:hyperlink>
          </w:p>
        </w:tc>
        <w:tc>
          <w:tcPr>
            <w:tcW w:w="100" w:type="dxa"/>
            <w:vAlign w:val="bottom"/>
            <w:gridSpan w:val="2"/>
            <w:shd w:val="clear" w:color="auto" w:fill="CCEEFF"/>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2</w:t>
              </w:r>
            </w:hyperlink>
          </w:p>
        </w:tc>
        <w:tc>
          <w:tcPr>
            <w:tcW w:w="60" w:type="dxa"/>
            <w:vAlign w:val="bottom"/>
            <w:shd w:val="clear" w:color="auto" w:fill="CCEEFF"/>
          </w:tcPr>
          <w:p>
            <w:pPr>
              <w:spacing w:after="0"/>
              <w:rPr>
                <w:sz w:val="18"/>
                <w:szCs w:val="18"/>
                <w:color w:val="auto"/>
              </w:rPr>
            </w:pPr>
          </w:p>
        </w:tc>
      </w:tr>
      <w:tr>
        <w:trPr>
          <w:trHeight w:val="36"/>
        </w:trPr>
        <w:tc>
          <w:tcPr>
            <w:tcW w:w="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207"/>
        </w:trPr>
        <w:tc>
          <w:tcPr>
            <w:tcW w:w="1480" w:type="dxa"/>
            <w:vAlign w:val="bottom"/>
            <w:gridSpan w:val="6"/>
          </w:tcPr>
          <w:p>
            <w:pPr>
              <w:spacing w:after="0"/>
              <w:rPr>
                <w:rFonts w:ascii="Arial" w:cs="Arial" w:eastAsia="Arial" w:hAnsi="Arial"/>
                <w:sz w:val="16"/>
                <w:szCs w:val="16"/>
                <w:color w:val="0000EE"/>
                <w:w w:val="94"/>
              </w:rPr>
            </w:pPr>
            <w:hyperlink w:anchor="page8">
              <w:r>
                <w:rPr>
                  <w:rFonts w:ascii="Arial" w:cs="Arial" w:eastAsia="Arial" w:hAnsi="Arial"/>
                  <w:sz w:val="16"/>
                  <w:szCs w:val="16"/>
                  <w:color w:val="0000EE"/>
                  <w:w w:val="94"/>
                </w:rPr>
                <w:t>USE OF PROCEEDS</w:t>
              </w:r>
            </w:hyperlink>
          </w:p>
        </w:tc>
        <w:tc>
          <w:tcPr>
            <w:tcW w:w="5760" w:type="dxa"/>
            <w:vAlign w:val="bottom"/>
            <w:gridSpan w:val="8"/>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3</w:t>
              </w:r>
            </w:hyperlink>
          </w:p>
        </w:tc>
        <w:tc>
          <w:tcPr>
            <w:tcW w:w="60" w:type="dxa"/>
            <w:vAlign w:val="bottom"/>
          </w:tcPr>
          <w:p>
            <w:pPr>
              <w:spacing w:after="0"/>
              <w:rPr>
                <w:sz w:val="17"/>
                <w:szCs w:val="17"/>
                <w:color w:val="auto"/>
              </w:rPr>
            </w:pPr>
          </w:p>
        </w:tc>
      </w:tr>
      <w:tr>
        <w:trPr>
          <w:trHeight w:val="28"/>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7220" w:type="dxa"/>
            <w:vAlign w:val="bottom"/>
            <w:tcBorders>
              <w:right w:val="single" w:sz="8" w:color="CCEEFF"/>
            </w:tcBorders>
            <w:gridSpan w:val="13"/>
            <w:shd w:val="clear" w:color="auto" w:fill="CCEEFF"/>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DESCRIPTION OF SECURITIES</w:t>
              </w:r>
            </w:hyperlink>
          </w:p>
        </w:tc>
        <w:tc>
          <w:tcPr>
            <w:tcW w:w="100" w:type="dxa"/>
            <w:vAlign w:val="bottom"/>
            <w:gridSpan w:val="2"/>
            <w:shd w:val="clear" w:color="auto" w:fill="CCEEFF"/>
          </w:tcPr>
          <w:p>
            <w:pPr>
              <w:jc w:val="right"/>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4</w:t>
              </w:r>
            </w:hyperlink>
          </w:p>
        </w:tc>
        <w:tc>
          <w:tcPr>
            <w:tcW w:w="60" w:type="dxa"/>
            <w:vAlign w:val="bottom"/>
            <w:shd w:val="clear" w:color="auto" w:fill="CCEEFF"/>
          </w:tcPr>
          <w:p>
            <w:pPr>
              <w:spacing w:after="0"/>
              <w:rPr>
                <w:sz w:val="18"/>
                <w:szCs w:val="18"/>
                <w:color w:val="auto"/>
              </w:rPr>
            </w:pPr>
          </w:p>
        </w:tc>
      </w:tr>
      <w:tr>
        <w:trPr>
          <w:trHeight w:val="36"/>
        </w:trPr>
        <w:tc>
          <w:tcPr>
            <w:tcW w:w="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207"/>
        </w:trPr>
        <w:tc>
          <w:tcPr>
            <w:tcW w:w="2680" w:type="dxa"/>
            <w:vAlign w:val="bottom"/>
            <w:gridSpan w:val="10"/>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DESCRIPTION OF CAPITAL STOCK</w:t>
              </w:r>
            </w:hyperlink>
          </w:p>
        </w:tc>
        <w:tc>
          <w:tcPr>
            <w:tcW w:w="4560" w:type="dxa"/>
            <w:vAlign w:val="bottom"/>
            <w:gridSpan w:val="4"/>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5</w:t>
              </w:r>
            </w:hyperlink>
          </w:p>
        </w:tc>
        <w:tc>
          <w:tcPr>
            <w:tcW w:w="60" w:type="dxa"/>
            <w:vAlign w:val="bottom"/>
          </w:tcPr>
          <w:p>
            <w:pPr>
              <w:spacing w:after="0"/>
              <w:rPr>
                <w:sz w:val="17"/>
                <w:szCs w:val="17"/>
                <w:color w:val="auto"/>
              </w:rPr>
            </w:pPr>
          </w:p>
        </w:tc>
      </w:tr>
      <w:tr>
        <w:trPr>
          <w:trHeight w:val="28"/>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7220" w:type="dxa"/>
            <w:vAlign w:val="bottom"/>
            <w:tcBorders>
              <w:right w:val="single" w:sz="8" w:color="CCEEFF"/>
            </w:tcBorders>
            <w:gridSpan w:val="13"/>
            <w:shd w:val="clear" w:color="auto" w:fill="CCEEFF"/>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DESCRIPTION OF DEBT SECURITIES</w:t>
              </w:r>
            </w:hyperlink>
          </w:p>
        </w:tc>
        <w:tc>
          <w:tcPr>
            <w:tcW w:w="100" w:type="dxa"/>
            <w:vAlign w:val="bottom"/>
            <w:gridSpan w:val="2"/>
            <w:shd w:val="clear" w:color="auto" w:fill="CCEEFF"/>
          </w:tcPr>
          <w:p>
            <w:pPr>
              <w:jc w:val="right"/>
              <w:spacing w:after="0"/>
              <w:rPr>
                <w:rFonts w:ascii="Arial" w:cs="Arial" w:eastAsia="Arial" w:hAnsi="Arial"/>
                <w:sz w:val="16"/>
                <w:szCs w:val="16"/>
                <w:color w:val="0000EE"/>
                <w:w w:val="89"/>
              </w:rPr>
            </w:pPr>
            <w:hyperlink w:anchor="page13">
              <w:r>
                <w:rPr>
                  <w:rFonts w:ascii="Arial" w:cs="Arial" w:eastAsia="Arial" w:hAnsi="Arial"/>
                  <w:sz w:val="16"/>
                  <w:szCs w:val="16"/>
                  <w:color w:val="0000EE"/>
                  <w:w w:val="89"/>
                </w:rPr>
                <w:t>8</w:t>
              </w:r>
            </w:hyperlink>
          </w:p>
        </w:tc>
        <w:tc>
          <w:tcPr>
            <w:tcW w:w="60" w:type="dxa"/>
            <w:vAlign w:val="bottom"/>
            <w:shd w:val="clear" w:color="auto" w:fill="CCEEFF"/>
          </w:tcPr>
          <w:p>
            <w:pPr>
              <w:spacing w:after="0"/>
              <w:rPr>
                <w:sz w:val="18"/>
                <w:szCs w:val="18"/>
                <w:color w:val="auto"/>
              </w:rPr>
            </w:pPr>
          </w:p>
        </w:tc>
      </w:tr>
      <w:tr>
        <w:trPr>
          <w:trHeight w:val="36"/>
        </w:trPr>
        <w:tc>
          <w:tcPr>
            <w:tcW w:w="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6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207"/>
        </w:trPr>
        <w:tc>
          <w:tcPr>
            <w:tcW w:w="2320" w:type="dxa"/>
            <w:vAlign w:val="bottom"/>
            <w:gridSpan w:val="9"/>
          </w:tcPr>
          <w:p>
            <w:pPr>
              <w:spacing w:after="0"/>
              <w:rPr>
                <w:rFonts w:ascii="Arial" w:cs="Arial" w:eastAsia="Arial" w:hAnsi="Arial"/>
                <w:sz w:val="16"/>
                <w:szCs w:val="16"/>
                <w:color w:val="0000EE"/>
                <w:w w:val="98"/>
              </w:rPr>
            </w:pPr>
            <w:hyperlink w:anchor="page20">
              <w:r>
                <w:rPr>
                  <w:rFonts w:ascii="Arial" w:cs="Arial" w:eastAsia="Arial" w:hAnsi="Arial"/>
                  <w:sz w:val="16"/>
                  <w:szCs w:val="16"/>
                  <w:color w:val="0000EE"/>
                  <w:w w:val="98"/>
                </w:rPr>
                <w:t>DESCRIPTION OF WARRANTS</w:t>
              </w:r>
            </w:hyperlink>
          </w:p>
        </w:tc>
        <w:tc>
          <w:tcPr>
            <w:tcW w:w="500" w:type="dxa"/>
            <w:vAlign w:val="bottom"/>
            <w:gridSpan w:val="2"/>
          </w:tcPr>
          <w:p>
            <w:pPr>
              <w:spacing w:after="0"/>
              <w:rPr>
                <w:sz w:val="17"/>
                <w:szCs w:val="17"/>
                <w:color w:val="auto"/>
              </w:rPr>
            </w:pPr>
          </w:p>
        </w:tc>
        <w:tc>
          <w:tcPr>
            <w:tcW w:w="4420" w:type="dxa"/>
            <w:vAlign w:val="bottom"/>
            <w:gridSpan w:val="3"/>
          </w:tcPr>
          <w:p>
            <w:pPr>
              <w:spacing w:after="0"/>
              <w:rPr>
                <w:sz w:val="17"/>
                <w:szCs w:val="17"/>
                <w:color w:val="auto"/>
              </w:rPr>
            </w:pPr>
          </w:p>
        </w:tc>
        <w:tc>
          <w:tcPr>
            <w:tcW w:w="100" w:type="dxa"/>
            <w:vAlign w:val="bottom"/>
            <w:gridSpan w:val="2"/>
          </w:tcPr>
          <w:p>
            <w:pPr>
              <w:jc w:val="right"/>
              <w:spacing w:after="0"/>
              <w:rPr>
                <w:rFonts w:ascii="Arial" w:cs="Arial" w:eastAsia="Arial" w:hAnsi="Arial"/>
                <w:sz w:val="10"/>
                <w:szCs w:val="10"/>
                <w:color w:val="0000EE"/>
                <w:w w:val="71"/>
              </w:rPr>
            </w:pPr>
            <w:hyperlink w:anchor="page20">
              <w:r>
                <w:rPr>
                  <w:rFonts w:ascii="Arial" w:cs="Arial" w:eastAsia="Arial" w:hAnsi="Arial"/>
                  <w:sz w:val="10"/>
                  <w:szCs w:val="10"/>
                  <w:color w:val="0000EE"/>
                  <w:w w:val="71"/>
                </w:rPr>
                <w:t>15</w:t>
              </w:r>
            </w:hyperlink>
          </w:p>
        </w:tc>
        <w:tc>
          <w:tcPr>
            <w:tcW w:w="60" w:type="dxa"/>
            <w:vAlign w:val="bottom"/>
          </w:tcPr>
          <w:p>
            <w:pPr>
              <w:spacing w:after="0"/>
              <w:rPr>
                <w:sz w:val="17"/>
                <w:szCs w:val="17"/>
                <w:color w:val="auto"/>
              </w:rPr>
            </w:pPr>
          </w:p>
        </w:tc>
      </w:tr>
      <w:tr>
        <w:trPr>
          <w:trHeight w:val="28"/>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1900" w:type="dxa"/>
            <w:vAlign w:val="bottom"/>
            <w:gridSpan w:val="6"/>
            <w:shd w:val="clear" w:color="auto" w:fill="CCEEFF"/>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PLAN OF DISTRIBUTION</w:t>
              </w:r>
            </w:hyperlink>
          </w:p>
        </w:tc>
        <w:tc>
          <w:tcPr>
            <w:tcW w:w="400" w:type="dxa"/>
            <w:vAlign w:val="bottom"/>
            <w:gridSpan w:val="2"/>
            <w:shd w:val="clear" w:color="auto" w:fill="CCEEFF"/>
          </w:tcPr>
          <w:p>
            <w:pPr>
              <w:spacing w:after="0"/>
              <w:rPr>
                <w:sz w:val="18"/>
                <w:szCs w:val="18"/>
                <w:color w:val="auto"/>
              </w:rPr>
            </w:pPr>
          </w:p>
        </w:tc>
        <w:tc>
          <w:tcPr>
            <w:tcW w:w="4920" w:type="dxa"/>
            <w:vAlign w:val="bottom"/>
            <w:tcBorders>
              <w:left w:val="single" w:sz="8" w:color="CCEEFF"/>
              <w:right w:val="single" w:sz="8" w:color="CCEEFF"/>
            </w:tcBorders>
            <w:gridSpan w:val="5"/>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rFonts w:ascii="Arial" w:cs="Arial" w:eastAsia="Arial" w:hAnsi="Arial"/>
                <w:sz w:val="10"/>
                <w:szCs w:val="10"/>
                <w:color w:val="0000EE"/>
                <w:w w:val="71"/>
              </w:rPr>
            </w:pPr>
            <w:hyperlink w:anchor="page21">
              <w:r>
                <w:rPr>
                  <w:rFonts w:ascii="Arial" w:cs="Arial" w:eastAsia="Arial" w:hAnsi="Arial"/>
                  <w:sz w:val="10"/>
                  <w:szCs w:val="10"/>
                  <w:color w:val="0000EE"/>
                  <w:w w:val="71"/>
                </w:rPr>
                <w:t>16</w:t>
              </w:r>
            </w:hyperlink>
          </w:p>
        </w:tc>
        <w:tc>
          <w:tcPr>
            <w:tcW w:w="60" w:type="dxa"/>
            <w:vAlign w:val="bottom"/>
            <w:shd w:val="clear" w:color="auto" w:fill="CCEEFF"/>
          </w:tcPr>
          <w:p>
            <w:pPr>
              <w:spacing w:after="0"/>
              <w:rPr>
                <w:sz w:val="18"/>
                <w:szCs w:val="18"/>
                <w:color w:val="auto"/>
              </w:rPr>
            </w:pPr>
          </w:p>
        </w:tc>
      </w:tr>
      <w:tr>
        <w:trPr>
          <w:trHeight w:val="36"/>
        </w:trPr>
        <w:tc>
          <w:tcPr>
            <w:tcW w:w="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207"/>
        </w:trPr>
        <w:tc>
          <w:tcPr>
            <w:tcW w:w="1360" w:type="dxa"/>
            <w:vAlign w:val="bottom"/>
            <w:gridSpan w:val="5"/>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LEGAL MATTERS</w:t>
              </w:r>
            </w:hyperlink>
          </w:p>
        </w:tc>
        <w:tc>
          <w:tcPr>
            <w:tcW w:w="560" w:type="dxa"/>
            <w:vAlign w:val="bottom"/>
            <w:gridSpan w:val="2"/>
          </w:tcPr>
          <w:p>
            <w:pPr>
              <w:spacing w:after="0"/>
              <w:rPr>
                <w:sz w:val="17"/>
                <w:szCs w:val="17"/>
                <w:color w:val="auto"/>
              </w:rPr>
            </w:pPr>
          </w:p>
        </w:tc>
        <w:tc>
          <w:tcPr>
            <w:tcW w:w="5320" w:type="dxa"/>
            <w:vAlign w:val="bottom"/>
            <w:gridSpan w:val="7"/>
          </w:tcPr>
          <w:p>
            <w:pPr>
              <w:spacing w:after="0"/>
              <w:rPr>
                <w:sz w:val="17"/>
                <w:szCs w:val="17"/>
                <w:color w:val="auto"/>
              </w:rPr>
            </w:pPr>
          </w:p>
        </w:tc>
        <w:tc>
          <w:tcPr>
            <w:tcW w:w="100" w:type="dxa"/>
            <w:vAlign w:val="bottom"/>
            <w:gridSpan w:val="2"/>
          </w:tcPr>
          <w:p>
            <w:pPr>
              <w:jc w:val="right"/>
              <w:spacing w:after="0"/>
              <w:rPr>
                <w:rFonts w:ascii="Arial" w:cs="Arial" w:eastAsia="Arial" w:hAnsi="Arial"/>
                <w:sz w:val="10"/>
                <w:szCs w:val="10"/>
                <w:color w:val="0000EE"/>
                <w:w w:val="71"/>
              </w:rPr>
            </w:pPr>
            <w:hyperlink w:anchor="page25">
              <w:r>
                <w:rPr>
                  <w:rFonts w:ascii="Arial" w:cs="Arial" w:eastAsia="Arial" w:hAnsi="Arial"/>
                  <w:sz w:val="10"/>
                  <w:szCs w:val="10"/>
                  <w:color w:val="0000EE"/>
                  <w:w w:val="71"/>
                </w:rPr>
                <w:t>20</w:t>
              </w:r>
            </w:hyperlink>
          </w:p>
        </w:tc>
        <w:tc>
          <w:tcPr>
            <w:tcW w:w="60" w:type="dxa"/>
            <w:vAlign w:val="bottom"/>
          </w:tcPr>
          <w:p>
            <w:pPr>
              <w:spacing w:after="0"/>
              <w:rPr>
                <w:sz w:val="17"/>
                <w:szCs w:val="17"/>
                <w:color w:val="auto"/>
              </w:rPr>
            </w:pPr>
          </w:p>
        </w:tc>
      </w:tr>
      <w:tr>
        <w:trPr>
          <w:trHeight w:val="28"/>
        </w:trPr>
        <w:tc>
          <w:tcPr>
            <w:tcW w:w="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20" w:type="dxa"/>
            <w:vAlign w:val="bottom"/>
          </w:tcPr>
          <w:p>
            <w:pPr>
              <w:spacing w:after="0"/>
              <w:rPr>
                <w:sz w:val="18"/>
                <w:szCs w:val="18"/>
                <w:color w:val="auto"/>
              </w:rPr>
            </w:pPr>
          </w:p>
        </w:tc>
        <w:tc>
          <w:tcPr>
            <w:tcW w:w="700" w:type="dxa"/>
            <w:vAlign w:val="bottom"/>
            <w:shd w:val="clear" w:color="auto" w:fill="CCEEFF"/>
          </w:tcPr>
          <w:p>
            <w:pPr>
              <w:spacing w:after="0"/>
              <w:rPr>
                <w:rFonts w:ascii="Arial" w:cs="Arial" w:eastAsia="Arial" w:hAnsi="Arial"/>
                <w:sz w:val="16"/>
                <w:szCs w:val="16"/>
                <w:color w:val="0000EE"/>
                <w:w w:val="90"/>
              </w:rPr>
            </w:pPr>
            <w:hyperlink w:anchor="page26">
              <w:r>
                <w:rPr>
                  <w:rFonts w:ascii="Arial" w:cs="Arial" w:eastAsia="Arial" w:hAnsi="Arial"/>
                  <w:sz w:val="16"/>
                  <w:szCs w:val="16"/>
                  <w:color w:val="0000EE"/>
                  <w:w w:val="90"/>
                </w:rPr>
                <w:t>EXPERTS</w:t>
              </w:r>
            </w:hyperlink>
          </w:p>
        </w:tc>
        <w:tc>
          <w:tcPr>
            <w:tcW w:w="640" w:type="dxa"/>
            <w:vAlign w:val="bottom"/>
            <w:gridSpan w:val="3"/>
            <w:shd w:val="clear" w:color="auto" w:fill="CCEEFF"/>
          </w:tcPr>
          <w:p>
            <w:pPr>
              <w:spacing w:after="0"/>
              <w:rPr>
                <w:sz w:val="18"/>
                <w:szCs w:val="18"/>
                <w:color w:val="auto"/>
              </w:rPr>
            </w:pPr>
          </w:p>
        </w:tc>
        <w:tc>
          <w:tcPr>
            <w:tcW w:w="5880" w:type="dxa"/>
            <w:vAlign w:val="bottom"/>
            <w:tcBorders>
              <w:right w:val="single" w:sz="8" w:color="CCEEFF"/>
            </w:tcBorders>
            <w:gridSpan w:val="9"/>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21</w:t>
              </w:r>
            </w:hyperlink>
          </w:p>
        </w:tc>
        <w:tc>
          <w:tcPr>
            <w:tcW w:w="60" w:type="dxa"/>
            <w:vAlign w:val="bottom"/>
            <w:shd w:val="clear" w:color="auto" w:fill="CCEEFF"/>
          </w:tcPr>
          <w:p>
            <w:pPr>
              <w:spacing w:after="0"/>
              <w:rPr>
                <w:sz w:val="18"/>
                <w:szCs w:val="18"/>
                <w:color w:val="auto"/>
              </w:rPr>
            </w:pPr>
          </w:p>
        </w:tc>
      </w:tr>
      <w:tr>
        <w:trPr>
          <w:trHeight w:val="36"/>
        </w:trPr>
        <w:tc>
          <w:tcPr>
            <w:tcW w:w="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CCEEFF"/>
          </w:tcPr>
          <w:p>
            <w:pPr>
              <w:spacing w:after="0"/>
              <w:rPr>
                <w:sz w:val="3"/>
                <w:szCs w:val="3"/>
                <w:color w:val="auto"/>
              </w:rPr>
            </w:pPr>
          </w:p>
        </w:tc>
      </w:tr>
      <w:tr>
        <w:trPr>
          <w:trHeight w:val="207"/>
        </w:trPr>
        <w:tc>
          <w:tcPr>
            <w:tcW w:w="3560" w:type="dxa"/>
            <w:vAlign w:val="bottom"/>
            <w:gridSpan w:val="12"/>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WHERE YOU CAN FIND MORE INFORMATION</w:t>
              </w:r>
            </w:hyperlink>
          </w:p>
        </w:tc>
        <w:tc>
          <w:tcPr>
            <w:tcW w:w="3680" w:type="dxa"/>
            <w:vAlign w:val="bottom"/>
            <w:gridSpan w:val="2"/>
          </w:tcPr>
          <w:p>
            <w:pPr>
              <w:spacing w:after="0"/>
              <w:rPr>
                <w:sz w:val="17"/>
                <w:szCs w:val="17"/>
                <w:color w:val="auto"/>
              </w:rPr>
            </w:pPr>
          </w:p>
        </w:tc>
        <w:tc>
          <w:tcPr>
            <w:tcW w:w="100" w:type="dxa"/>
            <w:vAlign w:val="bottom"/>
            <w:gridSpan w:val="2"/>
          </w:tcPr>
          <w:p>
            <w:pPr>
              <w:jc w:val="right"/>
              <w:spacing w:after="0"/>
              <w:rPr>
                <w:rFonts w:ascii="Arial" w:cs="Arial" w:eastAsia="Arial" w:hAnsi="Arial"/>
                <w:sz w:val="10"/>
                <w:szCs w:val="10"/>
                <w:color w:val="0000EE"/>
                <w:w w:val="71"/>
              </w:rPr>
            </w:pPr>
            <w:hyperlink w:anchor="page27">
              <w:r>
                <w:rPr>
                  <w:rFonts w:ascii="Arial" w:cs="Arial" w:eastAsia="Arial" w:hAnsi="Arial"/>
                  <w:sz w:val="10"/>
                  <w:szCs w:val="10"/>
                  <w:color w:val="0000EE"/>
                  <w:w w:val="71"/>
                </w:rPr>
                <w:t>22</w:t>
              </w:r>
            </w:hyperlink>
          </w:p>
        </w:tc>
        <w:tc>
          <w:tcPr>
            <w:tcW w:w="6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-2131695</wp:posOffset>
            </wp:positionV>
            <wp:extent cx="45116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116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3" w:name="page4"/>
    <w:bookmarkEnd w:id="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ABOUT THIS PROSPECTUS</w:t>
      </w:r>
    </w:p>
    <w:p>
      <w:pPr>
        <w:spacing w:after="0" w:line="136" w:lineRule="exact"/>
        <w:rPr>
          <w:sz w:val="20"/>
          <w:szCs w:val="20"/>
          <w:color w:val="auto"/>
        </w:rPr>
      </w:pPr>
    </w:p>
    <w:p>
      <w:pPr>
        <w:ind w:left="1120" w:right="1199" w:firstLine="324"/>
        <w:spacing w:after="0" w:line="26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101" w:lineRule="exact"/>
        <w:rPr>
          <w:sz w:val="20"/>
          <w:szCs w:val="20"/>
          <w:color w:val="auto"/>
        </w:rPr>
      </w:pPr>
    </w:p>
    <w:p>
      <w:pPr>
        <w:ind w:left="1120" w:right="859" w:firstLine="324"/>
        <w:spacing w:after="0" w:line="258" w:lineRule="auto"/>
        <w:rPr>
          <w:sz w:val="20"/>
          <w:szCs w:val="20"/>
          <w:color w:val="auto"/>
        </w:rPr>
      </w:pPr>
      <w:r>
        <w:rPr>
          <w:rFonts w:ascii="Arial" w:cs="Arial" w:eastAsia="Arial" w:hAnsi="Arial"/>
          <w:sz w:val="16"/>
          <w:szCs w:val="16"/>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112" w:lineRule="exact"/>
        <w:rPr>
          <w:sz w:val="20"/>
          <w:szCs w:val="20"/>
          <w:color w:val="auto"/>
        </w:rPr>
      </w:pPr>
    </w:p>
    <w:p>
      <w:pPr>
        <w:ind w:left="1120" w:right="859" w:firstLine="324"/>
        <w:spacing w:after="0" w:line="263"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94" w:lineRule="exact"/>
        <w:rPr>
          <w:sz w:val="20"/>
          <w:szCs w:val="20"/>
          <w:color w:val="auto"/>
        </w:rPr>
      </w:pPr>
    </w:p>
    <w:p>
      <w:pPr>
        <w:ind w:left="1120" w:right="819" w:firstLine="324"/>
        <w:spacing w:after="0" w:line="257" w:lineRule="auto"/>
        <w:rPr>
          <w:sz w:val="20"/>
          <w:szCs w:val="20"/>
          <w:color w:val="auto"/>
        </w:rPr>
      </w:pPr>
      <w:r>
        <w:rPr>
          <w:rFonts w:ascii="Arial" w:cs="Arial" w:eastAsia="Arial" w:hAnsi="Arial"/>
          <w:sz w:val="16"/>
          <w:szCs w:val="16"/>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13" w:lineRule="exact"/>
        <w:rPr>
          <w:sz w:val="20"/>
          <w:szCs w:val="20"/>
          <w:color w:val="auto"/>
        </w:rPr>
      </w:pPr>
    </w:p>
    <w:p>
      <w:pPr>
        <w:jc w:val="both"/>
        <w:ind w:left="1120" w:right="839" w:firstLine="324"/>
        <w:spacing w:after="0" w:line="268"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01" w:lineRule="exact"/>
        <w:rPr>
          <w:sz w:val="20"/>
          <w:szCs w:val="20"/>
          <w:color w:val="auto"/>
        </w:rPr>
      </w:pPr>
    </w:p>
    <w:p>
      <w:pPr>
        <w:ind w:left="1120" w:right="899" w:firstLine="324"/>
        <w:spacing w:after="0" w:line="259" w:lineRule="auto"/>
        <w:rPr>
          <w:sz w:val="20"/>
          <w:szCs w:val="20"/>
          <w:color w:val="auto"/>
        </w:rPr>
      </w:pPr>
      <w:r>
        <w:rPr>
          <w:rFonts w:ascii="Arial" w:cs="Arial" w:eastAsia="Arial" w:hAnsi="Arial"/>
          <w:sz w:val="16"/>
          <w:szCs w:val="16"/>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2" w:right="1440" w:bottom="1440" w:gutter="0" w:footer="0" w:header="0"/>
        </w:sectPr>
      </w:pPr>
    </w:p>
    <w:bookmarkStart w:id="4" w:name="page5"/>
    <w:bookmarkEnd w:id="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36" w:lineRule="exact"/>
        <w:rPr>
          <w:sz w:val="20"/>
          <w:szCs w:val="20"/>
          <w:color w:val="auto"/>
        </w:rPr>
      </w:pPr>
    </w:p>
    <w:p>
      <w:pPr>
        <w:ind w:left="1120" w:right="819" w:firstLine="324"/>
        <w:spacing w:after="0" w:line="271" w:lineRule="auto"/>
        <w:rPr>
          <w:sz w:val="20"/>
          <w:szCs w:val="20"/>
          <w:color w:val="auto"/>
        </w:rPr>
      </w:pPr>
      <w:r>
        <w:rPr>
          <w:rFonts w:ascii="Arial" w:cs="Arial" w:eastAsia="Arial" w:hAnsi="Arial"/>
          <w:sz w:val="15"/>
          <w:szCs w:val="15"/>
          <w:color w:val="auto"/>
        </w:rPr>
        <w:t>This prospectus, any accompanying prospectus supplements, and the documents incorporated by reference contain forward-looking statements that involve risks and uncertainties relating to future events and our future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our business and our employees, collaborators, and suppliers and other third parties on which we rely, our and our collaborators’ ability to continue to conduct research and clinical programs, our ability to manage our supply chain, net product sales of products marketed or otherwise commercialized by us and/or our collaborators (collectively, “Regeneron’s Products”), and the global economy; the nature, timing, and possible success and therapeutic applications of Regeneron’s Products and product candidates being developed by us and/or our collaborators (collectively, “Regeneron’s Product Candidates”) and research and clinical programs now underway or planned, our and our collaborators’ earlier-stage programs, and the use of human genetics in our research programs; the likelihood and timing of achieving any of our anticipated development milestones;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our late-stage product candidates and new indications for Regeneron’s Products; the extent to which the results from the research and development programs conducted by us and/or our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our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us or others and whether mandated or voluntary) or recommendations and guidelines from governmental authorities and other third parties on the commercial success of Regeneron’s Products and Regeneron’s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Roche, and Teva Pharmaceutical Industries Ltd. (or their respective affiliated companies, as applicable) and our REGEN-COV supply agreement with the U.S. government, to be cancelled or terminated; and risks associated with intellectual property of other parties and pending or future litigation relating thereto (including without limitation the proceedings described further in the notes to our financial statements incorporated by reference into this prospectus), other litigation and other proceedings and government investigations relating to our Company and/or our operations (including without limitation those described in the notes to our financial statements incorporated by reference into this prospectus), the ultimate outcome of any such proceedings and investigations, and the impact any of the foregoing may have on our business, prospects, operating results, and financial condition. Any forward-looking statements are made based on management’s current beliefs and judgment, and the reader is cautioned not to rely on any such statements. In evaluating such statements, shareholders and potential investors should specifically consider the various factors described in our Annual Report on Form 10-K for the fiscal year ended December 31, 2020, in our Quarterly</w:t>
      </w:r>
    </w:p>
    <w:p>
      <w:pPr>
        <w:spacing w:after="0" w:line="200" w:lineRule="exact"/>
        <w:rPr>
          <w:sz w:val="20"/>
          <w:szCs w:val="20"/>
          <w:color w:val="auto"/>
        </w:rPr>
      </w:pPr>
    </w:p>
    <w:p>
      <w:pPr>
        <w:spacing w:after="0" w:line="35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5" w:name="page6"/>
    <w:bookmarkEnd w:id="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120" w:right="1219"/>
        <w:spacing w:after="0" w:line="282" w:lineRule="auto"/>
        <w:rPr>
          <w:sz w:val="20"/>
          <w:szCs w:val="20"/>
          <w:color w:val="auto"/>
        </w:rPr>
      </w:pPr>
      <w:r>
        <w:rPr>
          <w:rFonts w:ascii="Arial" w:cs="Arial" w:eastAsia="Arial" w:hAnsi="Arial"/>
          <w:sz w:val="15"/>
          <w:szCs w:val="15"/>
          <w:color w:val="auto"/>
        </w:rPr>
        <w:t>Report on Form 10-Q for the quarterly period ended September 30, 2021, and in our other reports and filings with the SEC, in each case including in the sections thereof captioned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51"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NOTE REGARDING TRADEMARKS</w:t>
      </w:r>
    </w:p>
    <w:p>
      <w:pPr>
        <w:spacing w:after="0" w:line="116" w:lineRule="exact"/>
        <w:rPr>
          <w:sz w:val="20"/>
          <w:szCs w:val="20"/>
          <w:color w:val="auto"/>
        </w:rPr>
      </w:pPr>
    </w:p>
    <w:p>
      <w:pPr>
        <w:ind w:left="1120" w:right="819" w:firstLine="324"/>
        <w:spacing w:after="0" w:line="196" w:lineRule="auto"/>
        <w:rPr>
          <w:sz w:val="20"/>
          <w:szCs w:val="20"/>
          <w:color w:val="auto"/>
        </w:rPr>
      </w:pPr>
      <w:r>
        <w:rPr>
          <w:rFonts w:ascii="Arial" w:cs="Arial" w:eastAsia="Arial" w:hAnsi="Arial"/>
          <w:sz w:val="16"/>
          <w:szCs w:val="16"/>
          <w:color w:val="auto"/>
        </w:rPr>
        <w:t>“ARCALYST</w:t>
      </w:r>
      <w:r>
        <w:rPr>
          <w:rFonts w:ascii="Arial" w:cs="Arial" w:eastAsia="Arial" w:hAnsi="Arial"/>
          <w:sz w:val="24"/>
          <w:szCs w:val="24"/>
          <w:color w:val="auto"/>
          <w:vertAlign w:val="superscript"/>
        </w:rPr>
        <w:t>®</w:t>
      </w:r>
      <w:r>
        <w:rPr>
          <w:rFonts w:ascii="Arial" w:cs="Arial" w:eastAsia="Arial" w:hAnsi="Arial"/>
          <w:sz w:val="16"/>
          <w:szCs w:val="16"/>
          <w:color w:val="auto"/>
        </w:rPr>
        <w:t>,” “Evkeeza</w:t>
      </w:r>
      <w:r>
        <w:rPr>
          <w:rFonts w:ascii="Arial" w:cs="Arial" w:eastAsia="Arial" w:hAnsi="Arial"/>
          <w:sz w:val="24"/>
          <w:szCs w:val="24"/>
          <w:color w:val="auto"/>
          <w:vertAlign w:val="superscript"/>
        </w:rPr>
        <w:t>®</w:t>
      </w:r>
      <w:r>
        <w:rPr>
          <w:rFonts w:ascii="Arial" w:cs="Arial" w:eastAsia="Arial" w:hAnsi="Arial"/>
          <w:sz w:val="16"/>
          <w:szCs w:val="16"/>
          <w:color w:val="auto"/>
        </w:rPr>
        <w:t>,” “EYLEA</w:t>
      </w:r>
      <w:r>
        <w:rPr>
          <w:rFonts w:ascii="Arial" w:cs="Arial" w:eastAsia="Arial" w:hAnsi="Arial"/>
          <w:sz w:val="24"/>
          <w:szCs w:val="24"/>
          <w:color w:val="auto"/>
          <w:vertAlign w:val="superscript"/>
        </w:rPr>
        <w:t>®</w:t>
      </w:r>
      <w:r>
        <w:rPr>
          <w:rFonts w:ascii="Arial" w:cs="Arial" w:eastAsia="Arial" w:hAnsi="Arial"/>
          <w:sz w:val="16"/>
          <w:szCs w:val="16"/>
          <w:color w:val="auto"/>
        </w:rPr>
        <w:t>,” “Inmazeb</w:t>
      </w:r>
      <w:r>
        <w:rPr>
          <w:rFonts w:ascii="Arial" w:cs="Arial" w:eastAsia="Arial" w:hAnsi="Arial"/>
          <w:sz w:val="24"/>
          <w:szCs w:val="24"/>
          <w:color w:val="auto"/>
          <w:vertAlign w:val="superscript"/>
        </w:rPr>
        <w:t>®</w:t>
      </w:r>
      <w:r>
        <w:rPr>
          <w:rFonts w:ascii="Arial" w:cs="Arial" w:eastAsia="Arial" w:hAnsi="Arial"/>
          <w:sz w:val="16"/>
          <w:szCs w:val="16"/>
          <w:color w:val="auto"/>
        </w:rPr>
        <w:t>,” “Libtayo</w:t>
      </w:r>
      <w:r>
        <w:rPr>
          <w:rFonts w:ascii="Arial" w:cs="Arial" w:eastAsia="Arial" w:hAnsi="Arial"/>
          <w:sz w:val="24"/>
          <w:szCs w:val="24"/>
          <w:color w:val="auto"/>
          <w:vertAlign w:val="superscript"/>
        </w:rPr>
        <w:t>®</w:t>
      </w:r>
      <w:r>
        <w:rPr>
          <w:rFonts w:ascii="Arial" w:cs="Arial" w:eastAsia="Arial" w:hAnsi="Arial"/>
          <w:sz w:val="16"/>
          <w:szCs w:val="16"/>
          <w:color w:val="auto"/>
        </w:rPr>
        <w:t>” (in the United States), “Praluent</w:t>
      </w:r>
      <w:r>
        <w:rPr>
          <w:rFonts w:ascii="Arial" w:cs="Arial" w:eastAsia="Arial" w:hAnsi="Arial"/>
          <w:sz w:val="24"/>
          <w:szCs w:val="24"/>
          <w:color w:val="auto"/>
          <w:vertAlign w:val="superscript"/>
        </w:rPr>
        <w:t>®</w:t>
      </w:r>
      <w:r>
        <w:rPr>
          <w:rFonts w:ascii="Arial" w:cs="Arial" w:eastAsia="Arial" w:hAnsi="Arial"/>
          <w:sz w:val="16"/>
          <w:szCs w:val="16"/>
          <w:color w:val="auto"/>
        </w:rPr>
        <w:t>” (in the United States), “REGEN-COV</w:t>
      </w:r>
      <w:r>
        <w:rPr>
          <w:rFonts w:ascii="Arial" w:cs="Arial" w:eastAsia="Arial" w:hAnsi="Arial"/>
          <w:sz w:val="24"/>
          <w:szCs w:val="24"/>
          <w:color w:val="auto"/>
          <w:vertAlign w:val="superscript"/>
        </w:rPr>
        <w:t>®</w:t>
      </w:r>
      <w:r>
        <w:rPr>
          <w:rFonts w:ascii="Arial" w:cs="Arial" w:eastAsia="Arial" w:hAnsi="Arial"/>
          <w:sz w:val="16"/>
          <w:szCs w:val="16"/>
          <w:color w:val="auto"/>
        </w:rPr>
        <w:t>,” “Regeneron</w:t>
      </w:r>
      <w:r>
        <w:rPr>
          <w:rFonts w:ascii="Arial" w:cs="Arial" w:eastAsia="Arial" w:hAnsi="Arial"/>
          <w:sz w:val="24"/>
          <w:szCs w:val="24"/>
          <w:color w:val="auto"/>
          <w:vertAlign w:val="superscript"/>
        </w:rPr>
        <w:t>®</w:t>
      </w:r>
      <w:r>
        <w:rPr>
          <w:rFonts w:ascii="Arial" w:cs="Arial" w:eastAsia="Arial" w:hAnsi="Arial"/>
          <w:sz w:val="16"/>
          <w:szCs w:val="16"/>
          <w:color w:val="auto"/>
        </w:rPr>
        <w:t>,” “Regeneron Genetics Center</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Veloci-Bi</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VelociGene</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VelociHum</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VelociMab</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VelocImmune</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VelociMouse</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VelociSuite</w:t>
      </w:r>
      <w:r>
        <w:rPr>
          <w:rFonts w:ascii="Arial" w:cs="Arial" w:eastAsia="Arial" w:hAnsi="Arial"/>
          <w:sz w:val="24"/>
          <w:szCs w:val="24"/>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VelociT</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“ZALTRAP </w:t>
      </w:r>
      <w:r>
        <w:rPr>
          <w:rFonts w:ascii="Arial" w:cs="Arial" w:eastAsia="Arial" w:hAnsi="Arial"/>
          <w:sz w:val="24"/>
          <w:szCs w:val="24"/>
          <w:color w:val="auto"/>
          <w:vertAlign w:val="superscript"/>
        </w:rPr>
        <w:t>®</w:t>
      </w:r>
      <w:r>
        <w:rPr>
          <w:rFonts w:ascii="Arial" w:cs="Arial" w:eastAsia="Arial" w:hAnsi="Arial"/>
          <w:sz w:val="16"/>
          <w:szCs w:val="16"/>
          <w:color w:val="auto"/>
        </w:rPr>
        <w:t>” are our trademarks. Trademarks and trade names of other companies appearing in this prospectus are, to our knowledge,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6" w:name="page7"/>
    <w:bookmarkEnd w:id="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270510</wp:posOffset>
            </wp:positionV>
            <wp:extent cx="4964430" cy="7174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64430"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SUMMARY</w:t>
      </w:r>
    </w:p>
    <w:p>
      <w:pPr>
        <w:spacing w:after="0" w:line="148" w:lineRule="exact"/>
        <w:rPr>
          <w:sz w:val="20"/>
          <w:szCs w:val="20"/>
          <w:color w:val="auto"/>
        </w:rPr>
      </w:pPr>
    </w:p>
    <w:p>
      <w:pPr>
        <w:ind w:left="1140" w:right="1079" w:firstLine="324"/>
        <w:spacing w:after="0" w:line="263" w:lineRule="auto"/>
        <w:rPr>
          <w:sz w:val="20"/>
          <w:szCs w:val="20"/>
          <w:color w:val="auto"/>
        </w:rPr>
      </w:pPr>
      <w:r>
        <w:rPr>
          <w:rFonts w:ascii="Arial" w:cs="Arial" w:eastAsia="Arial" w:hAnsi="Arial"/>
          <w:sz w:val="16"/>
          <w:szCs w:val="16"/>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6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Regeneron Pharmaceuticals, Inc.</w:t>
      </w:r>
    </w:p>
    <w:p>
      <w:pPr>
        <w:spacing w:after="0" w:line="148" w:lineRule="exact"/>
        <w:rPr>
          <w:sz w:val="20"/>
          <w:szCs w:val="20"/>
          <w:color w:val="auto"/>
        </w:rPr>
      </w:pPr>
    </w:p>
    <w:p>
      <w:pPr>
        <w:ind w:left="1140" w:right="859" w:firstLine="324"/>
        <w:spacing w:after="0" w:line="261"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serious diseases. Our commercialized medicines and product candidates in development are designed to help patients with eye diseases, allergic and inflammatory diseases, cancer, cardiovascular and metabolic diseases, pain, hematologic conditions, infectious diseases, and rare diseases.</w:t>
      </w:r>
    </w:p>
    <w:p>
      <w:pPr>
        <w:spacing w:after="0" w:line="94" w:lineRule="exact"/>
        <w:rPr>
          <w:sz w:val="20"/>
          <w:szCs w:val="20"/>
          <w:color w:val="auto"/>
        </w:rPr>
      </w:pPr>
    </w:p>
    <w:p>
      <w:pPr>
        <w:ind w:left="1140" w:right="819" w:firstLine="324"/>
        <w:spacing w:after="0" w:line="261"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07" w:lineRule="exact"/>
        <w:rPr>
          <w:sz w:val="20"/>
          <w:szCs w:val="20"/>
          <w:color w:val="auto"/>
        </w:rPr>
      </w:pPr>
    </w:p>
    <w:p>
      <w:pPr>
        <w:ind w:left="1140" w:right="859" w:firstLine="324"/>
        <w:spacing w:after="0" w:line="227" w:lineRule="auto"/>
        <w:rPr>
          <w:sz w:val="20"/>
          <w:szCs w:val="20"/>
          <w:color w:val="auto"/>
        </w:rPr>
      </w:pPr>
      <w:r>
        <w:rPr>
          <w:rFonts w:ascii="Arial" w:cs="Arial" w:eastAsia="Arial" w:hAnsi="Arial"/>
          <w:sz w:val="15"/>
          <w:szCs w:val="15"/>
          <w:color w:val="auto"/>
        </w:rPr>
        <w:t>We currently have ten products that have received marketing approval in the United States, European Union, and/or Japan (as applicable), which are currently marketed by us and/or our collaborators (such as Bayer, Sanofi, and Roche): EYLEA</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(aflibercept) Injection, Dupixent</w:t>
      </w:r>
      <w:r>
        <w:rPr>
          <w:rFonts w:ascii="Arial" w:cs="Arial" w:eastAsia="Arial" w:hAnsi="Arial"/>
          <w:sz w:val="22"/>
          <w:szCs w:val="22"/>
          <w:color w:val="auto"/>
          <w:vertAlign w:val="superscript"/>
        </w:rPr>
        <w:t>®</w:t>
      </w:r>
      <w:r>
        <w:rPr>
          <w:rFonts w:ascii="Arial" w:cs="Arial" w:eastAsia="Arial" w:hAnsi="Arial"/>
          <w:sz w:val="15"/>
          <w:szCs w:val="15"/>
          <w:color w:val="auto"/>
        </w:rPr>
        <w:t xml:space="preserve"> (dupilumab) Injection, Libtayo</w:t>
      </w:r>
      <w:r>
        <w:rPr>
          <w:rFonts w:ascii="Arial" w:cs="Arial" w:eastAsia="Arial" w:hAnsi="Arial"/>
          <w:sz w:val="22"/>
          <w:szCs w:val="22"/>
          <w:color w:val="auto"/>
          <w:vertAlign w:val="superscript"/>
        </w:rPr>
        <w:t>®</w:t>
      </w:r>
      <w:r>
        <w:rPr>
          <w:rFonts w:ascii="Arial" w:cs="Arial" w:eastAsia="Arial" w:hAnsi="Arial"/>
          <w:sz w:val="15"/>
          <w:szCs w:val="15"/>
          <w:color w:val="auto"/>
        </w:rPr>
        <w:t xml:space="preserve"> (cemiplimab) Injection, Praluent</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(alirocumab) Injection, REGEN-COV</w:t>
      </w:r>
      <w:r>
        <w:rPr>
          <w:rFonts w:ascii="Arial" w:cs="Arial" w:eastAsia="Arial" w:hAnsi="Arial"/>
          <w:sz w:val="22"/>
          <w:szCs w:val="22"/>
          <w:color w:val="auto"/>
          <w:vertAlign w:val="superscript"/>
        </w:rPr>
        <w:t>®</w:t>
      </w:r>
      <w:r>
        <w:rPr>
          <w:rFonts w:ascii="Arial" w:cs="Arial" w:eastAsia="Arial" w:hAnsi="Arial"/>
          <w:sz w:val="15"/>
          <w:szCs w:val="15"/>
          <w:color w:val="auto"/>
        </w:rPr>
        <w:t xml:space="preserve"> (known as REGEN-COV in the United States and Ronapreve™ in other countries), Kevzara</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(sarilumab) Solution for Subcutaneous Injection, Evkeeza</w:t>
      </w:r>
      <w:r>
        <w:rPr>
          <w:rFonts w:ascii="Arial" w:cs="Arial" w:eastAsia="Arial" w:hAnsi="Arial"/>
          <w:sz w:val="22"/>
          <w:szCs w:val="22"/>
          <w:color w:val="auto"/>
          <w:vertAlign w:val="superscript"/>
        </w:rPr>
        <w:t>®</w:t>
      </w:r>
      <w:r>
        <w:rPr>
          <w:rFonts w:ascii="Arial" w:cs="Arial" w:eastAsia="Arial" w:hAnsi="Arial"/>
          <w:sz w:val="15"/>
          <w:szCs w:val="15"/>
          <w:color w:val="auto"/>
        </w:rPr>
        <w:t xml:space="preserve"> (evinacumab) Injection, Inmazeb</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(atoltivimab, maftivimab, and odesivimab-ebgn) Injection, ARCALYST</w:t>
      </w:r>
      <w:r>
        <w:rPr>
          <w:rFonts w:ascii="Arial" w:cs="Arial" w:eastAsia="Arial" w:hAnsi="Arial"/>
          <w:sz w:val="22"/>
          <w:szCs w:val="22"/>
          <w:color w:val="auto"/>
          <w:vertAlign w:val="superscript"/>
        </w:rPr>
        <w:t>®</w:t>
      </w:r>
      <w:r>
        <w:rPr>
          <w:rFonts w:ascii="Arial" w:cs="Arial" w:eastAsia="Arial" w:hAnsi="Arial"/>
          <w:sz w:val="15"/>
          <w:szCs w:val="15"/>
          <w:color w:val="auto"/>
        </w:rPr>
        <w:t xml:space="preserve"> (rilonacept) Injection for Subcutaneous Use, and ZALTRAP</w:t>
      </w:r>
      <w:r>
        <w:rPr>
          <w:rFonts w:ascii="Arial" w:cs="Arial" w:eastAsia="Arial" w:hAnsi="Arial"/>
          <w:sz w:val="22"/>
          <w:szCs w:val="22"/>
          <w:color w:val="auto"/>
          <w:vertAlign w:val="superscript"/>
        </w:rPr>
        <w:t>®</w:t>
      </w:r>
      <w:r>
        <w:rPr>
          <w:rFonts w:ascii="Arial" w:cs="Arial" w:eastAsia="Arial" w:hAnsi="Arial"/>
          <w:sz w:val="15"/>
          <w:szCs w:val="15"/>
          <w:color w:val="auto"/>
        </w:rPr>
        <w:t xml:space="preserve"> (ziv-aflibercept) Injection for Intravenous Infusion. We also have a number of product candidates in clinical development, almost all of which were discovered in our research laboratories. We believe that our ability to develop product candidates is enhanced by the application of our </w:t>
      </w:r>
      <w:r>
        <w:rPr>
          <w:rFonts w:ascii="Arial" w:cs="Arial" w:eastAsia="Arial" w:hAnsi="Arial"/>
          <w:sz w:val="15"/>
          <w:szCs w:val="15"/>
          <w:i w:val="1"/>
          <w:iCs w:val="1"/>
          <w:color w:val="auto"/>
        </w:rPr>
        <w:t>VelociSuite</w:t>
      </w:r>
      <w:r>
        <w:rPr>
          <w:rFonts w:ascii="Arial" w:cs="Arial" w:eastAsia="Arial" w:hAnsi="Arial"/>
          <w:sz w:val="22"/>
          <w:szCs w:val="22"/>
          <w:color w:val="auto"/>
          <w:vertAlign w:val="superscript"/>
        </w:rPr>
        <w:t>®</w:t>
      </w:r>
      <w:r>
        <w:rPr>
          <w:rFonts w:ascii="Arial" w:cs="Arial" w:eastAsia="Arial" w:hAnsi="Arial"/>
          <w:sz w:val="15"/>
          <w:szCs w:val="15"/>
          <w:color w:val="auto"/>
        </w:rPr>
        <w:t xml:space="preserve"> technology platforms. We continue to invest in the development of enabling technologies to assist in our efforts to identify, develop, manufacture, and commercialize new product candidates.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Corporate Information</w:t>
      </w:r>
    </w:p>
    <w:p>
      <w:pPr>
        <w:spacing w:after="0" w:line="148" w:lineRule="exact"/>
        <w:rPr>
          <w:sz w:val="20"/>
          <w:szCs w:val="20"/>
          <w:color w:val="auto"/>
        </w:rPr>
      </w:pPr>
    </w:p>
    <w:p>
      <w:pPr>
        <w:ind w:left="1140" w:right="999" w:firstLine="324"/>
        <w:spacing w:after="0" w:line="261" w:lineRule="auto"/>
        <w:rPr>
          <w:sz w:val="20"/>
          <w:szCs w:val="20"/>
          <w:color w:val="auto"/>
        </w:rPr>
      </w:pPr>
      <w:r>
        <w:rPr>
          <w:rFonts w:ascii="Arial" w:cs="Arial" w:eastAsia="Arial" w:hAnsi="Arial"/>
          <w:sz w:val="16"/>
          <w:szCs w:val="16"/>
          <w:color w:val="auto"/>
        </w:rPr>
        <w:t>Our principal executive offices are located at 777 Old Saw Mill River Road, Tarrytown, New York 10591,and our telephone number at that address is (914) 847-7000. Our website address is www.regeneron.com. The information on, or accessible through, our website is not part of this prospectus and should not be relied upon in connection with making any investment decision with respect to the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7" w:name="page8"/>
    <w:bookmarkEnd w:id="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RISK FACTORS</w:t>
      </w:r>
    </w:p>
    <w:p>
      <w:pPr>
        <w:spacing w:after="0" w:line="136" w:lineRule="exact"/>
        <w:rPr>
          <w:sz w:val="20"/>
          <w:szCs w:val="20"/>
          <w:color w:val="auto"/>
        </w:rPr>
      </w:pPr>
    </w:p>
    <w:p>
      <w:pPr>
        <w:ind w:left="1120" w:right="879" w:firstLine="324"/>
        <w:spacing w:after="0" w:line="258" w:lineRule="auto"/>
        <w:rPr>
          <w:sz w:val="20"/>
          <w:szCs w:val="20"/>
          <w:color w:val="auto"/>
        </w:rPr>
      </w:pPr>
      <w:r>
        <w:rPr>
          <w:rFonts w:ascii="Arial" w:cs="Arial" w:eastAsia="Arial" w:hAnsi="Arial"/>
          <w:sz w:val="16"/>
          <w:szCs w:val="16"/>
          <w:color w:val="auto"/>
        </w:rPr>
        <w:t>You should consider the specific risks described in our Annual Report on Form 10-K for the fiscal year ended December 31, 2020 and our Quarterly Report on Form 10-Q for the quarterly period ended September 30, 2021,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8" w:name="page9"/>
    <w:bookmarkEnd w:id="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USE OF PROCEEDS</w:t>
      </w:r>
    </w:p>
    <w:p>
      <w:pPr>
        <w:spacing w:after="0" w:line="136" w:lineRule="exact"/>
        <w:rPr>
          <w:sz w:val="20"/>
          <w:szCs w:val="20"/>
          <w:color w:val="auto"/>
        </w:rPr>
      </w:pPr>
    </w:p>
    <w:p>
      <w:pPr>
        <w:ind w:left="1120" w:right="1439" w:firstLine="324"/>
        <w:spacing w:after="0" w:line="283" w:lineRule="auto"/>
        <w:rPr>
          <w:sz w:val="20"/>
          <w:szCs w:val="20"/>
          <w:color w:val="auto"/>
        </w:rPr>
      </w:pPr>
      <w:r>
        <w:rPr>
          <w:rFonts w:ascii="Arial" w:cs="Arial" w:eastAsia="Arial" w:hAnsi="Arial"/>
          <w:sz w:val="16"/>
          <w:szCs w:val="16"/>
          <w:color w:val="auto"/>
        </w:rPr>
        <w:t>We intend to use the net proceeds from the sale of securities by us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9" w:name="page10"/>
    <w:bookmarkEnd w:id="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DESCRIPTION OF SECURITIES</w:t>
      </w:r>
    </w:p>
    <w:p>
      <w:pPr>
        <w:spacing w:after="0" w:line="136" w:lineRule="exact"/>
        <w:rPr>
          <w:sz w:val="20"/>
          <w:szCs w:val="20"/>
          <w:color w:val="auto"/>
        </w:rPr>
      </w:pPr>
    </w:p>
    <w:p>
      <w:pPr>
        <w:ind w:left="1120" w:right="919" w:firstLine="324"/>
        <w:spacing w:after="0" w:line="263" w:lineRule="auto"/>
        <w:rPr>
          <w:sz w:val="20"/>
          <w:szCs w:val="20"/>
          <w:color w:val="auto"/>
        </w:rPr>
      </w:pPr>
      <w:r>
        <w:rPr>
          <w:rFonts w:ascii="Arial" w:cs="Arial" w:eastAsia="Arial" w:hAnsi="Arial"/>
          <w:sz w:val="16"/>
          <w:szCs w:val="16"/>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10" w:name="page11"/>
    <w:bookmarkEnd w:id="1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DESCRIPTION OF CAPITAL STOCK</w:t>
      </w: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General</w:t>
      </w:r>
    </w:p>
    <w:p>
      <w:pPr>
        <w:spacing w:after="0" w:line="148" w:lineRule="exact"/>
        <w:rPr>
          <w:sz w:val="20"/>
          <w:szCs w:val="20"/>
          <w:color w:val="auto"/>
        </w:rPr>
      </w:pPr>
    </w:p>
    <w:p>
      <w:pPr>
        <w:ind w:left="1120" w:right="919" w:firstLine="324"/>
        <w:spacing w:after="0" w:line="245" w:lineRule="auto"/>
        <w:rPr>
          <w:sz w:val="20"/>
          <w:szCs w:val="20"/>
          <w:color w:val="auto"/>
        </w:rPr>
      </w:pPr>
      <w:r>
        <w:rPr>
          <w:rFonts w:ascii="Arial" w:cs="Arial" w:eastAsia="Arial" w:hAnsi="Arial"/>
          <w:sz w:val="16"/>
          <w:szCs w:val="16"/>
          <w:color w:val="auto"/>
        </w:rPr>
        <w:t>Our authorized capital stock consists of 320,000,000 shares of Common Stock, par value $0.001 per share, of which 1,848,970 shares were issued and outstanding as of September 30, 2021, 40,000,000 shares of Class A Stock, par value $0.001 per share, of which 106,677,851 shares were issued and outstanding as of September 30, 2021, and 30,000,000 shares of preferred stock, par value $0.01 per share, none of which were issued and outstanding as of September 30, 2021.</w:t>
      </w:r>
    </w:p>
    <w:p>
      <w:pPr>
        <w:spacing w:after="0" w:line="95" w:lineRule="exact"/>
        <w:rPr>
          <w:sz w:val="20"/>
          <w:szCs w:val="20"/>
          <w:color w:val="auto"/>
        </w:rPr>
      </w:pPr>
    </w:p>
    <w:p>
      <w:pPr>
        <w:ind w:left="1120" w:right="959" w:firstLine="324"/>
        <w:spacing w:after="0" w:line="269" w:lineRule="auto"/>
        <w:rPr>
          <w:sz w:val="20"/>
          <w:szCs w:val="20"/>
          <w:color w:val="auto"/>
        </w:rPr>
      </w:pPr>
      <w:r>
        <w:rPr>
          <w:rFonts w:ascii="Arial" w:cs="Arial" w:eastAsia="Arial" w:hAnsi="Arial"/>
          <w:sz w:val="15"/>
          <w:szCs w:val="15"/>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 -laws, copies of which are included as exhibits to the registration statement of which this prospectus forms a part.</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Common Stock and Class A Stock</w:t>
      </w:r>
    </w:p>
    <w:p>
      <w:pPr>
        <w:spacing w:after="0" w:line="148" w:lineRule="exact"/>
        <w:rPr>
          <w:sz w:val="20"/>
          <w:szCs w:val="20"/>
          <w:color w:val="auto"/>
        </w:rPr>
      </w:pPr>
    </w:p>
    <w:p>
      <w:pPr>
        <w:ind w:left="1120" w:right="1039" w:firstLine="324"/>
        <w:spacing w:after="0" w:line="267"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rights of holders of Common Stock and holders of Class A Stock are identical except</w:t>
      </w:r>
      <w:r>
        <w:rPr>
          <w:rFonts w:ascii="Arial" w:cs="Arial" w:eastAsia="Arial" w:hAnsi="Arial"/>
          <w:sz w:val="16"/>
          <w:szCs w:val="16"/>
          <w:i w:val="1"/>
          <w:iCs w:val="1"/>
          <w:color w:val="auto"/>
        </w:rPr>
        <w:t xml:space="preserve"> </w:t>
      </w:r>
      <w:r>
        <w:rPr>
          <w:rFonts w:ascii="Arial" w:cs="Arial" w:eastAsia="Arial" w:hAnsi="Arial"/>
          <w:sz w:val="16"/>
          <w:szCs w:val="16"/>
          <w:color w:val="auto"/>
        </w:rPr>
        <w:t>for voting rights, conversion rights, and restrictions on transferability.</w:t>
      </w:r>
    </w:p>
    <w:p>
      <w:pPr>
        <w:spacing w:after="0" w:line="89" w:lineRule="exact"/>
        <w:rPr>
          <w:sz w:val="20"/>
          <w:szCs w:val="20"/>
          <w:color w:val="auto"/>
        </w:rPr>
      </w:pPr>
    </w:p>
    <w:p>
      <w:pPr>
        <w:ind w:left="1120" w:right="919" w:firstLine="324"/>
        <w:spacing w:after="0" w:line="242"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The holders of Class A Stock are entitled to ten votes per share and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entitled to one vote per share. 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97" w:lineRule="exact"/>
        <w:rPr>
          <w:sz w:val="20"/>
          <w:szCs w:val="20"/>
          <w:color w:val="auto"/>
        </w:rPr>
      </w:pPr>
    </w:p>
    <w:p>
      <w:pPr>
        <w:ind w:left="1120" w:right="999" w:firstLine="324"/>
        <w:spacing w:after="0" w:line="267" w:lineRule="auto"/>
        <w:rPr>
          <w:sz w:val="20"/>
          <w:szCs w:val="20"/>
          <w:color w:val="auto"/>
        </w:rPr>
      </w:pPr>
      <w:r>
        <w:rPr>
          <w:rFonts w:ascii="Arial" w:cs="Arial" w:eastAsia="Arial" w:hAnsi="Arial"/>
          <w:sz w:val="16"/>
          <w:szCs w:val="16"/>
          <w:i w:val="1"/>
          <w:iCs w:val="1"/>
          <w:color w:val="auto"/>
        </w:rPr>
        <w:t>Transfer Restrictions</w:t>
      </w:r>
      <w:r>
        <w:rPr>
          <w:rFonts w:ascii="Arial" w:cs="Arial" w:eastAsia="Arial" w:hAnsi="Arial"/>
          <w:sz w:val="16"/>
          <w:szCs w:val="16"/>
          <w:color w:val="auto"/>
        </w:rPr>
        <w:t>. Class A Stock is subject to certain limitations on transfer that do not apply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Common Stock.</w:t>
      </w:r>
    </w:p>
    <w:p>
      <w:pPr>
        <w:spacing w:after="0" w:line="89" w:lineRule="exact"/>
        <w:rPr>
          <w:sz w:val="20"/>
          <w:szCs w:val="20"/>
          <w:color w:val="auto"/>
        </w:rPr>
      </w:pPr>
    </w:p>
    <w:p>
      <w:pPr>
        <w:ind w:left="1120" w:right="839" w:firstLine="324"/>
        <w:spacing w:after="0" w:line="241" w:lineRule="auto"/>
        <w:rPr>
          <w:sz w:val="20"/>
          <w:szCs w:val="20"/>
          <w:color w:val="auto"/>
        </w:rPr>
      </w:pPr>
      <w:r>
        <w:rPr>
          <w:rFonts w:ascii="Arial" w:cs="Arial" w:eastAsia="Arial" w:hAnsi="Arial"/>
          <w:sz w:val="16"/>
          <w:szCs w:val="16"/>
          <w:i w:val="1"/>
          <w:iCs w:val="1"/>
          <w:color w:val="auto"/>
        </w:rPr>
        <w:t>Dividends and Liquidation</w:t>
      </w:r>
      <w:r>
        <w:rPr>
          <w:rFonts w:ascii="Arial" w:cs="Arial" w:eastAsia="Arial" w:hAnsi="Arial"/>
          <w:sz w:val="16"/>
          <w:szCs w:val="16"/>
          <w:color w:val="auto"/>
        </w:rPr>
        <w:t>. Except as described in this paragraph, holders of Class A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11" w:lineRule="exact"/>
        <w:rPr>
          <w:sz w:val="20"/>
          <w:szCs w:val="20"/>
          <w:color w:val="auto"/>
        </w:rPr>
      </w:pPr>
    </w:p>
    <w:p>
      <w:pPr>
        <w:ind w:left="1120" w:right="879" w:firstLine="324"/>
        <w:spacing w:after="0" w:line="243" w:lineRule="auto"/>
        <w:rPr>
          <w:sz w:val="20"/>
          <w:szCs w:val="20"/>
          <w:color w:val="auto"/>
        </w:rPr>
      </w:pPr>
      <w:r>
        <w:rPr>
          <w:rFonts w:ascii="Arial" w:cs="Arial" w:eastAsia="Arial" w:hAnsi="Arial"/>
          <w:sz w:val="16"/>
          <w:szCs w:val="16"/>
          <w:i w:val="1"/>
          <w:iCs w:val="1"/>
          <w:color w:val="auto"/>
        </w:rPr>
        <w:t>Optional Conversion Rights</w:t>
      </w:r>
      <w:r>
        <w:rPr>
          <w:rFonts w:ascii="Arial" w:cs="Arial" w:eastAsia="Arial" w:hAnsi="Arial"/>
          <w:sz w:val="16"/>
          <w:szCs w:val="16"/>
          <w:color w:val="auto"/>
        </w:rPr>
        <w:t>. Each share of Class A Stock may, at any time and at the 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99" w:lineRule="exact"/>
        <w:rPr>
          <w:sz w:val="20"/>
          <w:szCs w:val="20"/>
          <w:color w:val="auto"/>
        </w:rPr>
      </w:pPr>
    </w:p>
    <w:p>
      <w:pPr>
        <w:ind w:left="1120" w:right="919" w:firstLine="324"/>
        <w:spacing w:after="0" w:line="247" w:lineRule="auto"/>
        <w:rPr>
          <w:sz w:val="20"/>
          <w:szCs w:val="20"/>
          <w:color w:val="auto"/>
        </w:rPr>
      </w:pPr>
      <w:r>
        <w:rPr>
          <w:rFonts w:ascii="Arial" w:cs="Arial" w:eastAsia="Arial" w:hAnsi="Arial"/>
          <w:sz w:val="16"/>
          <w:szCs w:val="16"/>
          <w:i w:val="1"/>
          <w:iCs w:val="1"/>
          <w:color w:val="auto"/>
        </w:rPr>
        <w:t>Other Provisions</w:t>
      </w:r>
      <w:r>
        <w:rPr>
          <w:rFonts w:ascii="Arial" w:cs="Arial" w:eastAsia="Arial" w:hAnsi="Arial"/>
          <w:sz w:val="16"/>
          <w:szCs w:val="16"/>
          <w:color w:val="auto"/>
        </w:rPr>
        <w:t>. Holders of Class A Stock and Common Stock have no preemptive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subscribe for any additional securities of any class which we may issue and there are no redemption provisions or sinking fund provisions applicable to either such class, nor are our shares of Class A Stock or the Common Stock subject to calls or assessments.</w:t>
      </w:r>
    </w:p>
    <w:p>
      <w:pPr>
        <w:spacing w:after="0" w:line="106" w:lineRule="exact"/>
        <w:rPr>
          <w:sz w:val="20"/>
          <w:szCs w:val="20"/>
          <w:color w:val="auto"/>
        </w:rPr>
      </w:pPr>
    </w:p>
    <w:p>
      <w:pPr>
        <w:ind w:left="1120" w:right="1479" w:firstLine="324"/>
        <w:spacing w:after="0" w:line="267" w:lineRule="auto"/>
        <w:rPr>
          <w:sz w:val="20"/>
          <w:szCs w:val="20"/>
          <w:color w:val="auto"/>
        </w:rPr>
      </w:pPr>
      <w:r>
        <w:rPr>
          <w:rFonts w:ascii="Arial" w:cs="Arial" w:eastAsia="Arial" w:hAnsi="Arial"/>
          <w:sz w:val="16"/>
          <w:szCs w:val="16"/>
          <w:i w:val="1"/>
          <w:iCs w:val="1"/>
          <w:color w:val="auto"/>
        </w:rPr>
        <w:t>Listing</w:t>
      </w:r>
      <w:r>
        <w:rPr>
          <w:rFonts w:ascii="Arial" w:cs="Arial" w:eastAsia="Arial" w:hAnsi="Arial"/>
          <w:sz w:val="16"/>
          <w:szCs w:val="16"/>
          <w:color w:val="auto"/>
        </w:rPr>
        <w:t>. Our Common Stock is listed on The Nasdaq Global Select Market under the symbol</w:t>
      </w:r>
      <w:r>
        <w:rPr>
          <w:rFonts w:ascii="Arial" w:cs="Arial" w:eastAsia="Arial" w:hAnsi="Arial"/>
          <w:sz w:val="16"/>
          <w:szCs w:val="16"/>
          <w:i w:val="1"/>
          <w:iCs w:val="1"/>
          <w:color w:val="auto"/>
        </w:rPr>
        <w:t xml:space="preserve"> </w:t>
      </w:r>
      <w:r>
        <w:rPr>
          <w:rFonts w:ascii="Arial" w:cs="Arial" w:eastAsia="Arial" w:hAnsi="Arial"/>
          <w:sz w:val="16"/>
          <w:szCs w:val="16"/>
          <w:color w:val="auto"/>
        </w:rPr>
        <w:t>“REGN.” Our Class A Stock is not listed on a securities exchange.</w:t>
      </w:r>
    </w:p>
    <w:p>
      <w:pPr>
        <w:spacing w:after="0" w:line="89" w:lineRule="exact"/>
        <w:rPr>
          <w:sz w:val="20"/>
          <w:szCs w:val="20"/>
          <w:color w:val="auto"/>
        </w:rPr>
      </w:pPr>
    </w:p>
    <w:p>
      <w:pPr>
        <w:ind w:left="1120" w:right="1059" w:firstLine="324"/>
        <w:spacing w:after="0" w:line="267" w:lineRule="auto"/>
        <w:rPr>
          <w:sz w:val="20"/>
          <w:szCs w:val="20"/>
          <w:color w:val="auto"/>
        </w:rPr>
      </w:pPr>
      <w:r>
        <w:rPr>
          <w:rFonts w:ascii="Arial" w:cs="Arial" w:eastAsia="Arial" w:hAnsi="Arial"/>
          <w:sz w:val="16"/>
          <w:szCs w:val="16"/>
          <w:i w:val="1"/>
          <w:iCs w:val="1"/>
          <w:color w:val="auto"/>
        </w:rPr>
        <w:t>Transfer Agent and Registrar</w:t>
      </w:r>
      <w:r>
        <w:rPr>
          <w:rFonts w:ascii="Arial" w:cs="Arial" w:eastAsia="Arial" w:hAnsi="Arial"/>
          <w:sz w:val="16"/>
          <w:szCs w:val="16"/>
          <w:color w:val="auto"/>
        </w:rPr>
        <w:t>. The transfer agent and registrar for our Common Stock is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Transfer &amp; Trust Company.</w:t>
      </w:r>
    </w:p>
    <w:p>
      <w:pPr>
        <w:spacing w:after="0" w:line="30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2" w:right="1440" w:bottom="1440" w:gutter="0" w:footer="0" w:header="0"/>
        </w:sectPr>
      </w:pPr>
    </w:p>
    <w:bookmarkStart w:id="11" w:name="page12"/>
    <w:bookmarkEnd w:id="1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Preferred Stock</w:t>
      </w:r>
    </w:p>
    <w:p>
      <w:pPr>
        <w:spacing w:after="0" w:line="136" w:lineRule="exact"/>
        <w:rPr>
          <w:sz w:val="20"/>
          <w:szCs w:val="20"/>
          <w:color w:val="auto"/>
        </w:rPr>
      </w:pPr>
    </w:p>
    <w:p>
      <w:pPr>
        <w:ind w:left="1120" w:right="839" w:firstLine="324"/>
        <w:spacing w:after="0" w:line="259" w:lineRule="auto"/>
        <w:rPr>
          <w:sz w:val="20"/>
          <w:szCs w:val="20"/>
          <w:color w:val="auto"/>
        </w:rPr>
      </w:pPr>
      <w:r>
        <w:rPr>
          <w:rFonts w:ascii="Arial" w:cs="Arial" w:eastAsia="Arial" w:hAnsi="Arial"/>
          <w:sz w:val="16"/>
          <w:szCs w:val="16"/>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 as amended (“Certificate of Incorporation”).</w:t>
      </w:r>
    </w:p>
    <w:p>
      <w:pPr>
        <w:spacing w:after="0" w:line="110" w:lineRule="exact"/>
        <w:rPr>
          <w:sz w:val="20"/>
          <w:szCs w:val="20"/>
          <w:color w:val="auto"/>
        </w:rPr>
      </w:pPr>
    </w:p>
    <w:p>
      <w:pPr>
        <w:ind w:left="1120" w:right="839" w:firstLine="324"/>
        <w:spacing w:after="0" w:line="257"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Certificate of Incorporation allows us to issue up to 30,000,000 shares of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 one or more series and as may be determined by our board of directors. As of September 30, 2021,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any series of preferred stock will be fixed by a Certificate of Amendment to our Certificate of Incorporation relating to such series. A prospectus supplement relating to such series will describe the terms of the preferred stock of the series, including the following:</w:t>
      </w:r>
    </w:p>
    <w:p>
      <w:pPr>
        <w:spacing w:after="0" w:line="74" w:lineRule="exact"/>
        <w:rPr>
          <w:sz w:val="20"/>
          <w:szCs w:val="20"/>
          <w:color w:val="auto"/>
        </w:rPr>
      </w:pPr>
    </w:p>
    <w:p>
      <w:pPr>
        <w:ind w:left="1620" w:hanging="170"/>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shares in that series;</w:t>
      </w:r>
    </w:p>
    <w:p>
      <w:pPr>
        <w:spacing w:after="0" w:line="107" w:lineRule="exact"/>
        <w:rPr>
          <w:rFonts w:ascii="Arial" w:cs="Arial" w:eastAsia="Arial" w:hAnsi="Arial"/>
          <w:sz w:val="16"/>
          <w:szCs w:val="16"/>
          <w:color w:val="auto"/>
        </w:rPr>
      </w:pPr>
    </w:p>
    <w:p>
      <w:pPr>
        <w:ind w:left="1620" w:right="1179" w:hanging="170"/>
        <w:spacing w:after="0" w:line="283"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designation for that series by number, letter, or title that shall distinguish the series from any other series of preferred stock;</w:t>
      </w:r>
    </w:p>
    <w:p>
      <w:pPr>
        <w:spacing w:after="0" w:line="52" w:lineRule="exact"/>
        <w:rPr>
          <w:rFonts w:ascii="Arial" w:cs="Arial" w:eastAsia="Arial" w:hAnsi="Arial"/>
          <w:sz w:val="16"/>
          <w:szCs w:val="16"/>
          <w:color w:val="auto"/>
        </w:rPr>
      </w:pPr>
    </w:p>
    <w:p>
      <w:pPr>
        <w:ind w:left="1620" w:right="1019" w:hanging="170"/>
        <w:spacing w:after="0" w:line="283"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dividend rate (or method for determining the rate) for that series and whether dividends on that series of preferred stock will be cumulative, noncumulative, or partially cumulative;</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liquidation preference per share of that series of preferred stock;</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conversion or exchange provisions applicable to that series of preferred stock;</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redemption or sinking fund provisions applicable to that series of preferred stock;</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voting rights of that series of preferred stock; and</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terms of any other preferences or rights applicable to that series of preferred stock.</w:t>
      </w:r>
    </w:p>
    <w:p>
      <w:pPr>
        <w:spacing w:after="0" w:line="144" w:lineRule="exact"/>
        <w:rPr>
          <w:sz w:val="20"/>
          <w:szCs w:val="20"/>
          <w:color w:val="auto"/>
        </w:rPr>
      </w:pPr>
    </w:p>
    <w:p>
      <w:pPr>
        <w:ind w:left="1120" w:right="899" w:firstLine="324"/>
        <w:spacing w:after="0" w:line="259" w:lineRule="auto"/>
        <w:rPr>
          <w:sz w:val="20"/>
          <w:szCs w:val="20"/>
          <w:color w:val="auto"/>
        </w:rPr>
      </w:pPr>
      <w:r>
        <w:rPr>
          <w:rFonts w:ascii="Arial" w:cs="Arial" w:eastAsia="Arial" w:hAnsi="Arial"/>
          <w:sz w:val="16"/>
          <w:szCs w:val="16"/>
          <w:i w:val="1"/>
          <w:iCs w:val="1"/>
          <w:color w:val="auto"/>
        </w:rPr>
        <w:t>Permanent Global Preferred Securities</w:t>
      </w:r>
      <w:r>
        <w:rPr>
          <w:rFonts w:ascii="Arial" w:cs="Arial" w:eastAsia="Arial" w:hAnsi="Arial"/>
          <w:sz w:val="16"/>
          <w:szCs w:val="16"/>
          <w:color w:val="auto"/>
        </w:rPr>
        <w:t>. A series of preferred stock may be issued in whole or in part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form of one or more global securities that 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98" w:lineRule="exact"/>
        <w:rPr>
          <w:sz w:val="20"/>
          <w:szCs w:val="20"/>
          <w:color w:val="auto"/>
        </w:rPr>
      </w:pPr>
    </w:p>
    <w:p>
      <w:pPr>
        <w:ind w:left="1120" w:right="939" w:firstLine="324"/>
        <w:spacing w:after="0" w:line="283" w:lineRule="auto"/>
        <w:rPr>
          <w:sz w:val="20"/>
          <w:szCs w:val="20"/>
          <w:color w:val="auto"/>
        </w:rPr>
      </w:pPr>
      <w:r>
        <w:rPr>
          <w:rFonts w:ascii="Arial" w:cs="Arial" w:eastAsia="Arial" w:hAnsi="Arial"/>
          <w:sz w:val="16"/>
          <w:szCs w:val="16"/>
          <w:i w:val="1"/>
          <w:iCs w:val="1"/>
          <w:color w:val="auto"/>
        </w:rPr>
        <w:t>Transfer Agent and Registrar</w:t>
      </w:r>
      <w:r>
        <w:rPr>
          <w:rFonts w:ascii="Arial" w:cs="Arial" w:eastAsia="Arial" w:hAnsi="Arial"/>
          <w:sz w:val="16"/>
          <w:szCs w:val="16"/>
          <w:color w:val="auto"/>
        </w:rPr>
        <w:t>. The transfer agent and registrar for each series of preferred stock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set forth in the prospectus supplement.</w:t>
      </w:r>
    </w:p>
    <w:p>
      <w:pPr>
        <w:spacing w:after="0" w:line="89" w:lineRule="exact"/>
        <w:rPr>
          <w:sz w:val="20"/>
          <w:szCs w:val="20"/>
          <w:color w:val="auto"/>
        </w:rPr>
      </w:pPr>
    </w:p>
    <w:p>
      <w:pPr>
        <w:ind w:left="1120" w:right="999" w:firstLine="324"/>
        <w:spacing w:after="0" w:line="282" w:lineRule="auto"/>
        <w:rPr>
          <w:sz w:val="20"/>
          <w:szCs w:val="20"/>
          <w:color w:val="auto"/>
        </w:rPr>
      </w:pPr>
      <w:r>
        <w:rPr>
          <w:rFonts w:ascii="Arial" w:cs="Arial" w:eastAsia="Arial" w:hAnsi="Arial"/>
          <w:sz w:val="15"/>
          <w:szCs w:val="15"/>
          <w:i w:val="1"/>
          <w:iCs w:val="1"/>
          <w:color w:val="auto"/>
        </w:rPr>
        <w:t>Anti-Take-Over Effects</w:t>
      </w:r>
      <w:r>
        <w:rPr>
          <w:rFonts w:ascii="Arial" w:cs="Arial" w:eastAsia="Arial" w:hAnsi="Arial"/>
          <w:sz w:val="15"/>
          <w:szCs w:val="15"/>
          <w:color w:val="auto"/>
        </w:rPr>
        <w:t>. Our board of directors may authorize, without shareholder approval, the</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2" w:right="1440" w:bottom="1440" w:gutter="0" w:footer="0" w:header="0"/>
        </w:sectPr>
      </w:pPr>
    </w:p>
    <w:bookmarkStart w:id="12" w:name="page13"/>
    <w:bookmarkEnd w:id="1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Anti-Takeover Effects of Provisions of the Charter and By-Laws and New York Corporate Law</w:t>
      </w:r>
    </w:p>
    <w:p>
      <w:pPr>
        <w:spacing w:after="0" w:line="136" w:lineRule="exact"/>
        <w:rPr>
          <w:sz w:val="20"/>
          <w:szCs w:val="20"/>
          <w:color w:val="auto"/>
        </w:rPr>
      </w:pPr>
    </w:p>
    <w:p>
      <w:pPr>
        <w:ind w:left="1120" w:right="939" w:firstLine="324"/>
        <w:spacing w:after="0" w:line="258" w:lineRule="auto"/>
        <w:rPr>
          <w:sz w:val="20"/>
          <w:szCs w:val="20"/>
          <w:color w:val="auto"/>
        </w:rPr>
      </w:pPr>
      <w:r>
        <w:rPr>
          <w:rFonts w:ascii="Arial" w:cs="Arial" w:eastAsia="Arial" w:hAnsi="Arial"/>
          <w:sz w:val="16"/>
          <w:szCs w:val="16"/>
          <w:color w:val="auto"/>
        </w:rPr>
        <w:t xml:space="preserve">For a description of anti-takeover effects of various provisions of our charter, by-laws, and the New York Business Corporation Law, please see “Risk Factors — Risks Related to Our Common Stock —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r>
        <w:rPr>
          <w:rFonts w:ascii="Arial" w:cs="Arial" w:eastAsia="Arial" w:hAnsi="Arial"/>
          <w:sz w:val="16"/>
          <w:szCs w:val="16"/>
          <w:color w:val="auto"/>
        </w:rPr>
        <w:t>” in our Quarterly Report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10-Q for the quarterly period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2" w:right="1440" w:bottom="1440" w:gutter="0" w:footer="0" w:header="0"/>
        </w:sectPr>
      </w:pPr>
    </w:p>
    <w:bookmarkStart w:id="13" w:name="page14"/>
    <w:bookmarkEnd w:id="1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DESCRIPTION OF DEBT SECURITIES</w:t>
      </w:r>
    </w:p>
    <w:p>
      <w:pPr>
        <w:spacing w:after="0" w:line="136" w:lineRule="exact"/>
        <w:rPr>
          <w:sz w:val="20"/>
          <w:szCs w:val="20"/>
          <w:color w:val="auto"/>
        </w:rPr>
      </w:pPr>
    </w:p>
    <w:p>
      <w:pPr>
        <w:ind w:left="1120" w:right="1039" w:firstLine="324"/>
        <w:spacing w:after="0" w:line="247"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our senior subordinated debt, our subordinated debt, or our junior subordinated debt. Debt securities, whether senior, senior subordinated, subordinated, or junior subordinated, may be issued as convertible debt securities or exchangeable debt securities.</w:t>
      </w:r>
    </w:p>
    <w:p>
      <w:pPr>
        <w:spacing w:after="0" w:line="106" w:lineRule="exact"/>
        <w:rPr>
          <w:sz w:val="20"/>
          <w:szCs w:val="20"/>
          <w:color w:val="auto"/>
        </w:rPr>
      </w:pPr>
    </w:p>
    <w:p>
      <w:pPr>
        <w:ind w:left="1120" w:right="839" w:firstLine="324"/>
        <w:spacing w:after="0" w:line="257" w:lineRule="auto"/>
        <w:rPr>
          <w:sz w:val="20"/>
          <w:szCs w:val="20"/>
          <w:color w:val="auto"/>
        </w:rPr>
      </w:pPr>
      <w:r>
        <w:rPr>
          <w:rFonts w:ascii="Arial" w:cs="Arial" w:eastAsia="Arial" w:hAnsi="Arial"/>
          <w:sz w:val="15"/>
          <w:szCs w:val="15"/>
          <w:color w:val="auto"/>
        </w:rPr>
        <w:t>The following descriptions of the debt securities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the prospectus supplement. Unless otherwise specified in the prospectus supplement, our debt securities will be issued in one or more series under the indenture, dated August 12, 2020, between us and U.S. Bank National Association, as trustee (the “indenture”) . The indenture is filed as an exhibit to the registration statement of which this prospectus forms a part, and any future supplemental indenture or similar document will be filed as an exhibit to a document incorporated by reference herein, in connection with the issuance of any new series of debt securities offered or sold hereunder. You should read the indenture and any supplemental indenture or similar document because they, and not this description, define your rights as a holder of our debt securities. All capitalized terms have the meanings specified in the indenture. The terms of the debt securities will include those set forth in the indenture and those made a part of the indenture by the Trust Indenture Act of 1939, as amended (the “Trust Indenture Act”).</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General Terms of the Indenture</w:t>
      </w:r>
    </w:p>
    <w:p>
      <w:pPr>
        <w:spacing w:after="0" w:line="148" w:lineRule="exact"/>
        <w:rPr>
          <w:sz w:val="20"/>
          <w:szCs w:val="20"/>
          <w:color w:val="auto"/>
        </w:rPr>
      </w:pPr>
    </w:p>
    <w:p>
      <w:pPr>
        <w:ind w:left="1120" w:right="839" w:firstLine="324"/>
        <w:spacing w:after="0" w:line="243"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99" w:lineRule="exact"/>
        <w:rPr>
          <w:sz w:val="20"/>
          <w:szCs w:val="20"/>
          <w:color w:val="auto"/>
        </w:rPr>
      </w:pPr>
    </w:p>
    <w:p>
      <w:pPr>
        <w:ind w:left="1120" w:right="899" w:firstLine="324"/>
        <w:spacing w:after="0" w:line="263" w:lineRule="auto"/>
        <w:rPr>
          <w:sz w:val="20"/>
          <w:szCs w:val="20"/>
          <w:color w:val="auto"/>
        </w:rPr>
      </w:pPr>
      <w:r>
        <w:rPr>
          <w:rFonts w:ascii="Arial" w:cs="Arial" w:eastAsia="Arial" w:hAnsi="Arial"/>
          <w:sz w:val="15"/>
          <w:szCs w:val="15"/>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95" w:lineRule="exact"/>
        <w:rPr>
          <w:sz w:val="20"/>
          <w:szCs w:val="20"/>
          <w:color w:val="auto"/>
        </w:rPr>
      </w:pPr>
    </w:p>
    <w:p>
      <w:pPr>
        <w:ind w:left="1120" w:right="899" w:firstLine="324"/>
        <w:spacing w:after="0" w:line="267" w:lineRule="auto"/>
        <w:rPr>
          <w:sz w:val="20"/>
          <w:szCs w:val="20"/>
          <w:color w:val="auto"/>
        </w:rPr>
      </w:pPr>
      <w:r>
        <w:rPr>
          <w:rFonts w:ascii="Arial" w:cs="Arial" w:eastAsia="Arial" w:hAnsi="Arial"/>
          <w:sz w:val="16"/>
          <w:szCs w:val="16"/>
          <w:color w:val="auto"/>
        </w:rPr>
        <w:t>The applicable prospectus supplement for a series of debt securities that we issue will describe, among other things, the following terms of the offered debt securities:</w:t>
      </w:r>
    </w:p>
    <w:p>
      <w:pPr>
        <w:spacing w:after="0" w:line="53" w:lineRule="exact"/>
        <w:rPr>
          <w:sz w:val="20"/>
          <w:szCs w:val="20"/>
          <w:color w:val="auto"/>
        </w:rPr>
      </w:pPr>
    </w:p>
    <w:p>
      <w:pPr>
        <w:ind w:left="1620" w:hanging="170"/>
        <w:spacing w:after="0"/>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title;</w:t>
      </w:r>
    </w:p>
    <w:p>
      <w:pPr>
        <w:spacing w:after="0" w:line="95" w:lineRule="exact"/>
        <w:rPr>
          <w:rFonts w:ascii="Arial" w:cs="Arial" w:eastAsia="Arial" w:hAnsi="Arial"/>
          <w:sz w:val="16"/>
          <w:szCs w:val="16"/>
          <w:color w:val="auto"/>
        </w:rPr>
      </w:pPr>
    </w:p>
    <w:p>
      <w:pPr>
        <w:ind w:left="1620" w:right="899" w:hanging="170"/>
        <w:spacing w:after="0" w:line="283"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principal amount being offered, and, if a series, the total amount authorized and the total amount outstanding;</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limit on the amount that may be issued;</w:t>
      </w:r>
    </w:p>
    <w:p>
      <w:pPr>
        <w:spacing w:after="0" w:line="107" w:lineRule="exact"/>
        <w:rPr>
          <w:rFonts w:ascii="Arial" w:cs="Arial" w:eastAsia="Arial" w:hAnsi="Arial"/>
          <w:sz w:val="16"/>
          <w:szCs w:val="16"/>
          <w:color w:val="auto"/>
        </w:rPr>
      </w:pPr>
    </w:p>
    <w:p>
      <w:pPr>
        <w:ind w:left="1620" w:right="879" w:hanging="170"/>
        <w:spacing w:after="0" w:line="283"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or not we will issue the series of debt securities in global form and, if so, the terms and who the depositary will be;</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maturity date;</w:t>
      </w:r>
    </w:p>
    <w:p>
      <w:pPr>
        <w:spacing w:after="0" w:line="95" w:lineRule="exact"/>
        <w:rPr>
          <w:rFonts w:ascii="Arial" w:cs="Arial" w:eastAsia="Arial" w:hAnsi="Arial"/>
          <w:sz w:val="16"/>
          <w:szCs w:val="16"/>
          <w:color w:val="auto"/>
        </w:rPr>
      </w:pPr>
    </w:p>
    <w:p>
      <w:pPr>
        <w:ind w:left="1620" w:right="879" w:hanging="170"/>
        <w:spacing w:after="0" w:line="283"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principal amount due at maturity, and whether the debt securities will be issued with any original issue discount;</w:t>
      </w:r>
    </w:p>
    <w:p>
      <w:pPr>
        <w:spacing w:after="0" w:line="52" w:lineRule="exact"/>
        <w:rPr>
          <w:rFonts w:ascii="Arial" w:cs="Arial" w:eastAsia="Arial" w:hAnsi="Arial"/>
          <w:sz w:val="16"/>
          <w:szCs w:val="16"/>
          <w:color w:val="auto"/>
        </w:rPr>
      </w:pPr>
    </w:p>
    <w:p>
      <w:pPr>
        <w:ind w:left="1620" w:right="879" w:hanging="170"/>
        <w:spacing w:after="0" w:line="268"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64" w:lineRule="exact"/>
        <w:rPr>
          <w:rFonts w:ascii="Arial" w:cs="Arial" w:eastAsia="Arial" w:hAnsi="Arial"/>
          <w:sz w:val="16"/>
          <w:szCs w:val="16"/>
          <w:color w:val="auto"/>
        </w:rPr>
      </w:pPr>
    </w:p>
    <w:p>
      <w:pPr>
        <w:jc w:val="both"/>
        <w:ind w:left="1620" w:right="959" w:hanging="170"/>
        <w:spacing w:after="0" w:line="268"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32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2" w:right="1440" w:bottom="1440" w:gutter="0" w:footer="0" w:header="0"/>
        </w:sectPr>
      </w:pPr>
    </w:p>
    <w:bookmarkStart w:id="14" w:name="page15"/>
    <w:bookmarkEnd w:id="1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20" w:hanging="170"/>
        <w:spacing w:after="0"/>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whether or not the debt securities will be secured or unsecured, and the terms of any secured debt;</w:t>
      </w:r>
    </w:p>
    <w:p>
      <w:pPr>
        <w:spacing w:after="0" w:line="107" w:lineRule="exact"/>
        <w:rPr>
          <w:rFonts w:ascii="Arial" w:cs="Arial" w:eastAsia="Arial" w:hAnsi="Arial"/>
          <w:sz w:val="15"/>
          <w:szCs w:val="15"/>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terms of the subordination of any series of subordinated debt;</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form and terms of any guarantee of any debt securities;</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place where payments will be payable;</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right, if any, to defer payment of interest and the maximum length of any such deferral period;</w:t>
      </w:r>
    </w:p>
    <w:p>
      <w:pPr>
        <w:spacing w:after="0" w:line="95" w:lineRule="exact"/>
        <w:rPr>
          <w:rFonts w:ascii="Arial" w:cs="Arial" w:eastAsia="Arial" w:hAnsi="Arial"/>
          <w:sz w:val="16"/>
          <w:szCs w:val="16"/>
          <w:color w:val="auto"/>
        </w:rPr>
      </w:pPr>
    </w:p>
    <w:p>
      <w:pPr>
        <w:ind w:left="1620" w:right="839" w:hanging="170"/>
        <w:spacing w:after="0" w:line="268"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provisions for a sinking fund purchase or other analogous fund, if any;</w:t>
      </w:r>
    </w:p>
    <w:p>
      <w:pPr>
        <w:spacing w:after="0" w:line="95" w:lineRule="exact"/>
        <w:rPr>
          <w:rFonts w:ascii="Arial" w:cs="Arial" w:eastAsia="Arial" w:hAnsi="Arial"/>
          <w:sz w:val="16"/>
          <w:szCs w:val="16"/>
          <w:color w:val="auto"/>
        </w:rPr>
      </w:pPr>
    </w:p>
    <w:p>
      <w:pPr>
        <w:jc w:val="both"/>
        <w:ind w:left="1620" w:right="1299" w:hanging="170"/>
        <w:spacing w:after="0" w:line="268"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indenture will restrict our ability and/or the ability of our subsidiaries to:</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incur additional indebtedness;</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issue additional securities;</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create liens;</w:t>
      </w:r>
    </w:p>
    <w:p>
      <w:pPr>
        <w:spacing w:after="0" w:line="107" w:lineRule="exact"/>
        <w:rPr>
          <w:rFonts w:ascii="Arial" w:cs="Arial" w:eastAsia="Arial" w:hAnsi="Arial"/>
          <w:sz w:val="16"/>
          <w:szCs w:val="16"/>
          <w:color w:val="auto"/>
        </w:rPr>
      </w:pPr>
    </w:p>
    <w:p>
      <w:pPr>
        <w:ind w:left="1940" w:right="1159" w:hanging="165"/>
        <w:spacing w:after="0" w:line="283" w:lineRule="auto"/>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pay dividends, make distributions in respect of our capital stock and the capital stock of our subsidiaries, or transfer assets;</w:t>
      </w:r>
    </w:p>
    <w:p>
      <w:pPr>
        <w:spacing w:after="0" w:line="40"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redeem capital stock;</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make investments or other restricted payments;</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sell or otherwise dispose of assets;</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enter into sale-leaseback transactions;</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engage in transactions with shareholders and affiliates;</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issue or sell stock of our subsidiaries; or</w:t>
      </w:r>
    </w:p>
    <w:p>
      <w:pPr>
        <w:spacing w:after="0" w:line="95" w:lineRule="exact"/>
        <w:rPr>
          <w:rFonts w:ascii="Arial" w:cs="Arial" w:eastAsia="Arial" w:hAnsi="Arial"/>
          <w:sz w:val="16"/>
          <w:szCs w:val="16"/>
          <w:color w:val="auto"/>
        </w:rPr>
      </w:pPr>
    </w:p>
    <w:p>
      <w:pPr>
        <w:ind w:left="1940" w:hanging="165"/>
        <w:spacing w:after="0"/>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effect a consolidation or merger;</w:t>
      </w:r>
    </w:p>
    <w:p>
      <w:pPr>
        <w:spacing w:after="0" w:line="95" w:lineRule="exact"/>
        <w:rPr>
          <w:rFonts w:ascii="Arial" w:cs="Arial" w:eastAsia="Arial" w:hAnsi="Arial"/>
          <w:sz w:val="16"/>
          <w:szCs w:val="16"/>
          <w:color w:val="auto"/>
        </w:rPr>
      </w:pPr>
    </w:p>
    <w:p>
      <w:pPr>
        <w:ind w:left="1620" w:right="1179" w:hanging="170"/>
        <w:spacing w:after="0" w:line="283"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28"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describing any book-entry features;</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95" w:lineRule="exact"/>
        <w:rPr>
          <w:rFonts w:ascii="Arial" w:cs="Arial" w:eastAsia="Arial" w:hAnsi="Arial"/>
          <w:sz w:val="16"/>
          <w:szCs w:val="16"/>
          <w:color w:val="auto"/>
        </w:rPr>
      </w:pPr>
    </w:p>
    <w:p>
      <w:pPr>
        <w:ind w:left="1620" w:right="879" w:hanging="170"/>
        <w:spacing w:after="0" w:line="283"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40" w:lineRule="exact"/>
        <w:rPr>
          <w:rFonts w:ascii="Arial" w:cs="Arial" w:eastAsia="Arial" w:hAnsi="Arial"/>
          <w:sz w:val="16"/>
          <w:szCs w:val="16"/>
          <w:color w:val="auto"/>
        </w:rPr>
      </w:pPr>
    </w:p>
    <w:p>
      <w:pPr>
        <w:ind w:left="1620" w:hanging="170"/>
        <w:spacing w:after="0"/>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other than dollars, the currency in which the series of debt securities will be denominated; and</w:t>
      </w:r>
    </w:p>
    <w:p>
      <w:pPr>
        <w:spacing w:after="0" w:line="95" w:lineRule="exact"/>
        <w:rPr>
          <w:rFonts w:ascii="Arial" w:cs="Arial" w:eastAsia="Arial" w:hAnsi="Arial"/>
          <w:sz w:val="16"/>
          <w:szCs w:val="16"/>
          <w:color w:val="auto"/>
        </w:rPr>
      </w:pPr>
    </w:p>
    <w:p>
      <w:pPr>
        <w:ind w:left="1620" w:right="959" w:hanging="170"/>
        <w:spacing w:after="0" w:line="282" w:lineRule="auto"/>
        <w:tabs>
          <w:tab w:leader="none" w:pos="1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p>
      <w:pPr>
        <w:spacing w:after="0" w:line="94" w:lineRule="exact"/>
        <w:rPr>
          <w:sz w:val="20"/>
          <w:szCs w:val="20"/>
          <w:color w:val="auto"/>
        </w:rPr>
      </w:pPr>
    </w:p>
    <w:p>
      <w:pPr>
        <w:jc w:val="both"/>
        <w:ind w:left="1120" w:right="939" w:firstLine="324"/>
        <w:spacing w:after="0" w:line="252" w:lineRule="auto"/>
        <w:rPr>
          <w:sz w:val="20"/>
          <w:szCs w:val="20"/>
          <w:color w:val="auto"/>
        </w:rPr>
      </w:pPr>
      <w:r>
        <w:rPr>
          <w:rFonts w:ascii="Arial" w:cs="Arial" w:eastAsia="Arial" w:hAnsi="Arial"/>
          <w:sz w:val="16"/>
          <w:szCs w:val="16"/>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90" w:lineRule="exact"/>
        <w:rPr>
          <w:sz w:val="20"/>
          <w:szCs w:val="20"/>
          <w:color w:val="auto"/>
        </w:rPr>
      </w:pPr>
    </w:p>
    <w:p>
      <w:pPr>
        <w:ind w:left="1120" w:right="839" w:firstLine="324"/>
        <w:spacing w:after="0" w:line="301" w:lineRule="auto"/>
        <w:rPr>
          <w:sz w:val="20"/>
          <w:szCs w:val="20"/>
          <w:color w:val="auto"/>
        </w:rPr>
      </w:pPr>
      <w:r>
        <w:rPr>
          <w:rFonts w:ascii="Arial" w:cs="Arial" w:eastAsia="Arial" w:hAnsi="Arial"/>
          <w:sz w:val="15"/>
          <w:szCs w:val="15"/>
          <w:color w:val="auto"/>
        </w:rPr>
        <w:t>Unless otherwise provided in the applicable prospectus supplement, all debt securities of any one series need not be issued at the same time and may be issued from time to time without consent of any holder.</w:t>
      </w: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2" w:right="1440" w:bottom="1440" w:gutter="0" w:footer="0" w:header="0"/>
        </w:sectPr>
      </w:pPr>
    </w:p>
    <w:bookmarkStart w:id="15" w:name="page16"/>
    <w:bookmarkEnd w:id="1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Senior Debt Securities</w:t>
      </w:r>
    </w:p>
    <w:p>
      <w:pPr>
        <w:spacing w:after="0" w:line="136" w:lineRule="exact"/>
        <w:rPr>
          <w:sz w:val="20"/>
          <w:szCs w:val="20"/>
          <w:color w:val="auto"/>
        </w:rPr>
      </w:pPr>
    </w:p>
    <w:p>
      <w:pPr>
        <w:ind w:left="1120" w:right="859" w:firstLine="324"/>
        <w:spacing w:after="0" w:line="283" w:lineRule="auto"/>
        <w:rPr>
          <w:sz w:val="20"/>
          <w:szCs w:val="20"/>
          <w:color w:val="auto"/>
        </w:rPr>
      </w:pPr>
      <w:r>
        <w:rPr>
          <w:rFonts w:ascii="Arial" w:cs="Arial" w:eastAsia="Arial" w:hAnsi="Arial"/>
          <w:sz w:val="16"/>
          <w:szCs w:val="16"/>
          <w:color w:val="auto"/>
        </w:rPr>
        <w:t>Payment of the principal of, premium, if any, and interest on senior debt securities will rank on a parity with all of our other existing and future unsecured and unsubordinated debt.</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Senior Subordinated Debt Securities</w:t>
      </w:r>
    </w:p>
    <w:p>
      <w:pPr>
        <w:spacing w:after="0" w:line="148" w:lineRule="exact"/>
        <w:rPr>
          <w:sz w:val="20"/>
          <w:szCs w:val="20"/>
          <w:color w:val="auto"/>
        </w:rPr>
      </w:pPr>
    </w:p>
    <w:p>
      <w:pPr>
        <w:ind w:left="1120" w:right="859" w:firstLine="324"/>
        <w:spacing w:after="0" w:line="258"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Subordinated Debt Securities</w:t>
      </w:r>
    </w:p>
    <w:p>
      <w:pPr>
        <w:spacing w:after="0" w:line="148" w:lineRule="exact"/>
        <w:rPr>
          <w:sz w:val="20"/>
          <w:szCs w:val="20"/>
          <w:color w:val="auto"/>
        </w:rPr>
      </w:pPr>
    </w:p>
    <w:p>
      <w:pPr>
        <w:ind w:left="1120" w:right="999" w:firstLine="324"/>
        <w:spacing w:after="0" w:line="258"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Junior Subordinated Debt Securities</w:t>
      </w:r>
    </w:p>
    <w:p>
      <w:pPr>
        <w:spacing w:after="0" w:line="136" w:lineRule="exact"/>
        <w:rPr>
          <w:sz w:val="20"/>
          <w:szCs w:val="20"/>
          <w:color w:val="auto"/>
        </w:rPr>
      </w:pPr>
    </w:p>
    <w:p>
      <w:pPr>
        <w:ind w:left="1120" w:right="859" w:firstLine="324"/>
        <w:spacing w:after="0" w:line="258" w:lineRule="auto"/>
        <w:rPr>
          <w:sz w:val="20"/>
          <w:szCs w:val="20"/>
          <w:color w:val="auto"/>
        </w:rPr>
      </w:pPr>
      <w:r>
        <w:rPr>
          <w:rFonts w:ascii="Arial" w:cs="Arial" w:eastAsia="Arial" w:hAnsi="Arial"/>
          <w:sz w:val="16"/>
          <w:szCs w:val="16"/>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Conversion or Exchange Rights</w:t>
      </w:r>
    </w:p>
    <w:p>
      <w:pPr>
        <w:spacing w:after="0" w:line="148" w:lineRule="exact"/>
        <w:rPr>
          <w:sz w:val="20"/>
          <w:szCs w:val="20"/>
          <w:color w:val="auto"/>
        </w:rPr>
      </w:pPr>
    </w:p>
    <w:p>
      <w:pPr>
        <w:ind w:left="1120" w:right="919" w:firstLine="324"/>
        <w:spacing w:after="0" w:line="268" w:lineRule="auto"/>
        <w:rPr>
          <w:sz w:val="20"/>
          <w:szCs w:val="20"/>
          <w:color w:val="auto"/>
        </w:rPr>
      </w:pPr>
      <w:r>
        <w:rPr>
          <w:rFonts w:ascii="Arial" w:cs="Arial" w:eastAsia="Arial" w:hAnsi="Arial"/>
          <w:sz w:val="16"/>
          <w:szCs w:val="16"/>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65" w:lineRule="exact"/>
        <w:rPr>
          <w:sz w:val="20"/>
          <w:szCs w:val="20"/>
          <w:color w:val="auto"/>
        </w:rPr>
      </w:pPr>
    </w:p>
    <w:p>
      <w:pPr>
        <w:ind w:left="1620" w:hanging="170"/>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conversion or exchange price;</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conversion or exchange period;</w:t>
      </w:r>
    </w:p>
    <w:p>
      <w:pPr>
        <w:spacing w:after="0" w:line="120" w:lineRule="exact"/>
        <w:rPr>
          <w:rFonts w:ascii="Arial" w:cs="Arial" w:eastAsia="Arial" w:hAnsi="Arial"/>
          <w:sz w:val="16"/>
          <w:szCs w:val="16"/>
          <w:color w:val="auto"/>
        </w:rPr>
      </w:pPr>
    </w:p>
    <w:p>
      <w:pPr>
        <w:ind w:left="1620" w:hanging="170"/>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provisions regarding the ability of us or the holder to convert or exchange the debt securities;</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events requiring adjustment to the conversion or exchange price; and</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provisions affecting conversion or exchange in the event of our redemption of the debt securities.</w:t>
      </w: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Consolidation, Merger, or Sale</w:t>
      </w:r>
    </w:p>
    <w:p>
      <w:pPr>
        <w:spacing w:after="0" w:line="148" w:lineRule="exact"/>
        <w:rPr>
          <w:sz w:val="20"/>
          <w:szCs w:val="20"/>
          <w:color w:val="auto"/>
        </w:rPr>
      </w:pPr>
    </w:p>
    <w:p>
      <w:pPr>
        <w:ind w:left="1120" w:right="839" w:firstLine="324"/>
        <w:spacing w:after="0" w:line="261" w:lineRule="auto"/>
        <w:rPr>
          <w:sz w:val="20"/>
          <w:szCs w:val="20"/>
          <w:color w:val="auto"/>
        </w:rPr>
      </w:pPr>
      <w:r>
        <w:rPr>
          <w:rFonts w:ascii="Arial" w:cs="Arial" w:eastAsia="Arial" w:hAnsi="Arial"/>
          <w:sz w:val="16"/>
          <w:szCs w:val="16"/>
          <w:color w:val="auto"/>
        </w:rPr>
        <w:t>The indenture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 and must be organized under the laws of the United States, any state thereof, or the District of Columbia.</w:t>
      </w:r>
    </w:p>
    <w:p>
      <w:pPr>
        <w:spacing w:after="0" w:line="32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16" w:name="page17"/>
    <w:bookmarkEnd w:id="1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right="879" w:firstLine="324"/>
        <w:spacing w:after="0" w:line="247" w:lineRule="auto"/>
        <w:rPr>
          <w:sz w:val="20"/>
          <w:szCs w:val="20"/>
          <w:color w:val="auto"/>
        </w:rPr>
      </w:pPr>
      <w:r>
        <w:rPr>
          <w:rFonts w:ascii="Arial" w:cs="Arial" w:eastAsia="Arial" w:hAnsi="Arial"/>
          <w:sz w:val="16"/>
          <w:szCs w:val="16"/>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Events of Default</w:t>
      </w:r>
    </w:p>
    <w:p>
      <w:pPr>
        <w:spacing w:after="0" w:line="136" w:lineRule="exact"/>
        <w:rPr>
          <w:sz w:val="20"/>
          <w:szCs w:val="20"/>
          <w:color w:val="auto"/>
        </w:rPr>
      </w:pPr>
    </w:p>
    <w:p>
      <w:pPr>
        <w:ind w:left="1120" w:right="1159" w:firstLine="324"/>
        <w:spacing w:after="0" w:line="267" w:lineRule="auto"/>
        <w:rPr>
          <w:sz w:val="20"/>
          <w:szCs w:val="20"/>
          <w:color w:val="auto"/>
        </w:rPr>
      </w:pPr>
      <w:r>
        <w:rPr>
          <w:rFonts w:ascii="Arial" w:cs="Arial" w:eastAsia="Arial" w:hAnsi="Arial"/>
          <w:sz w:val="16"/>
          <w:szCs w:val="16"/>
          <w:color w:val="auto"/>
        </w:rPr>
        <w:t>Unless otherwise indicated, the term “Event of Default,” when used in the indenture in respect of a series of debt securities, means any of the following:</w:t>
      </w:r>
    </w:p>
    <w:p>
      <w:pPr>
        <w:spacing w:after="0" w:line="53" w:lineRule="exact"/>
        <w:rPr>
          <w:sz w:val="20"/>
          <w:szCs w:val="20"/>
          <w:color w:val="auto"/>
        </w:rPr>
      </w:pPr>
    </w:p>
    <w:p>
      <w:pPr>
        <w:ind w:left="1620" w:right="879" w:hanging="170"/>
        <w:spacing w:after="0" w:line="283"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pay interest when due and payable and our failure continues for 30 days and the time for payment has not been extended or deferred;</w:t>
      </w:r>
    </w:p>
    <w:p>
      <w:pPr>
        <w:spacing w:after="0" w:line="40" w:lineRule="exact"/>
        <w:rPr>
          <w:rFonts w:ascii="Arial" w:cs="Arial" w:eastAsia="Arial" w:hAnsi="Arial"/>
          <w:sz w:val="16"/>
          <w:szCs w:val="16"/>
          <w:color w:val="auto"/>
        </w:rPr>
      </w:pPr>
    </w:p>
    <w:p>
      <w:pPr>
        <w:ind w:left="1620" w:right="1039" w:hanging="170"/>
        <w:spacing w:after="0" w:line="283"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pay the principal, or premium, if any, when due and payable and the time for payment has not been extended or delayed;</w:t>
      </w:r>
    </w:p>
    <w:p>
      <w:pPr>
        <w:spacing w:after="0" w:line="28" w:lineRule="exact"/>
        <w:rPr>
          <w:rFonts w:ascii="Arial" w:cs="Arial" w:eastAsia="Arial" w:hAnsi="Arial"/>
          <w:sz w:val="16"/>
          <w:szCs w:val="16"/>
          <w:color w:val="auto"/>
        </w:rPr>
      </w:pPr>
    </w:p>
    <w:p>
      <w:pPr>
        <w:ind w:left="1620" w:right="879" w:hanging="170"/>
        <w:spacing w:after="0" w:line="263"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57" w:lineRule="exact"/>
        <w:rPr>
          <w:rFonts w:ascii="Arial" w:cs="Arial" w:eastAsia="Arial" w:hAnsi="Arial"/>
          <w:sz w:val="16"/>
          <w:szCs w:val="16"/>
          <w:color w:val="auto"/>
        </w:rPr>
      </w:pPr>
    </w:p>
    <w:p>
      <w:pPr>
        <w:ind w:left="1620" w:hanging="170"/>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events in bankruptcy, insolvency, or reorganization of our company; or</w:t>
      </w:r>
    </w:p>
    <w:p>
      <w:pPr>
        <w:spacing w:after="0" w:line="95" w:lineRule="exact"/>
        <w:rPr>
          <w:rFonts w:ascii="Arial" w:cs="Arial" w:eastAsia="Arial" w:hAnsi="Arial"/>
          <w:sz w:val="16"/>
          <w:szCs w:val="16"/>
          <w:color w:val="auto"/>
        </w:rPr>
      </w:pPr>
    </w:p>
    <w:p>
      <w:pPr>
        <w:ind w:left="1620" w:right="1219" w:hanging="170"/>
        <w:spacing w:after="0" w:line="283"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Event of Default provided in the applicable resolution of our board of directors or the supplemental indenture under which we issue such series of debt securities.</w:t>
      </w:r>
    </w:p>
    <w:p>
      <w:pPr>
        <w:spacing w:after="0" w:line="77" w:lineRule="exact"/>
        <w:rPr>
          <w:sz w:val="20"/>
          <w:szCs w:val="20"/>
          <w:color w:val="auto"/>
        </w:rPr>
      </w:pPr>
    </w:p>
    <w:p>
      <w:pPr>
        <w:ind w:left="1120" w:right="819" w:firstLine="324"/>
        <w:spacing w:after="0" w:line="242"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will be due and payable without any notice or other action on the part of the trustee or any holder.</w:t>
      </w:r>
    </w:p>
    <w:p>
      <w:pPr>
        <w:spacing w:after="0" w:line="110" w:lineRule="exact"/>
        <w:rPr>
          <w:sz w:val="20"/>
          <w:szCs w:val="20"/>
          <w:color w:val="auto"/>
        </w:rPr>
      </w:pPr>
    </w:p>
    <w:p>
      <w:pPr>
        <w:jc w:val="both"/>
        <w:ind w:left="1120" w:right="999" w:firstLine="324"/>
        <w:spacing w:after="0" w:line="247"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106" w:lineRule="exact"/>
        <w:rPr>
          <w:sz w:val="20"/>
          <w:szCs w:val="20"/>
          <w:color w:val="auto"/>
        </w:rPr>
      </w:pPr>
    </w:p>
    <w:p>
      <w:pPr>
        <w:ind w:left="1120" w:right="839" w:firstLine="324"/>
        <w:spacing w:after="0" w:line="242" w:lineRule="auto"/>
        <w:rPr>
          <w:sz w:val="20"/>
          <w:szCs w:val="20"/>
          <w:color w:val="auto"/>
        </w:rPr>
      </w:pPr>
      <w:r>
        <w:rPr>
          <w:rFonts w:ascii="Arial" w:cs="Arial" w:eastAsia="Arial" w:hAnsi="Arial"/>
          <w:sz w:val="16"/>
          <w:szCs w:val="16"/>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4" w:lineRule="exact"/>
        <w:rPr>
          <w:sz w:val="20"/>
          <w:szCs w:val="20"/>
          <w:color w:val="auto"/>
        </w:rPr>
      </w:pPr>
    </w:p>
    <w:p>
      <w:pPr>
        <w:ind w:left="1620" w:hanging="170"/>
        <w:spacing w:after="0"/>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direction so given by the holder is not in conflict with any law or the indenture; and</w:t>
      </w:r>
    </w:p>
    <w:p>
      <w:pPr>
        <w:spacing w:after="0" w:line="95" w:lineRule="exact"/>
        <w:rPr>
          <w:rFonts w:ascii="Arial" w:cs="Arial" w:eastAsia="Arial" w:hAnsi="Arial"/>
          <w:sz w:val="16"/>
          <w:szCs w:val="16"/>
          <w:color w:val="auto"/>
        </w:rPr>
      </w:pPr>
    </w:p>
    <w:p>
      <w:pPr>
        <w:ind w:left="1620" w:right="1119" w:hanging="170"/>
        <w:spacing w:after="0" w:line="268"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subject to its duties under the Trust Indenture Act, the trustee need not take any action that might involve it in personal liability or might be unduly prejudicial to the holders not involved in the proceeding.</w:t>
      </w:r>
    </w:p>
    <w:p>
      <w:pPr>
        <w:spacing w:after="0" w:line="101" w:lineRule="exact"/>
        <w:rPr>
          <w:sz w:val="20"/>
          <w:szCs w:val="20"/>
          <w:color w:val="auto"/>
        </w:rPr>
      </w:pPr>
    </w:p>
    <w:p>
      <w:pPr>
        <w:ind w:left="1120" w:right="919" w:firstLine="324"/>
        <w:spacing w:after="0" w:line="267" w:lineRule="auto"/>
        <w:rPr>
          <w:sz w:val="20"/>
          <w:szCs w:val="20"/>
          <w:color w:val="auto"/>
        </w:rPr>
      </w:pPr>
      <w:r>
        <w:rPr>
          <w:rFonts w:ascii="Arial" w:cs="Arial" w:eastAsia="Arial" w:hAnsi="Arial"/>
          <w:sz w:val="16"/>
          <w:szCs w:val="16"/>
          <w:color w:val="auto"/>
        </w:rPr>
        <w:t>A holder of the debt securities of any series will only have the right to institute a proceeding under the indenture or to appoint a receiver or trustee, or to seek other remedies if:</w:t>
      </w:r>
    </w:p>
    <w:p>
      <w:pPr>
        <w:spacing w:after="0" w:line="41" w:lineRule="exact"/>
        <w:rPr>
          <w:sz w:val="20"/>
          <w:szCs w:val="20"/>
          <w:color w:val="auto"/>
        </w:rPr>
      </w:pPr>
    </w:p>
    <w:p>
      <w:pPr>
        <w:ind w:left="1620" w:right="839" w:hanging="170"/>
        <w:spacing w:after="0" w:line="283"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holder has given written notice to the trustee of a continuing Event of Default with respect to that series;</w:t>
      </w:r>
    </w:p>
    <w:p>
      <w:pPr>
        <w:spacing w:after="0" w:line="40" w:lineRule="exact"/>
        <w:rPr>
          <w:rFonts w:ascii="Arial" w:cs="Arial" w:eastAsia="Arial" w:hAnsi="Arial"/>
          <w:sz w:val="16"/>
          <w:szCs w:val="16"/>
          <w:color w:val="auto"/>
        </w:rPr>
      </w:pPr>
    </w:p>
    <w:p>
      <w:pPr>
        <w:ind w:left="1620" w:right="919" w:hanging="170"/>
        <w:spacing w:after="0" w:line="268"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32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233680</wp:posOffset>
            </wp:positionV>
            <wp:extent cx="615124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17" w:name="page18"/>
    <w:bookmarkEnd w:id="1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20" w:right="1019" w:hanging="170"/>
        <w:spacing w:after="0" w:line="268"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89" w:lineRule="exact"/>
        <w:rPr>
          <w:sz w:val="20"/>
          <w:szCs w:val="20"/>
          <w:color w:val="auto"/>
        </w:rPr>
      </w:pPr>
    </w:p>
    <w:p>
      <w:pPr>
        <w:ind w:left="1120" w:right="1199" w:firstLine="324"/>
        <w:spacing w:after="0" w:line="283" w:lineRule="auto"/>
        <w:rPr>
          <w:sz w:val="20"/>
          <w:szCs w:val="20"/>
          <w:color w:val="auto"/>
        </w:rPr>
      </w:pPr>
      <w:r>
        <w:rPr>
          <w:rFonts w:ascii="Arial" w:cs="Arial" w:eastAsia="Arial" w:hAnsi="Arial"/>
          <w:sz w:val="16"/>
          <w:szCs w:val="16"/>
          <w:color w:val="auto"/>
        </w:rPr>
        <w:t>These limitations do not apply to a suit instituted by a holder of debt securities if we default in the payment of the principal, premium, if any, or interest on, the debt securities.</w:t>
      </w:r>
    </w:p>
    <w:p>
      <w:pPr>
        <w:spacing w:after="0" w:line="89" w:lineRule="exact"/>
        <w:rPr>
          <w:sz w:val="20"/>
          <w:szCs w:val="20"/>
          <w:color w:val="auto"/>
        </w:rPr>
      </w:pPr>
    </w:p>
    <w:p>
      <w:pPr>
        <w:ind w:left="1120" w:right="859" w:firstLine="324"/>
        <w:spacing w:after="0" w:line="283" w:lineRule="auto"/>
        <w:rPr>
          <w:sz w:val="20"/>
          <w:szCs w:val="20"/>
          <w:color w:val="auto"/>
        </w:rPr>
      </w:pPr>
      <w:r>
        <w:rPr>
          <w:rFonts w:ascii="Arial" w:cs="Arial" w:eastAsia="Arial" w:hAnsi="Arial"/>
          <w:sz w:val="16"/>
          <w:szCs w:val="16"/>
          <w:color w:val="auto"/>
        </w:rPr>
        <w:t>We will periodically file statements with the trustee regarding our compliance with specified covenants in the indenture.</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Global Securities</w:t>
      </w:r>
    </w:p>
    <w:p>
      <w:pPr>
        <w:spacing w:after="0" w:line="148" w:lineRule="exact"/>
        <w:rPr>
          <w:sz w:val="20"/>
          <w:szCs w:val="20"/>
          <w:color w:val="auto"/>
        </w:rPr>
      </w:pPr>
    </w:p>
    <w:p>
      <w:pPr>
        <w:ind w:left="1120" w:right="839" w:firstLine="324"/>
        <w:spacing w:after="0" w:line="276" w:lineRule="auto"/>
        <w:rPr>
          <w:sz w:val="20"/>
          <w:szCs w:val="20"/>
          <w:color w:val="auto"/>
        </w:rPr>
      </w:pPr>
      <w:r>
        <w:rPr>
          <w:rFonts w:ascii="Arial" w:cs="Arial" w:eastAsia="Arial" w:hAnsi="Arial"/>
          <w:sz w:val="15"/>
          <w:szCs w:val="15"/>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54"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Discharge, Defeasance, and Covenant Defeasance</w:t>
      </w:r>
    </w:p>
    <w:p>
      <w:pPr>
        <w:spacing w:after="0" w:line="136" w:lineRule="exact"/>
        <w:rPr>
          <w:sz w:val="20"/>
          <w:szCs w:val="20"/>
          <w:color w:val="auto"/>
        </w:rPr>
      </w:pPr>
    </w:p>
    <w:p>
      <w:pPr>
        <w:ind w:left="1120" w:right="1039" w:firstLine="324"/>
        <w:spacing w:after="0" w:line="263" w:lineRule="auto"/>
        <w:rPr>
          <w:sz w:val="20"/>
          <w:szCs w:val="20"/>
          <w:color w:val="auto"/>
        </w:rPr>
      </w:pPr>
      <w:r>
        <w:rPr>
          <w:rFonts w:ascii="Arial" w:cs="Arial" w:eastAsia="Arial" w:hAnsi="Arial"/>
          <w:sz w:val="16"/>
          <w:szCs w:val="16"/>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06" w:lineRule="exact"/>
        <w:rPr>
          <w:sz w:val="20"/>
          <w:szCs w:val="20"/>
          <w:color w:val="auto"/>
        </w:rPr>
      </w:pPr>
    </w:p>
    <w:p>
      <w:pPr>
        <w:ind w:left="1120" w:right="899" w:firstLine="324"/>
        <w:spacing w:after="0" w:line="258" w:lineRule="auto"/>
        <w:rPr>
          <w:sz w:val="20"/>
          <w:szCs w:val="20"/>
          <w:color w:val="auto"/>
        </w:rPr>
      </w:pPr>
      <w:r>
        <w:rPr>
          <w:rFonts w:ascii="Arial" w:cs="Arial" w:eastAsia="Arial" w:hAnsi="Arial"/>
          <w:sz w:val="16"/>
          <w:szCs w:val="16"/>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112" w:lineRule="exact"/>
        <w:rPr>
          <w:sz w:val="20"/>
          <w:szCs w:val="20"/>
          <w:color w:val="auto"/>
        </w:rPr>
      </w:pPr>
    </w:p>
    <w:p>
      <w:pPr>
        <w:ind w:left="1120" w:right="899" w:firstLine="324"/>
        <w:spacing w:after="0" w:line="259"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74" w:lineRule="exact"/>
        <w:rPr>
          <w:sz w:val="20"/>
          <w:szCs w:val="20"/>
          <w:color w:val="auto"/>
        </w:rPr>
      </w:pPr>
    </w:p>
    <w:p>
      <w:pPr>
        <w:ind w:left="1620" w:right="1019" w:hanging="170"/>
        <w:spacing w:after="0" w:line="268" w:lineRule="auto"/>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64" w:lineRule="exact"/>
        <w:rPr>
          <w:rFonts w:ascii="Arial" w:cs="Arial" w:eastAsia="Arial" w:hAnsi="Arial"/>
          <w:sz w:val="16"/>
          <w:szCs w:val="16"/>
          <w:color w:val="auto"/>
        </w:rPr>
      </w:pPr>
    </w:p>
    <w:p>
      <w:pPr>
        <w:ind w:left="1620" w:right="859" w:hanging="170"/>
        <w:spacing w:after="0" w:line="258" w:lineRule="auto"/>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12" w:lineRule="exact"/>
        <w:rPr>
          <w:sz w:val="20"/>
          <w:szCs w:val="20"/>
          <w:color w:val="auto"/>
        </w:rPr>
      </w:pPr>
    </w:p>
    <w:p>
      <w:pPr>
        <w:ind w:left="1120" w:right="999" w:firstLine="324"/>
        <w:spacing w:after="0" w:line="318" w:lineRule="auto"/>
        <w:rPr>
          <w:sz w:val="20"/>
          <w:szCs w:val="20"/>
          <w:color w:val="auto"/>
        </w:rPr>
      </w:pPr>
      <w:r>
        <w:rPr>
          <w:rFonts w:ascii="Arial" w:cs="Arial" w:eastAsia="Arial" w:hAnsi="Arial"/>
          <w:sz w:val="15"/>
          <w:szCs w:val="15"/>
          <w:color w:val="auto"/>
        </w:rPr>
        <w:t>Although we may discharge or defease our obligations under the indenture as described in the two preceding paragraphs, we may not avoid, among other things, our duty to register the transfer or exchange</w:t>
      </w:r>
    </w:p>
    <w:p>
      <w:pPr>
        <w:spacing w:after="0" w:line="28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2" w:right="1440" w:bottom="1440" w:gutter="0" w:footer="0" w:header="0"/>
        </w:sectPr>
      </w:pPr>
    </w:p>
    <w:bookmarkStart w:id="18" w:name="page19"/>
    <w:bookmarkEnd w:id="1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right="939"/>
        <w:spacing w:after="0" w:line="283" w:lineRule="auto"/>
        <w:rPr>
          <w:sz w:val="20"/>
          <w:szCs w:val="20"/>
          <w:color w:val="auto"/>
        </w:rPr>
      </w:pPr>
      <w:r>
        <w:rPr>
          <w:rFonts w:ascii="Arial" w:cs="Arial" w:eastAsia="Arial" w:hAnsi="Arial"/>
          <w:sz w:val="16"/>
          <w:szCs w:val="16"/>
          <w:color w:val="auto"/>
        </w:rPr>
        <w:t>of any series of debt securities, to replace any temporary, mutilated, destroyed, lost, or stolen series of debt securities or to maintain an office or agency in respect of any series of debt securities.</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Modification of the Indenture; Waiver</w:t>
      </w:r>
    </w:p>
    <w:p>
      <w:pPr>
        <w:spacing w:after="0" w:line="136" w:lineRule="exact"/>
        <w:rPr>
          <w:sz w:val="20"/>
          <w:szCs w:val="20"/>
          <w:color w:val="auto"/>
        </w:rPr>
      </w:pPr>
    </w:p>
    <w:p>
      <w:pPr>
        <w:ind w:left="1120" w:right="1199" w:firstLine="324"/>
        <w:spacing w:after="0" w:line="318" w:lineRule="auto"/>
        <w:rPr>
          <w:sz w:val="20"/>
          <w:szCs w:val="20"/>
          <w:color w:val="auto"/>
        </w:rPr>
      </w:pPr>
      <w:r>
        <w:rPr>
          <w:rFonts w:ascii="Arial" w:cs="Arial" w:eastAsia="Arial" w:hAnsi="Arial"/>
          <w:sz w:val="15"/>
          <w:szCs w:val="15"/>
          <w:color w:val="auto"/>
        </w:rPr>
        <w:t>The indenture provides that we and the trustee may enter into supplemental indentures without the consent of the holders of debt securities of a series with respect to certain specific matters, including:</w:t>
      </w:r>
    </w:p>
    <w:p>
      <w:pPr>
        <w:spacing w:after="0" w:line="42" w:lineRule="exact"/>
        <w:rPr>
          <w:sz w:val="20"/>
          <w:szCs w:val="20"/>
          <w:color w:val="auto"/>
        </w:rPr>
      </w:pPr>
    </w:p>
    <w:p>
      <w:pPr>
        <w:ind w:left="1620" w:hanging="170"/>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comply with the provisions described above under “— Consolidation, Merger, or Sale”;</w:t>
      </w:r>
    </w:p>
    <w:p>
      <w:pPr>
        <w:spacing w:after="0" w:line="107" w:lineRule="exact"/>
        <w:rPr>
          <w:rFonts w:ascii="Arial" w:cs="Arial" w:eastAsia="Arial" w:hAnsi="Arial"/>
          <w:sz w:val="16"/>
          <w:szCs w:val="16"/>
          <w:color w:val="auto"/>
        </w:rPr>
      </w:pPr>
    </w:p>
    <w:p>
      <w:pPr>
        <w:ind w:left="1620" w:right="1119" w:hanging="170"/>
        <w:spacing w:after="0" w:line="283"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indenture under the Trust Indenture Act;</w:t>
      </w:r>
    </w:p>
    <w:p>
      <w:pPr>
        <w:spacing w:after="0" w:line="52" w:lineRule="exact"/>
        <w:rPr>
          <w:rFonts w:ascii="Arial" w:cs="Arial" w:eastAsia="Arial" w:hAnsi="Arial"/>
          <w:sz w:val="16"/>
          <w:szCs w:val="16"/>
          <w:color w:val="auto"/>
        </w:rPr>
      </w:pPr>
    </w:p>
    <w:p>
      <w:pPr>
        <w:ind w:left="1620" w:right="1359" w:hanging="170"/>
        <w:spacing w:after="0" w:line="283"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indenture by a successor trustee;</w:t>
      </w:r>
    </w:p>
    <w:p>
      <w:pPr>
        <w:spacing w:after="0" w:line="64" w:lineRule="exact"/>
        <w:rPr>
          <w:rFonts w:ascii="Arial" w:cs="Arial" w:eastAsia="Arial" w:hAnsi="Arial"/>
          <w:sz w:val="16"/>
          <w:szCs w:val="16"/>
          <w:color w:val="auto"/>
        </w:rPr>
      </w:pPr>
    </w:p>
    <w:p>
      <w:pPr>
        <w:ind w:left="1620" w:hanging="170"/>
        <w:spacing w:after="0"/>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provide for uncertificated debt securities and to make all appropriate changes for that purpose;</w:t>
      </w:r>
    </w:p>
    <w:p>
      <w:pPr>
        <w:spacing w:after="0" w:line="107" w:lineRule="exact"/>
        <w:rPr>
          <w:rFonts w:ascii="Arial" w:cs="Arial" w:eastAsia="Arial" w:hAnsi="Arial"/>
          <w:sz w:val="16"/>
          <w:szCs w:val="16"/>
          <w:color w:val="auto"/>
        </w:rPr>
      </w:pPr>
    </w:p>
    <w:p>
      <w:pPr>
        <w:ind w:left="1620" w:right="999" w:hanging="170"/>
        <w:spacing w:after="0" w:line="318"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add to, delete from, or revise the conditions, limitations, and restrictions on the authorized amount, terms, or purposes of issuance, authorization, and delivery of debt securities of any series;</w:t>
      </w:r>
    </w:p>
    <w:p>
      <w:pPr>
        <w:spacing w:after="0" w:line="29" w:lineRule="exact"/>
        <w:rPr>
          <w:rFonts w:ascii="Arial" w:cs="Arial" w:eastAsia="Arial" w:hAnsi="Arial"/>
          <w:sz w:val="15"/>
          <w:szCs w:val="15"/>
          <w:color w:val="auto"/>
        </w:rPr>
      </w:pPr>
    </w:p>
    <w:p>
      <w:pPr>
        <w:ind w:left="1620" w:right="879" w:hanging="170"/>
        <w:spacing w:after="0" w:line="263"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69" w:lineRule="exact"/>
        <w:rPr>
          <w:rFonts w:ascii="Arial" w:cs="Arial" w:eastAsia="Arial" w:hAnsi="Arial"/>
          <w:sz w:val="16"/>
          <w:szCs w:val="16"/>
          <w:color w:val="auto"/>
        </w:rPr>
      </w:pPr>
    </w:p>
    <w:p>
      <w:pPr>
        <w:ind w:left="1620" w:right="1339" w:hanging="170"/>
        <w:spacing w:after="0" w:line="283" w:lineRule="auto"/>
        <w:tabs>
          <w:tab w:leader="none" w:pos="1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change anything that does not materially adversely affect the interests of any holder of debt securities of any series.</w:t>
      </w:r>
    </w:p>
    <w:p>
      <w:pPr>
        <w:spacing w:after="0" w:line="89" w:lineRule="exact"/>
        <w:rPr>
          <w:sz w:val="20"/>
          <w:szCs w:val="20"/>
          <w:color w:val="auto"/>
        </w:rPr>
      </w:pPr>
    </w:p>
    <w:p>
      <w:pPr>
        <w:ind w:left="1120" w:right="839" w:firstLine="324"/>
        <w:spacing w:after="0" w:line="286" w:lineRule="auto"/>
        <w:rPr>
          <w:sz w:val="20"/>
          <w:szCs w:val="20"/>
          <w:color w:val="auto"/>
        </w:rPr>
      </w:pPr>
      <w:r>
        <w:rPr>
          <w:rFonts w:ascii="Arial" w:cs="Arial" w:eastAsia="Arial" w:hAnsi="Arial"/>
          <w:sz w:val="15"/>
          <w:szCs w:val="15"/>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54" w:lineRule="exact"/>
        <w:rPr>
          <w:sz w:val="20"/>
          <w:szCs w:val="20"/>
          <w:color w:val="auto"/>
        </w:rPr>
      </w:pPr>
    </w:p>
    <w:p>
      <w:pPr>
        <w:ind w:left="1620" w:hanging="170"/>
        <w:spacing w:after="0"/>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extending the fixed maturity of the series of debt securities;</w:t>
      </w:r>
    </w:p>
    <w:p>
      <w:pPr>
        <w:spacing w:after="0" w:line="120" w:lineRule="exact"/>
        <w:rPr>
          <w:rFonts w:ascii="Arial" w:cs="Arial" w:eastAsia="Arial" w:hAnsi="Arial"/>
          <w:sz w:val="16"/>
          <w:szCs w:val="16"/>
          <w:color w:val="auto"/>
        </w:rPr>
      </w:pPr>
    </w:p>
    <w:p>
      <w:pPr>
        <w:ind w:left="1620" w:right="999" w:hanging="170"/>
        <w:spacing w:after="0" w:line="28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reducing the principal amount, reducing the rate of or extending the time of payment of interest, or reducing any premium payable upon the redemption of any debt securities;</w:t>
      </w:r>
    </w:p>
    <w:p>
      <w:pPr>
        <w:spacing w:after="0" w:line="52" w:lineRule="exact"/>
        <w:rPr>
          <w:rFonts w:ascii="Arial" w:cs="Arial" w:eastAsia="Arial" w:hAnsi="Arial"/>
          <w:sz w:val="16"/>
          <w:szCs w:val="16"/>
          <w:color w:val="auto"/>
        </w:rPr>
      </w:pPr>
    </w:p>
    <w:p>
      <w:pPr>
        <w:ind w:left="1620" w:right="1359" w:hanging="170"/>
        <w:spacing w:after="0" w:line="28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reducing any amounts due on debt securities of any series or payable upon acceleration of the maturity of debt securities of any series following an Event of Default;</w:t>
      </w:r>
    </w:p>
    <w:p>
      <w:pPr>
        <w:spacing w:after="0" w:line="52" w:lineRule="exact"/>
        <w:rPr>
          <w:rFonts w:ascii="Arial" w:cs="Arial" w:eastAsia="Arial" w:hAnsi="Arial"/>
          <w:sz w:val="16"/>
          <w:szCs w:val="16"/>
          <w:color w:val="auto"/>
        </w:rPr>
      </w:pPr>
    </w:p>
    <w:p>
      <w:pPr>
        <w:ind w:left="1620" w:right="859" w:hanging="170"/>
        <w:spacing w:after="0" w:line="268"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adversely affecting any right of repayment at the holder’s option if such option is applicable to the debt securities of such series in accordance with the redemption or repurchase of such debt securities pursuant to any sinking fund, mandatory redemption, or analogous provision;</w:t>
      </w:r>
    </w:p>
    <w:p>
      <w:pPr>
        <w:spacing w:after="0" w:line="64" w:lineRule="exact"/>
        <w:rPr>
          <w:rFonts w:ascii="Arial" w:cs="Arial" w:eastAsia="Arial" w:hAnsi="Arial"/>
          <w:sz w:val="16"/>
          <w:szCs w:val="16"/>
          <w:color w:val="auto"/>
        </w:rPr>
      </w:pPr>
    </w:p>
    <w:p>
      <w:pPr>
        <w:ind w:left="1620" w:right="1259" w:hanging="170"/>
        <w:spacing w:after="0" w:line="28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changing the place (except as otherwise permitted by the terms of the indenture) or currency of payment on the debt securities of such series;</w:t>
      </w:r>
    </w:p>
    <w:p>
      <w:pPr>
        <w:spacing w:after="0" w:line="52" w:lineRule="exact"/>
        <w:rPr>
          <w:rFonts w:ascii="Arial" w:cs="Arial" w:eastAsia="Arial" w:hAnsi="Arial"/>
          <w:sz w:val="16"/>
          <w:szCs w:val="16"/>
          <w:color w:val="auto"/>
        </w:rPr>
      </w:pPr>
    </w:p>
    <w:p>
      <w:pPr>
        <w:ind w:left="1620" w:right="919" w:hanging="170"/>
        <w:spacing w:after="0" w:line="28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modifying the debt securities of such series to contractually subordinate such debt securities in right of payment to our other indebtedness;</w:t>
      </w:r>
    </w:p>
    <w:p>
      <w:pPr>
        <w:spacing w:after="0" w:line="52" w:lineRule="exact"/>
        <w:rPr>
          <w:rFonts w:ascii="Arial" w:cs="Arial" w:eastAsia="Arial" w:hAnsi="Arial"/>
          <w:sz w:val="16"/>
          <w:szCs w:val="16"/>
          <w:color w:val="auto"/>
        </w:rPr>
      </w:pPr>
    </w:p>
    <w:p>
      <w:pPr>
        <w:ind w:left="1620" w:right="1359" w:hanging="170"/>
        <w:spacing w:after="0" w:line="28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supplemental indenture;</w:t>
      </w:r>
    </w:p>
    <w:p>
      <w:pPr>
        <w:spacing w:after="0" w:line="52" w:lineRule="exact"/>
        <w:rPr>
          <w:rFonts w:ascii="Arial" w:cs="Arial" w:eastAsia="Arial" w:hAnsi="Arial"/>
          <w:sz w:val="16"/>
          <w:szCs w:val="16"/>
          <w:color w:val="auto"/>
        </w:rPr>
      </w:pPr>
    </w:p>
    <w:p>
      <w:pPr>
        <w:ind w:left="1620" w:right="879" w:hanging="170"/>
        <w:spacing w:after="0" w:line="28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the waiver of certain defaults; and</w:t>
      </w:r>
    </w:p>
    <w:p>
      <w:pPr>
        <w:spacing w:after="0" w:line="64" w:lineRule="exact"/>
        <w:rPr>
          <w:rFonts w:ascii="Arial" w:cs="Arial" w:eastAsia="Arial" w:hAnsi="Arial"/>
          <w:sz w:val="16"/>
          <w:szCs w:val="16"/>
          <w:color w:val="auto"/>
        </w:rPr>
      </w:pPr>
    </w:p>
    <w:p>
      <w:pPr>
        <w:ind w:left="1620" w:right="959" w:hanging="170"/>
        <w:spacing w:after="0" w:line="263"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modifying any of the provisions of Section 9.02 or Section 6.06 of the indenture, except to increase any such percentage or to provide that certain other provisions of the indenture cannot be modified or waived without the consent of the holders of each outstanding series of debt securities affected thereby.</w:t>
      </w:r>
    </w:p>
    <w:p>
      <w:pPr>
        <w:spacing w:after="0" w:line="32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19" w:name="page20"/>
    <w:bookmarkEnd w:id="1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Concerning the Trustee</w:t>
      </w:r>
    </w:p>
    <w:p>
      <w:pPr>
        <w:spacing w:after="0" w:line="136" w:lineRule="exact"/>
        <w:rPr>
          <w:sz w:val="20"/>
          <w:szCs w:val="20"/>
          <w:color w:val="auto"/>
        </w:rPr>
      </w:pPr>
    </w:p>
    <w:p>
      <w:pPr>
        <w:ind w:left="1120" w:right="839" w:firstLine="324"/>
        <w:spacing w:after="0" w:line="275" w:lineRule="auto"/>
        <w:rPr>
          <w:sz w:val="20"/>
          <w:szCs w:val="20"/>
          <w:color w:val="auto"/>
        </w:rPr>
      </w:pPr>
      <w:r>
        <w:rPr>
          <w:rFonts w:ascii="Arial" w:cs="Arial" w:eastAsia="Arial" w:hAnsi="Arial"/>
          <w:sz w:val="15"/>
          <w:szCs w:val="15"/>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101" w:lineRule="exact"/>
        <w:rPr>
          <w:sz w:val="20"/>
          <w:szCs w:val="20"/>
          <w:color w:val="auto"/>
        </w:rPr>
      </w:pPr>
    </w:p>
    <w:p>
      <w:pPr>
        <w:ind w:left="1120" w:right="939" w:firstLine="324"/>
        <w:spacing w:after="0" w:line="261" w:lineRule="auto"/>
        <w:rPr>
          <w:sz w:val="20"/>
          <w:szCs w:val="20"/>
          <w:color w:val="auto"/>
        </w:rPr>
      </w:pPr>
      <w:r>
        <w:rPr>
          <w:rFonts w:ascii="Arial" w:cs="Arial" w:eastAsia="Arial" w:hAnsi="Arial"/>
          <w:sz w:val="16"/>
          <w:szCs w:val="16"/>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07" w:lineRule="exact"/>
        <w:rPr>
          <w:sz w:val="20"/>
          <w:szCs w:val="20"/>
          <w:color w:val="auto"/>
        </w:rPr>
      </w:pPr>
    </w:p>
    <w:p>
      <w:pPr>
        <w:ind w:left="1120" w:right="859" w:firstLine="324"/>
        <w:spacing w:after="0" w:line="256"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No Individual Liability of Incorporators, Shareholders, Officers, or Directors</w:t>
      </w:r>
    </w:p>
    <w:p>
      <w:pPr>
        <w:spacing w:after="0" w:line="136" w:lineRule="exact"/>
        <w:rPr>
          <w:sz w:val="20"/>
          <w:szCs w:val="20"/>
          <w:color w:val="auto"/>
        </w:rPr>
      </w:pPr>
    </w:p>
    <w:p>
      <w:pPr>
        <w:ind w:left="1120" w:right="1099" w:firstLine="324"/>
        <w:spacing w:after="0" w:line="263" w:lineRule="auto"/>
        <w:rPr>
          <w:sz w:val="20"/>
          <w:szCs w:val="20"/>
          <w:color w:val="auto"/>
        </w:rPr>
      </w:pPr>
      <w:r>
        <w:rPr>
          <w:rFonts w:ascii="Arial" w:cs="Arial" w:eastAsia="Arial" w:hAnsi="Arial"/>
          <w:sz w:val="16"/>
          <w:szCs w:val="16"/>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Governing Law</w:t>
      </w:r>
    </w:p>
    <w:p>
      <w:pPr>
        <w:spacing w:after="0" w:line="148" w:lineRule="exact"/>
        <w:rPr>
          <w:sz w:val="20"/>
          <w:szCs w:val="20"/>
          <w:color w:val="auto"/>
        </w:rPr>
      </w:pPr>
    </w:p>
    <w:p>
      <w:pPr>
        <w:ind w:left="1120" w:right="979" w:firstLine="324"/>
        <w:spacing w:after="0" w:line="283" w:lineRule="auto"/>
        <w:rPr>
          <w:sz w:val="20"/>
          <w:szCs w:val="20"/>
          <w:color w:val="auto"/>
        </w:rPr>
      </w:pPr>
      <w:r>
        <w:rPr>
          <w:rFonts w:ascii="Arial" w:cs="Arial" w:eastAsia="Arial" w:hAnsi="Arial"/>
          <w:sz w:val="16"/>
          <w:szCs w:val="16"/>
          <w:color w:val="auto"/>
        </w:rPr>
        <w:t>The indenture and the debt securities will be governed by, and construed in accordance with, the laws of the State of New York without regard to conflict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0" w:name="page21"/>
    <w:bookmarkEnd w:id="2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DESCRIPTION OF WARRANTS</w:t>
      </w:r>
    </w:p>
    <w:p>
      <w:pPr>
        <w:spacing w:after="0" w:line="136" w:lineRule="exact"/>
        <w:rPr>
          <w:sz w:val="20"/>
          <w:szCs w:val="20"/>
          <w:color w:val="auto"/>
        </w:rPr>
      </w:pPr>
    </w:p>
    <w:p>
      <w:pPr>
        <w:ind w:left="1120" w:right="899" w:firstLine="324"/>
        <w:spacing w:after="0" w:line="263" w:lineRule="auto"/>
        <w:rPr>
          <w:sz w:val="20"/>
          <w:szCs w:val="20"/>
          <w:color w:val="auto"/>
        </w:rPr>
      </w:pPr>
      <w:r>
        <w:rPr>
          <w:rFonts w:ascii="Arial" w:cs="Arial" w:eastAsia="Arial" w:hAnsi="Arial"/>
          <w:sz w:val="15"/>
          <w:szCs w:val="15"/>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95" w:lineRule="exact"/>
        <w:rPr>
          <w:sz w:val="20"/>
          <w:szCs w:val="20"/>
          <w:color w:val="auto"/>
        </w:rPr>
      </w:pPr>
    </w:p>
    <w:p>
      <w:pPr>
        <w:ind w:left="1120" w:right="859" w:firstLine="324"/>
        <w:spacing w:after="0" w:line="267" w:lineRule="auto"/>
        <w:rPr>
          <w:sz w:val="20"/>
          <w:szCs w:val="20"/>
          <w:color w:val="auto"/>
        </w:rPr>
      </w:pPr>
      <w:r>
        <w:rPr>
          <w:rFonts w:ascii="Arial" w:cs="Arial" w:eastAsia="Arial" w:hAnsi="Arial"/>
          <w:sz w:val="16"/>
          <w:szCs w:val="16"/>
          <w:color w:val="auto"/>
        </w:rPr>
        <w:t>The prospectus supplement relating to any warrants that we may offer will contain the specific terms of the warrants. These terms may include the following:</w:t>
      </w:r>
    </w:p>
    <w:p>
      <w:pPr>
        <w:spacing w:after="0" w:line="53" w:lineRule="exact"/>
        <w:rPr>
          <w:sz w:val="20"/>
          <w:szCs w:val="20"/>
          <w:color w:val="auto"/>
        </w:rPr>
      </w:pPr>
    </w:p>
    <w:p>
      <w:pPr>
        <w:ind w:left="1620" w:hanging="170"/>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title of the warrants;</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price or prices at which the warrants will be issued;</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designation, amount, and terms of the securities for which the warrants are exercisable;</w:t>
      </w:r>
    </w:p>
    <w:p>
      <w:pPr>
        <w:spacing w:after="0" w:line="107" w:lineRule="exact"/>
        <w:rPr>
          <w:rFonts w:ascii="Arial" w:cs="Arial" w:eastAsia="Arial" w:hAnsi="Arial"/>
          <w:sz w:val="16"/>
          <w:szCs w:val="16"/>
          <w:color w:val="auto"/>
        </w:rPr>
      </w:pPr>
    </w:p>
    <w:p>
      <w:pPr>
        <w:ind w:left="1620" w:right="879" w:hanging="170"/>
        <w:spacing w:after="0" w:line="28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designation and terms of the other securities, if any, with which the warrants are to be issued and the number of warrants issued with each other security;</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aggregate number of warrants;</w:t>
      </w:r>
    </w:p>
    <w:p>
      <w:pPr>
        <w:spacing w:after="0" w:line="95" w:lineRule="exact"/>
        <w:rPr>
          <w:rFonts w:ascii="Arial" w:cs="Arial" w:eastAsia="Arial" w:hAnsi="Arial"/>
          <w:sz w:val="16"/>
          <w:szCs w:val="16"/>
          <w:color w:val="auto"/>
        </w:rPr>
      </w:pPr>
    </w:p>
    <w:p>
      <w:pPr>
        <w:ind w:left="1620" w:right="939" w:hanging="170"/>
        <w:spacing w:after="0" w:line="28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provisions for adjustment of the number or amount of securities receivable upon exercise of the warrants or the exercise price of the warrants;</w:t>
      </w:r>
    </w:p>
    <w:p>
      <w:pPr>
        <w:spacing w:after="0" w:line="52" w:lineRule="exact"/>
        <w:rPr>
          <w:rFonts w:ascii="Arial" w:cs="Arial" w:eastAsia="Arial" w:hAnsi="Arial"/>
          <w:sz w:val="16"/>
          <w:szCs w:val="16"/>
          <w:color w:val="auto"/>
        </w:rPr>
      </w:pPr>
    </w:p>
    <w:p>
      <w:pPr>
        <w:ind w:left="1620" w:right="1499" w:hanging="170"/>
        <w:spacing w:after="0" w:line="28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price or prices at which the securities purchasable upon exercise of the warrants may be purchased;</w:t>
      </w:r>
    </w:p>
    <w:p>
      <w:pPr>
        <w:spacing w:after="0" w:line="52" w:lineRule="exact"/>
        <w:rPr>
          <w:rFonts w:ascii="Arial" w:cs="Arial" w:eastAsia="Arial" w:hAnsi="Arial"/>
          <w:sz w:val="16"/>
          <w:szCs w:val="16"/>
          <w:color w:val="auto"/>
        </w:rPr>
      </w:pPr>
    </w:p>
    <w:p>
      <w:pPr>
        <w:ind w:left="1620" w:right="999" w:hanging="170"/>
        <w:spacing w:after="0" w:line="28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applicable, the date on and after which the warrants and the securities purchasable upon exercise of the warrants will be separately transferable;</w:t>
      </w:r>
    </w:p>
    <w:p>
      <w:pPr>
        <w:spacing w:after="0" w:line="40" w:lineRule="exact"/>
        <w:rPr>
          <w:rFonts w:ascii="Arial" w:cs="Arial" w:eastAsia="Arial" w:hAnsi="Arial"/>
          <w:sz w:val="16"/>
          <w:szCs w:val="16"/>
          <w:color w:val="auto"/>
        </w:rPr>
      </w:pPr>
    </w:p>
    <w:p>
      <w:pPr>
        <w:ind w:left="1620" w:right="939" w:hanging="170"/>
        <w:spacing w:after="0" w:line="28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discussion of any material U.S. federal income tax considerations applicable to the exercise of the warrants;</w:t>
      </w:r>
    </w:p>
    <w:p>
      <w:pPr>
        <w:spacing w:after="0" w:line="52" w:lineRule="exact"/>
        <w:rPr>
          <w:rFonts w:ascii="Arial" w:cs="Arial" w:eastAsia="Arial" w:hAnsi="Arial"/>
          <w:sz w:val="16"/>
          <w:szCs w:val="16"/>
          <w:color w:val="auto"/>
        </w:rPr>
      </w:pPr>
    </w:p>
    <w:p>
      <w:pPr>
        <w:ind w:left="1620" w:right="979" w:hanging="170"/>
        <w:spacing w:after="0" w:line="28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will commence, and the date on which the right will expire;</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maximum or minimum number of warrants that may be exercised at any time;</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information with respect to book-entry procedures, if any; and</w:t>
      </w:r>
    </w:p>
    <w:p>
      <w:pPr>
        <w:spacing w:after="0" w:line="95" w:lineRule="exact"/>
        <w:rPr>
          <w:rFonts w:ascii="Arial" w:cs="Arial" w:eastAsia="Arial" w:hAnsi="Arial"/>
          <w:sz w:val="16"/>
          <w:szCs w:val="16"/>
          <w:color w:val="auto"/>
        </w:rPr>
      </w:pPr>
    </w:p>
    <w:p>
      <w:pPr>
        <w:ind w:left="1620" w:right="839" w:hanging="170"/>
        <w:spacing w:after="0" w:line="283"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Exercise of Warrants</w:t>
      </w:r>
    </w:p>
    <w:p>
      <w:pPr>
        <w:spacing w:after="0" w:line="148" w:lineRule="exact"/>
        <w:rPr>
          <w:sz w:val="20"/>
          <w:szCs w:val="20"/>
          <w:color w:val="auto"/>
        </w:rPr>
      </w:pPr>
    </w:p>
    <w:p>
      <w:pPr>
        <w:ind w:left="1120" w:right="839" w:firstLine="324"/>
        <w:spacing w:after="0" w:line="258" w:lineRule="auto"/>
        <w:rPr>
          <w:sz w:val="20"/>
          <w:szCs w:val="20"/>
          <w:color w:val="auto"/>
        </w:rPr>
      </w:pPr>
      <w:r>
        <w:rPr>
          <w:rFonts w:ascii="Arial" w:cs="Arial" w:eastAsia="Arial" w:hAnsi="Arial"/>
          <w:sz w:val="15"/>
          <w:szCs w:val="15"/>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102" w:lineRule="exact"/>
        <w:rPr>
          <w:sz w:val="20"/>
          <w:szCs w:val="20"/>
          <w:color w:val="auto"/>
        </w:rPr>
      </w:pPr>
    </w:p>
    <w:p>
      <w:pPr>
        <w:ind w:left="1120" w:right="859" w:firstLine="324"/>
        <w:spacing w:after="0" w:line="263" w:lineRule="auto"/>
        <w:rPr>
          <w:sz w:val="20"/>
          <w:szCs w:val="20"/>
          <w:color w:val="auto"/>
        </w:rPr>
      </w:pPr>
      <w:r>
        <w:rPr>
          <w:rFonts w:ascii="Arial" w:cs="Arial" w:eastAsia="Arial" w:hAnsi="Arial"/>
          <w:sz w:val="15"/>
          <w:szCs w:val="15"/>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in this prospectus. We urge you to read the applicable warrant certificate, the applicable warrant agreement, and any applicable prospectus supplement in their entirety.</w:t>
      </w:r>
    </w:p>
    <w:p>
      <w:pPr>
        <w:spacing w:after="0" w:line="31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1" w:name="page22"/>
    <w:bookmarkEnd w:id="2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PLAN OF DISTRIBUTION</w:t>
      </w:r>
    </w:p>
    <w:p>
      <w:pPr>
        <w:spacing w:after="0" w:line="136" w:lineRule="exact"/>
        <w:rPr>
          <w:sz w:val="20"/>
          <w:szCs w:val="20"/>
          <w:color w:val="auto"/>
        </w:rPr>
      </w:pPr>
    </w:p>
    <w:p>
      <w:pPr>
        <w:ind w:left="1120" w:right="1139" w:firstLine="324"/>
        <w:spacing w:after="0" w:line="267" w:lineRule="auto"/>
        <w:rPr>
          <w:sz w:val="20"/>
          <w:szCs w:val="20"/>
          <w:color w:val="auto"/>
        </w:rPr>
      </w:pPr>
      <w:r>
        <w:rPr>
          <w:rFonts w:ascii="Arial" w:cs="Arial" w:eastAsia="Arial" w:hAnsi="Arial"/>
          <w:sz w:val="16"/>
          <w:szCs w:val="16"/>
          <w:color w:val="auto"/>
        </w:rPr>
        <w:t>We may sell the securities offered by this prospectus from time to time in one or more transactions, including without limitation:</w:t>
      </w:r>
    </w:p>
    <w:p>
      <w:pPr>
        <w:spacing w:after="0" w:line="53" w:lineRule="exact"/>
        <w:rPr>
          <w:sz w:val="20"/>
          <w:szCs w:val="20"/>
          <w:color w:val="auto"/>
        </w:rPr>
      </w:pPr>
    </w:p>
    <w:p>
      <w:pPr>
        <w:ind w:left="1620" w:hanging="170"/>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directly to one or more purchasers;</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through agents;</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or through underwriters, brokers, or dealers; or</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through a combination of any of these methods.</w:t>
      </w:r>
    </w:p>
    <w:p>
      <w:pPr>
        <w:spacing w:after="0" w:line="132" w:lineRule="exact"/>
        <w:rPr>
          <w:sz w:val="20"/>
          <w:szCs w:val="20"/>
          <w:color w:val="auto"/>
        </w:rPr>
      </w:pPr>
    </w:p>
    <w:p>
      <w:pPr>
        <w:jc w:val="both"/>
        <w:ind w:left="1120" w:right="879" w:firstLine="324"/>
        <w:spacing w:after="0" w:line="252" w:lineRule="auto"/>
        <w:rPr>
          <w:sz w:val="20"/>
          <w:szCs w:val="20"/>
          <w:color w:val="auto"/>
        </w:rPr>
      </w:pPr>
      <w:r>
        <w:rPr>
          <w:rFonts w:ascii="Arial" w:cs="Arial" w:eastAsia="Arial" w:hAnsi="Arial"/>
          <w:sz w:val="16"/>
          <w:szCs w:val="16"/>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02" w:lineRule="exact"/>
        <w:rPr>
          <w:sz w:val="20"/>
          <w:szCs w:val="20"/>
          <w:color w:val="auto"/>
        </w:rPr>
      </w:pPr>
    </w:p>
    <w:p>
      <w:pPr>
        <w:ind w:left="1120" w:right="1039" w:firstLine="324"/>
        <w:spacing w:after="0" w:line="267" w:lineRule="auto"/>
        <w:rPr>
          <w:sz w:val="20"/>
          <w:szCs w:val="20"/>
          <w:color w:val="auto"/>
        </w:rPr>
      </w:pPr>
      <w:r>
        <w:rPr>
          <w:rFonts w:ascii="Arial" w:cs="Arial" w:eastAsia="Arial" w:hAnsi="Arial"/>
          <w:sz w:val="16"/>
          <w:szCs w:val="16"/>
          <w:color w:val="auto"/>
        </w:rPr>
        <w:t>In addition, the manner in which we may sell some or all of the securities covered by this prospectus includes, without limitation:</w:t>
      </w:r>
    </w:p>
    <w:p>
      <w:pPr>
        <w:spacing w:after="0" w:line="53" w:lineRule="exact"/>
        <w:rPr>
          <w:sz w:val="20"/>
          <w:szCs w:val="20"/>
          <w:color w:val="auto"/>
        </w:rPr>
      </w:pPr>
    </w:p>
    <w:p>
      <w:pPr>
        <w:ind w:left="1620" w:right="1099" w:hanging="170"/>
        <w:spacing w:after="0" w:line="283"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 block trade in which a broker-dealer will attempt to sell as agent, but may position or resell a portion of the block, as principal, in order to facilitate the transaction;</w:t>
      </w:r>
    </w:p>
    <w:p>
      <w:pPr>
        <w:spacing w:after="0" w:line="40" w:lineRule="exact"/>
        <w:rPr>
          <w:rFonts w:ascii="Arial" w:cs="Arial" w:eastAsia="Arial" w:hAnsi="Arial"/>
          <w:sz w:val="16"/>
          <w:szCs w:val="16"/>
          <w:color w:val="auto"/>
        </w:rPr>
      </w:pPr>
    </w:p>
    <w:p>
      <w:pPr>
        <w:ind w:left="1620" w:hanging="170"/>
        <w:spacing w:after="0"/>
        <w:tabs>
          <w:tab w:leader="none" w:pos="1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through purchases by a broker-dealer, as principal, and resale by the broker-dealer for its account;</w:t>
      </w:r>
    </w:p>
    <w:p>
      <w:pPr>
        <w:spacing w:after="0" w:line="119" w:lineRule="exact"/>
        <w:rPr>
          <w:rFonts w:ascii="Arial" w:cs="Arial" w:eastAsia="Arial" w:hAnsi="Arial"/>
          <w:sz w:val="15"/>
          <w:szCs w:val="15"/>
          <w:color w:val="auto"/>
        </w:rPr>
      </w:pPr>
    </w:p>
    <w:p>
      <w:pPr>
        <w:ind w:left="1620" w:hanging="170"/>
        <w:spacing w:after="0"/>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ordinary brokerage transactions and transactions in which a broker solicits purchasers;</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exchange for outstanding indebtedness; or</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privately negotiated transactions.</w:t>
      </w:r>
    </w:p>
    <w:p>
      <w:pPr>
        <w:spacing w:after="0" w:line="14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We may also enter into hedging transactions. For example, we may:</w:t>
      </w:r>
    </w:p>
    <w:p>
      <w:pPr>
        <w:spacing w:after="0" w:line="96" w:lineRule="exact"/>
        <w:rPr>
          <w:sz w:val="20"/>
          <w:szCs w:val="20"/>
          <w:color w:val="auto"/>
        </w:rPr>
      </w:pPr>
    </w:p>
    <w:p>
      <w:pPr>
        <w:ind w:left="1620" w:right="859" w:hanging="170"/>
        <w:spacing w:after="0" w:line="263" w:lineRule="auto"/>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69" w:lineRule="exact"/>
        <w:rPr>
          <w:rFonts w:ascii="Arial" w:cs="Arial" w:eastAsia="Arial" w:hAnsi="Arial"/>
          <w:sz w:val="16"/>
          <w:szCs w:val="16"/>
          <w:color w:val="auto"/>
        </w:rPr>
      </w:pPr>
    </w:p>
    <w:p>
      <w:pPr>
        <w:ind w:left="1620" w:hanging="170"/>
        <w:spacing w:after="0"/>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 securities short and redeliver such shares to close out our short positions;</w:t>
      </w:r>
    </w:p>
    <w:p>
      <w:pPr>
        <w:spacing w:after="0" w:line="95" w:lineRule="exact"/>
        <w:rPr>
          <w:rFonts w:ascii="Arial" w:cs="Arial" w:eastAsia="Arial" w:hAnsi="Arial"/>
          <w:sz w:val="16"/>
          <w:szCs w:val="16"/>
          <w:color w:val="auto"/>
        </w:rPr>
      </w:pPr>
    </w:p>
    <w:p>
      <w:pPr>
        <w:ind w:left="1620" w:right="939" w:hanging="170"/>
        <w:spacing w:after="0" w:line="268" w:lineRule="auto"/>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to deliver Common Stock to a broker-dealer or an affiliate thereof, who will then resell or transfer the Common Stock under this prospectus; or</w:t>
      </w:r>
    </w:p>
    <w:p>
      <w:pPr>
        <w:spacing w:after="0" w:line="64" w:lineRule="exact"/>
        <w:rPr>
          <w:rFonts w:ascii="Arial" w:cs="Arial" w:eastAsia="Arial" w:hAnsi="Arial"/>
          <w:sz w:val="16"/>
          <w:szCs w:val="16"/>
          <w:color w:val="auto"/>
        </w:rPr>
      </w:pPr>
    </w:p>
    <w:p>
      <w:pPr>
        <w:ind w:left="1620" w:right="939" w:hanging="170"/>
        <w:spacing w:after="0" w:line="268" w:lineRule="auto"/>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loan or pledge the Common Stock to a broker-dealer or an affiliate thereof, who may sell the loaned shares or, in an event of default in the case of a pledge, sell the pledged shares pursuant to this prospectus.</w:t>
      </w:r>
    </w:p>
    <w:p>
      <w:pPr>
        <w:spacing w:after="0" w:line="101" w:lineRule="exact"/>
        <w:rPr>
          <w:sz w:val="20"/>
          <w:szCs w:val="20"/>
          <w:color w:val="auto"/>
        </w:rPr>
      </w:pPr>
    </w:p>
    <w:p>
      <w:pPr>
        <w:ind w:left="1120" w:right="819" w:firstLine="324"/>
        <w:spacing w:after="0" w:line="24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01" w:lineRule="exact"/>
        <w:rPr>
          <w:sz w:val="20"/>
          <w:szCs w:val="20"/>
          <w:color w:val="auto"/>
        </w:rPr>
      </w:pPr>
    </w:p>
    <w:p>
      <w:pPr>
        <w:ind w:left="1120" w:right="959" w:firstLine="324"/>
        <w:spacing w:after="0" w:line="267" w:lineRule="auto"/>
        <w:rPr>
          <w:sz w:val="20"/>
          <w:szCs w:val="20"/>
          <w:color w:val="auto"/>
        </w:rPr>
      </w:pPr>
      <w:r>
        <w:rPr>
          <w:rFonts w:ascii="Arial" w:cs="Arial" w:eastAsia="Arial" w:hAnsi="Arial"/>
          <w:sz w:val="16"/>
          <w:szCs w:val="16"/>
          <w:color w:val="auto"/>
        </w:rPr>
        <w:t>A prospectus supplement with respect to each offering of securities will state the terms of the offering of the securities, including:</w:t>
      </w:r>
    </w:p>
    <w:p>
      <w:pPr>
        <w:spacing w:after="0" w:line="53" w:lineRule="exact"/>
        <w:rPr>
          <w:sz w:val="20"/>
          <w:szCs w:val="20"/>
          <w:color w:val="auto"/>
        </w:rPr>
      </w:pPr>
    </w:p>
    <w:p>
      <w:pPr>
        <w:ind w:left="1620" w:right="1299" w:hanging="170"/>
        <w:spacing w:after="0" w:line="283" w:lineRule="auto"/>
        <w:tabs>
          <w:tab w:leader="none" w:pos="1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name or names of any underwriters or agents and the amounts of securities underwritten or purchased by each of them, if any;</w:t>
      </w:r>
    </w:p>
    <w:p>
      <w:pPr>
        <w:spacing w:after="0" w:line="52" w:lineRule="exact"/>
        <w:rPr>
          <w:rFonts w:ascii="Arial" w:cs="Arial" w:eastAsia="Arial" w:hAnsi="Arial"/>
          <w:sz w:val="16"/>
          <w:szCs w:val="16"/>
          <w:color w:val="auto"/>
        </w:rPr>
      </w:pPr>
    </w:p>
    <w:p>
      <w:pPr>
        <w:ind w:left="1620" w:right="899" w:hanging="170"/>
        <w:spacing w:after="0" w:line="283" w:lineRule="auto"/>
        <w:tabs>
          <w:tab w:leader="none" w:pos="1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public offering price or purchase price of the securities and the net proceeds to be received by us from the sale;</w:t>
      </w:r>
    </w:p>
    <w:p>
      <w:pPr>
        <w:spacing w:after="0" w:line="30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2" w:name="page23"/>
    <w:bookmarkEnd w:id="2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20" w:hanging="170"/>
        <w:spacing w:after="0"/>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delayed delivery arrangements;</w:t>
      </w:r>
    </w:p>
    <w:p>
      <w:pPr>
        <w:spacing w:after="0" w:line="95" w:lineRule="exact"/>
        <w:rPr>
          <w:rFonts w:ascii="Arial" w:cs="Arial" w:eastAsia="Arial" w:hAnsi="Arial"/>
          <w:sz w:val="16"/>
          <w:szCs w:val="16"/>
          <w:color w:val="auto"/>
        </w:rPr>
      </w:pPr>
    </w:p>
    <w:p>
      <w:pPr>
        <w:ind w:left="1620" w:right="1239" w:hanging="170"/>
        <w:spacing w:after="0" w:line="283" w:lineRule="auto"/>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underwriting discounts or agency fees and other items constituting underwriters’ or agents’ compensation;</w:t>
      </w:r>
    </w:p>
    <w:p>
      <w:pPr>
        <w:spacing w:after="0" w:line="52" w:lineRule="exact"/>
        <w:rPr>
          <w:rFonts w:ascii="Arial" w:cs="Arial" w:eastAsia="Arial" w:hAnsi="Arial"/>
          <w:sz w:val="16"/>
          <w:szCs w:val="16"/>
          <w:color w:val="auto"/>
        </w:rPr>
      </w:pPr>
    </w:p>
    <w:p>
      <w:pPr>
        <w:ind w:left="1620" w:hanging="170"/>
        <w:spacing w:after="0"/>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securities exchange or markets on which the securities may be listed.</w:t>
      </w:r>
    </w:p>
    <w:p>
      <w:pPr>
        <w:spacing w:after="0" w:line="144" w:lineRule="exact"/>
        <w:rPr>
          <w:sz w:val="20"/>
          <w:szCs w:val="20"/>
          <w:color w:val="auto"/>
        </w:rPr>
      </w:pPr>
    </w:p>
    <w:p>
      <w:pPr>
        <w:ind w:left="1120" w:right="979" w:firstLine="324"/>
        <w:spacing w:after="0" w:line="252" w:lineRule="auto"/>
        <w:rPr>
          <w:sz w:val="20"/>
          <w:szCs w:val="20"/>
          <w:color w:val="auto"/>
        </w:rPr>
      </w:pPr>
      <w:r>
        <w:rPr>
          <w:rFonts w:ascii="Arial" w:cs="Arial" w:eastAsia="Arial" w:hAnsi="Arial"/>
          <w:sz w:val="16"/>
          <w:szCs w:val="16"/>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65" w:lineRule="exact"/>
        <w:rPr>
          <w:sz w:val="20"/>
          <w:szCs w:val="20"/>
          <w:color w:val="auto"/>
        </w:rPr>
      </w:pPr>
    </w:p>
    <w:p>
      <w:pPr>
        <w:ind w:left="1620" w:hanging="170"/>
        <w:spacing w:after="0"/>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a fixed price or prices, which may be changed;</w:t>
      </w:r>
    </w:p>
    <w:p>
      <w:pPr>
        <w:spacing w:after="0" w:line="95" w:lineRule="exact"/>
        <w:rPr>
          <w:rFonts w:ascii="Arial" w:cs="Arial" w:eastAsia="Arial" w:hAnsi="Arial"/>
          <w:sz w:val="16"/>
          <w:szCs w:val="16"/>
          <w:color w:val="auto"/>
        </w:rPr>
      </w:pPr>
    </w:p>
    <w:p>
      <w:pPr>
        <w:ind w:left="1620" w:hanging="170"/>
        <w:spacing w:after="0"/>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market prices prevailing at the time of sale;</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prices related to the prevailing market prices; or</w:t>
      </w:r>
    </w:p>
    <w:p>
      <w:pPr>
        <w:spacing w:after="0" w:line="107" w:lineRule="exact"/>
        <w:rPr>
          <w:rFonts w:ascii="Arial" w:cs="Arial" w:eastAsia="Arial" w:hAnsi="Arial"/>
          <w:sz w:val="16"/>
          <w:szCs w:val="16"/>
          <w:color w:val="auto"/>
        </w:rPr>
      </w:pPr>
    </w:p>
    <w:p>
      <w:pPr>
        <w:ind w:left="1620" w:hanging="170"/>
        <w:spacing w:after="0"/>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negotiated prices.</w:t>
      </w: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Underwriters and Agents</w:t>
      </w:r>
    </w:p>
    <w:p>
      <w:pPr>
        <w:spacing w:after="0" w:line="148" w:lineRule="exact"/>
        <w:rPr>
          <w:sz w:val="20"/>
          <w:szCs w:val="20"/>
          <w:color w:val="auto"/>
        </w:rPr>
      </w:pPr>
    </w:p>
    <w:p>
      <w:pPr>
        <w:ind w:left="1120" w:right="859" w:firstLine="324"/>
        <w:spacing w:after="0" w:line="257" w:lineRule="auto"/>
        <w:rPr>
          <w:sz w:val="20"/>
          <w:szCs w:val="20"/>
          <w:color w:val="auto"/>
        </w:rPr>
      </w:pPr>
      <w:r>
        <w:rPr>
          <w:rFonts w:ascii="Arial" w:cs="Arial" w:eastAsia="Arial" w:hAnsi="Arial"/>
          <w:sz w:val="15"/>
          <w:szCs w:val="15"/>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of 1933, as amended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01" w:lineRule="exact"/>
        <w:rPr>
          <w:sz w:val="20"/>
          <w:szCs w:val="20"/>
          <w:color w:val="auto"/>
        </w:rPr>
      </w:pPr>
    </w:p>
    <w:p>
      <w:pPr>
        <w:ind w:left="1120" w:right="819" w:firstLine="324"/>
        <w:spacing w:after="0" w:line="242" w:lineRule="auto"/>
        <w:rPr>
          <w:sz w:val="20"/>
          <w:szCs w:val="20"/>
          <w:color w:val="auto"/>
        </w:rPr>
      </w:pPr>
      <w:r>
        <w:rPr>
          <w:rFonts w:ascii="Arial" w:cs="Arial" w:eastAsia="Arial" w:hAnsi="Arial"/>
          <w:sz w:val="16"/>
          <w:szCs w:val="16"/>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100" w:lineRule="exact"/>
        <w:rPr>
          <w:sz w:val="20"/>
          <w:szCs w:val="20"/>
          <w:color w:val="auto"/>
        </w:rPr>
      </w:pPr>
    </w:p>
    <w:p>
      <w:pPr>
        <w:ind w:left="1120" w:right="839" w:firstLine="324"/>
        <w:spacing w:after="0" w:line="261" w:lineRule="auto"/>
        <w:rPr>
          <w:sz w:val="20"/>
          <w:szCs w:val="20"/>
          <w:color w:val="auto"/>
        </w:rPr>
      </w:pPr>
      <w:r>
        <w:rPr>
          <w:rFonts w:ascii="Arial" w:cs="Arial" w:eastAsia="Arial" w:hAnsi="Arial"/>
          <w:sz w:val="15"/>
          <w:szCs w:val="15"/>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98" w:lineRule="exact"/>
        <w:rPr>
          <w:sz w:val="20"/>
          <w:szCs w:val="20"/>
          <w:color w:val="auto"/>
        </w:rPr>
      </w:pPr>
    </w:p>
    <w:p>
      <w:pPr>
        <w:ind w:left="1120" w:right="879" w:firstLine="324"/>
        <w:spacing w:after="0" w:line="263" w:lineRule="auto"/>
        <w:rPr>
          <w:sz w:val="20"/>
          <w:szCs w:val="20"/>
          <w:color w:val="auto"/>
        </w:rPr>
      </w:pPr>
      <w:r>
        <w:rPr>
          <w:rFonts w:ascii="Arial" w:cs="Arial" w:eastAsia="Arial" w:hAnsi="Arial"/>
          <w:sz w:val="15"/>
          <w:szCs w:val="15"/>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31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3" w:name="page24"/>
    <w:bookmarkEnd w:id="23"/>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Dealers</w:t>
      </w:r>
    </w:p>
    <w:p>
      <w:pPr>
        <w:spacing w:after="0" w:line="136" w:lineRule="exact"/>
        <w:rPr>
          <w:sz w:val="20"/>
          <w:szCs w:val="20"/>
          <w:color w:val="auto"/>
        </w:rPr>
      </w:pPr>
    </w:p>
    <w:p>
      <w:pPr>
        <w:ind w:left="1120" w:right="859" w:firstLine="324"/>
        <w:spacing w:after="0" w:line="247" w:lineRule="auto"/>
        <w:rPr>
          <w:sz w:val="20"/>
          <w:szCs w:val="20"/>
          <w:color w:val="auto"/>
        </w:rPr>
      </w:pPr>
      <w:r>
        <w:rPr>
          <w:rFonts w:ascii="Arial" w:cs="Arial" w:eastAsia="Arial" w:hAnsi="Arial"/>
          <w:sz w:val="16"/>
          <w:szCs w:val="16"/>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Direct Sales</w:t>
      </w:r>
    </w:p>
    <w:p>
      <w:pPr>
        <w:spacing w:after="0" w:line="148" w:lineRule="exact"/>
        <w:rPr>
          <w:sz w:val="20"/>
          <w:szCs w:val="20"/>
          <w:color w:val="auto"/>
        </w:rPr>
      </w:pPr>
    </w:p>
    <w:p>
      <w:pPr>
        <w:ind w:left="1120" w:right="999" w:firstLine="324"/>
        <w:spacing w:after="0" w:line="267" w:lineRule="auto"/>
        <w:rPr>
          <w:sz w:val="20"/>
          <w:szCs w:val="20"/>
          <w:color w:val="auto"/>
        </w:rPr>
      </w:pPr>
      <w:r>
        <w:rPr>
          <w:rFonts w:ascii="Arial" w:cs="Arial" w:eastAsia="Arial" w:hAnsi="Arial"/>
          <w:sz w:val="16"/>
          <w:szCs w:val="16"/>
          <w:color w:val="auto"/>
        </w:rPr>
        <w:t>We may choose to sell the offered securities directly. In this case, no underwriters or agents would be involved.</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Institutional Purchasers</w:t>
      </w:r>
    </w:p>
    <w:p>
      <w:pPr>
        <w:spacing w:after="0" w:line="148" w:lineRule="exact"/>
        <w:rPr>
          <w:sz w:val="20"/>
          <w:szCs w:val="20"/>
          <w:color w:val="auto"/>
        </w:rPr>
      </w:pPr>
    </w:p>
    <w:p>
      <w:pPr>
        <w:jc w:val="both"/>
        <w:ind w:left="1120" w:right="899" w:firstLine="324"/>
        <w:spacing w:after="0" w:line="245" w:lineRule="auto"/>
        <w:rPr>
          <w:sz w:val="20"/>
          <w:szCs w:val="20"/>
          <w:color w:val="auto"/>
        </w:rPr>
      </w:pPr>
      <w:r>
        <w:rPr>
          <w:rFonts w:ascii="Arial" w:cs="Arial" w:eastAsia="Arial" w:hAnsi="Arial"/>
          <w:sz w:val="16"/>
          <w:szCs w:val="16"/>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95" w:lineRule="exact"/>
        <w:rPr>
          <w:sz w:val="20"/>
          <w:szCs w:val="20"/>
          <w:color w:val="auto"/>
        </w:rPr>
      </w:pPr>
    </w:p>
    <w:p>
      <w:pPr>
        <w:jc w:val="both"/>
        <w:ind w:left="1120" w:right="1079" w:firstLine="324"/>
        <w:spacing w:after="0" w:line="252"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Indemnification; Other Relationships</w:t>
      </w:r>
    </w:p>
    <w:p>
      <w:pPr>
        <w:spacing w:after="0" w:line="148" w:lineRule="exact"/>
        <w:rPr>
          <w:sz w:val="20"/>
          <w:szCs w:val="20"/>
          <w:color w:val="auto"/>
        </w:rPr>
      </w:pPr>
    </w:p>
    <w:p>
      <w:pPr>
        <w:ind w:left="1120" w:right="939" w:firstLine="324"/>
        <w:spacing w:after="0" w:line="269" w:lineRule="auto"/>
        <w:rPr>
          <w:sz w:val="20"/>
          <w:szCs w:val="20"/>
          <w:color w:val="auto"/>
        </w:rPr>
      </w:pPr>
      <w:r>
        <w:rPr>
          <w:rFonts w:ascii="Arial" w:cs="Arial" w:eastAsia="Arial" w:hAnsi="Arial"/>
          <w:sz w:val="15"/>
          <w:szCs w:val="15"/>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Market-Making, Stabilization and Other Transactions</w:t>
      </w:r>
    </w:p>
    <w:p>
      <w:pPr>
        <w:spacing w:after="0" w:line="148" w:lineRule="exact"/>
        <w:rPr>
          <w:sz w:val="20"/>
          <w:szCs w:val="20"/>
          <w:color w:val="auto"/>
        </w:rPr>
      </w:pPr>
    </w:p>
    <w:p>
      <w:pPr>
        <w:ind w:left="1120" w:right="899" w:firstLine="324"/>
        <w:spacing w:after="0" w:line="259" w:lineRule="auto"/>
        <w:rPr>
          <w:sz w:val="20"/>
          <w:szCs w:val="20"/>
          <w:color w:val="auto"/>
        </w:rPr>
      </w:pPr>
      <w:r>
        <w:rPr>
          <w:rFonts w:ascii="Arial" w:cs="Arial" w:eastAsia="Arial" w:hAnsi="Arial"/>
          <w:sz w:val="15"/>
          <w:szCs w:val="15"/>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pricing supplement, as the case may be.</w:t>
      </w:r>
    </w:p>
    <w:p>
      <w:pPr>
        <w:spacing w:after="0" w:line="85" w:lineRule="exact"/>
        <w:rPr>
          <w:sz w:val="20"/>
          <w:szCs w:val="20"/>
          <w:color w:val="auto"/>
        </w:rPr>
      </w:pPr>
    </w:p>
    <w:p>
      <w:pPr>
        <w:ind w:left="1120" w:right="839" w:firstLine="324"/>
        <w:spacing w:after="0" w:line="256"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w:t>
      </w:r>
    </w:p>
    <w:p>
      <w:pPr>
        <w:spacing w:after="0" w:line="34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4" w:name="page25"/>
    <w:bookmarkEnd w:id="24"/>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120" w:right="1039"/>
        <w:spacing w:after="0" w:line="268" w:lineRule="auto"/>
        <w:rPr>
          <w:sz w:val="20"/>
          <w:szCs w:val="20"/>
          <w:color w:val="auto"/>
        </w:rPr>
      </w:pPr>
      <w:r>
        <w:rPr>
          <w:rFonts w:ascii="Arial" w:cs="Arial" w:eastAsia="Arial" w:hAnsi="Arial"/>
          <w:sz w:val="16"/>
          <w:szCs w:val="16"/>
          <w:color w:val="auto"/>
        </w:rPr>
        <w:t>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89" w:lineRule="exact"/>
        <w:rPr>
          <w:sz w:val="20"/>
          <w:szCs w:val="20"/>
          <w:color w:val="auto"/>
        </w:rPr>
      </w:pPr>
    </w:p>
    <w:p>
      <w:pPr>
        <w:ind w:left="1120" w:right="819" w:firstLine="324"/>
        <w:spacing w:after="0" w:line="259" w:lineRule="auto"/>
        <w:rPr>
          <w:sz w:val="20"/>
          <w:szCs w:val="20"/>
          <w:color w:val="auto"/>
        </w:rPr>
      </w:pPr>
      <w:r>
        <w:rPr>
          <w:rFonts w:ascii="Arial" w:cs="Arial" w:eastAsia="Arial" w:hAnsi="Arial"/>
          <w:sz w:val="16"/>
          <w:szCs w:val="16"/>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5" w:name="page26"/>
    <w:bookmarkEnd w:id="25"/>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LEGAL MATTERS</w:t>
      </w:r>
    </w:p>
    <w:p>
      <w:pPr>
        <w:spacing w:after="0" w:line="136" w:lineRule="exact"/>
        <w:rPr>
          <w:sz w:val="20"/>
          <w:szCs w:val="20"/>
          <w:color w:val="auto"/>
        </w:rPr>
      </w:pPr>
    </w:p>
    <w:p>
      <w:pPr>
        <w:ind w:left="1120" w:right="919" w:firstLine="324"/>
        <w:spacing w:after="0" w:line="261"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6" w:name="page27"/>
    <w:bookmarkEnd w:id="26"/>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EXPERTS</w:t>
      </w:r>
    </w:p>
    <w:p>
      <w:pPr>
        <w:spacing w:after="0" w:line="136" w:lineRule="exact"/>
        <w:rPr>
          <w:sz w:val="20"/>
          <w:szCs w:val="20"/>
          <w:color w:val="auto"/>
        </w:rPr>
      </w:pPr>
    </w:p>
    <w:p>
      <w:pPr>
        <w:ind w:left="1120" w:right="1039" w:firstLine="324"/>
        <w:spacing w:after="0" w:line="259"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and management’s assessment of the effectiveness of internal control over financial reporting (which is included in Management’s Report on Internal Control over Financial </w:t>
      </w:r>
      <w:hyperlink r:id="rId44">
        <w:r>
          <w:rPr>
            <w:rFonts w:ascii="Arial" w:cs="Arial" w:eastAsia="Arial" w:hAnsi="Arial"/>
            <w:sz w:val="16"/>
            <w:szCs w:val="16"/>
            <w:color w:val="auto"/>
          </w:rPr>
          <w:t xml:space="preserve">Reporting) incorporated in this prospectus by reference to the </w:t>
        </w:r>
        <w:r>
          <w:rPr>
            <w:rFonts w:ascii="Arial" w:cs="Arial" w:eastAsia="Arial" w:hAnsi="Arial"/>
            <w:sz w:val="16"/>
            <w:szCs w:val="16"/>
            <w:u w:val="single" w:color="auto"/>
            <w:color w:val="0000EE"/>
          </w:rPr>
          <w:t>Annual Report on Form 10-K for the year</w:t>
        </w:r>
      </w:hyperlink>
      <w:r>
        <w:rPr>
          <w:rFonts w:ascii="Arial" w:cs="Arial" w:eastAsia="Arial" w:hAnsi="Arial"/>
          <w:sz w:val="16"/>
          <w:szCs w:val="16"/>
          <w:color w:val="auto"/>
        </w:rPr>
        <w:t xml:space="preserve"> </w:t>
      </w:r>
      <w:hyperlink r:id="rId44">
        <w:r>
          <w:rPr>
            <w:rFonts w:ascii="Arial" w:cs="Arial" w:eastAsia="Arial" w:hAnsi="Arial"/>
            <w:sz w:val="16"/>
            <w:szCs w:val="16"/>
            <w:u w:val="single" w:color="auto"/>
            <w:color w:val="0000EE"/>
          </w:rPr>
          <w:t>ended December 31, 2020</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w:t>
        </w:r>
      </w:hyperlink>
      <w:r>
        <w:rPr>
          <w:rFonts w:ascii="Arial" w:cs="Arial" w:eastAsia="Arial" w:hAnsi="Arial"/>
          <w:sz w:val="16"/>
          <w:szCs w:val="16"/>
          <w:color w:val="0000EE"/>
        </w:rPr>
        <w:t xml:space="preserve"> </w:t>
      </w:r>
      <w:r>
        <w:rPr>
          <w:rFonts w:ascii="Arial" w:cs="Arial" w:eastAsia="Arial" w:hAnsi="Arial"/>
          <w:sz w:val="16"/>
          <w:szCs w:val="16"/>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7" w:name="page28"/>
    <w:bookmarkEnd w:id="27"/>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WHERE YOU CAN FIND MORE INFORMATION</w:t>
      </w:r>
    </w:p>
    <w:p>
      <w:pPr>
        <w:spacing w:after="0" w:line="136" w:lineRule="exact"/>
        <w:rPr>
          <w:sz w:val="20"/>
          <w:szCs w:val="20"/>
          <w:color w:val="auto"/>
        </w:rPr>
      </w:pPr>
    </w:p>
    <w:p>
      <w:pPr>
        <w:ind w:left="1120" w:right="959" w:firstLine="324"/>
        <w:spacing w:after="0" w:line="278" w:lineRule="auto"/>
        <w:rPr>
          <w:sz w:val="20"/>
          <w:szCs w:val="20"/>
          <w:color w:val="auto"/>
        </w:rPr>
      </w:pPr>
      <w:r>
        <w:rPr>
          <w:rFonts w:ascii="Arial" w:cs="Arial" w:eastAsia="Arial" w:hAnsi="Arial"/>
          <w:sz w:val="15"/>
          <w:szCs w:val="15"/>
          <w:color w:val="auto"/>
        </w:rPr>
        <w:t>We are subject to the reporting requirements of the Exchange Act, under which we file annual, quarterly, and current reports, proxy statements, and other information with the SEC. We make available through our website at http://www.regeneron.com our Annual Report on Form 10-K, Quarterly Reports on Form 10-Q, Current Reports on Form 8-K, and all amendments to those reports as soon as reasonably practicable after such material is electronically filed or furnished to the SEC. The information provided on our website is not part of this prospectus and, therefore, is not incorporated herein by reference. Our SEC filings are also available to the public on the SEC’s website at www.sec.gov.</w:t>
      </w:r>
    </w:p>
    <w:p>
      <w:pPr>
        <w:spacing w:after="0" w:line="98" w:lineRule="exact"/>
        <w:rPr>
          <w:sz w:val="20"/>
          <w:szCs w:val="20"/>
          <w:color w:val="auto"/>
        </w:rPr>
      </w:pPr>
    </w:p>
    <w:p>
      <w:pPr>
        <w:ind w:left="1120" w:right="819" w:firstLine="324"/>
        <w:spacing w:after="0" w:line="257" w:lineRule="auto"/>
        <w:rPr>
          <w:sz w:val="20"/>
          <w:szCs w:val="20"/>
          <w:color w:val="auto"/>
        </w:rPr>
      </w:pPr>
      <w:r>
        <w:rPr>
          <w:rFonts w:ascii="Arial" w:cs="Arial" w:eastAsia="Arial" w:hAnsi="Arial"/>
          <w:sz w:val="16"/>
          <w:szCs w:val="16"/>
          <w:color w:val="auto"/>
        </w:rPr>
        <w:t>The SEC allows us to “incorporate by reference” into this prospectus and any accompanying prospectus supplement the information we file with them, which means that we can disclose important information to you by referring you to those documents.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(except as specifically set forth below, other than information that we have furnished on Form 8-K, which information is expressly not incorporated by reference herein):</w:t>
      </w:r>
    </w:p>
    <w:p>
      <w:pPr>
        <w:spacing w:after="0" w:line="76" w:lineRule="exact"/>
        <w:rPr>
          <w:sz w:val="20"/>
          <w:szCs w:val="20"/>
          <w:color w:val="auto"/>
        </w:rPr>
      </w:pPr>
    </w:p>
    <w:p>
      <w:pPr>
        <w:ind w:left="1620" w:right="899" w:hanging="170"/>
        <w:spacing w:after="0" w:line="283" w:lineRule="auto"/>
        <w:tabs>
          <w:tab w:leader="none" w:pos="1620" w:val="left"/>
        </w:tabs>
        <w:numPr>
          <w:ilvl w:val="0"/>
          <w:numId w:val="21"/>
        </w:numPr>
        <w:rPr>
          <w:rFonts w:ascii="Arial" w:cs="Arial" w:eastAsia="Arial" w:hAnsi="Arial"/>
          <w:sz w:val="16"/>
          <w:szCs w:val="16"/>
          <w:u w:val="single" w:color="auto"/>
          <w:color w:val="0000EE"/>
        </w:rPr>
      </w:pPr>
      <w:hyperlink r:id="rId44">
        <w:r>
          <w:rPr>
            <w:rFonts w:ascii="Arial" w:cs="Arial" w:eastAsia="Arial" w:hAnsi="Arial"/>
            <w:sz w:val="16"/>
            <w:szCs w:val="16"/>
            <w:u w:val="single" w:color="auto"/>
            <w:color w:val="0000EE"/>
          </w:rPr>
          <w:t>Our Annual Report on Form 10-K for the fiscal year ended December 31, 2020, filed on February 8,</w:t>
        </w:r>
      </w:hyperlink>
      <w:r>
        <w:rPr>
          <w:rFonts w:ascii="Arial" w:cs="Arial" w:eastAsia="Arial" w:hAnsi="Arial"/>
          <w:sz w:val="16"/>
          <w:szCs w:val="16"/>
          <w:u w:val="single" w:color="auto"/>
          <w:color w:val="0000EE"/>
        </w:rPr>
        <w:t xml:space="preserve"> </w:t>
      </w:r>
      <w:hyperlink r:id="rId44">
        <w:r>
          <w:rPr>
            <w:rFonts w:ascii="Arial" w:cs="Arial" w:eastAsia="Arial" w:hAnsi="Arial"/>
            <w:sz w:val="16"/>
            <w:szCs w:val="16"/>
            <w:u w:val="single" w:color="auto"/>
            <w:color w:val="0000EE"/>
          </w:rPr>
          <w:t>2021.</w:t>
        </w:r>
      </w:hyperlink>
    </w:p>
    <w:p>
      <w:pPr>
        <w:spacing w:after="0" w:line="52" w:lineRule="exact"/>
        <w:rPr>
          <w:rFonts w:ascii="Arial" w:cs="Arial" w:eastAsia="Arial" w:hAnsi="Arial"/>
          <w:sz w:val="16"/>
          <w:szCs w:val="16"/>
          <w:u w:val="single" w:color="auto"/>
          <w:color w:val="0000EE"/>
        </w:rPr>
      </w:pPr>
    </w:p>
    <w:p>
      <w:pPr>
        <w:ind w:left="1620" w:right="939" w:hanging="170"/>
        <w:spacing w:after="0" w:line="268" w:lineRule="auto"/>
        <w:tabs>
          <w:tab w:leader="none" w:pos="1620" w:val="left"/>
        </w:tabs>
        <w:numPr>
          <w:ilvl w:val="0"/>
          <w:numId w:val="21"/>
        </w:numPr>
        <w:rPr>
          <w:rFonts w:ascii="Arial" w:cs="Arial" w:eastAsia="Arial" w:hAnsi="Arial"/>
          <w:sz w:val="16"/>
          <w:szCs w:val="16"/>
          <w:u w:val="single" w:color="auto"/>
          <w:color w:val="0000EE"/>
        </w:rPr>
      </w:pPr>
      <w:r>
        <w:rPr>
          <w:rFonts w:ascii="Arial" w:cs="Arial" w:eastAsia="Arial" w:hAnsi="Arial"/>
          <w:sz w:val="16"/>
          <w:szCs w:val="16"/>
          <w:color w:val="auto"/>
        </w:rPr>
        <w:t xml:space="preserve">Portions of our </w:t>
      </w:r>
      <w:hyperlink r:id="rId46">
        <w:r>
          <w:rPr>
            <w:rFonts w:ascii="Arial" w:cs="Arial" w:eastAsia="Arial" w:hAnsi="Arial"/>
            <w:sz w:val="16"/>
            <w:szCs w:val="16"/>
            <w:u w:val="single" w:color="auto"/>
            <w:color w:val="0000EE"/>
          </w:rPr>
          <w:t>Definitive Proxy Statement on Schedule 14A filed on April 23, 2021</w:t>
        </w:r>
      </w:hyperlink>
      <w:r>
        <w:rPr>
          <w:rFonts w:ascii="Arial" w:cs="Arial" w:eastAsia="Arial" w:hAnsi="Arial"/>
          <w:sz w:val="16"/>
          <w:szCs w:val="16"/>
          <w:color w:val="auto"/>
        </w:rPr>
        <w:t xml:space="preserve">, as </w:t>
      </w:r>
      <w:hyperlink r:id="rId44">
        <w:r>
          <w:rPr>
            <w:rFonts w:ascii="Arial" w:cs="Arial" w:eastAsia="Arial" w:hAnsi="Arial"/>
            <w:sz w:val="16"/>
            <w:szCs w:val="16"/>
            <w:color w:val="auto"/>
          </w:rPr>
          <w:t xml:space="preserve">supplemented on May 3, 2021, that are incorporated by reference into Part III of our </w:t>
        </w:r>
        <w:r>
          <w:rPr>
            <w:rFonts w:ascii="Arial" w:cs="Arial" w:eastAsia="Arial" w:hAnsi="Arial"/>
            <w:sz w:val="16"/>
            <w:szCs w:val="16"/>
            <w:u w:val="single" w:color="auto"/>
            <w:color w:val="0000EE"/>
          </w:rPr>
          <w:t>Annual Report</w:t>
        </w:r>
      </w:hyperlink>
      <w:r>
        <w:rPr>
          <w:rFonts w:ascii="Arial" w:cs="Arial" w:eastAsia="Arial" w:hAnsi="Arial"/>
          <w:sz w:val="16"/>
          <w:szCs w:val="16"/>
          <w:color w:val="auto"/>
        </w:rPr>
        <w:t xml:space="preserve"> </w:t>
      </w:r>
      <w:hyperlink r:id="rId44">
        <w:r>
          <w:rPr>
            <w:rFonts w:ascii="Arial" w:cs="Arial" w:eastAsia="Arial" w:hAnsi="Arial"/>
            <w:sz w:val="16"/>
            <w:szCs w:val="16"/>
            <w:u w:val="single" w:color="auto"/>
            <w:color w:val="0000EE"/>
          </w:rPr>
          <w:t>on Form 10-K for the fiscal year ended December 31, 2020, filed on February 8, 2021.</w:t>
        </w:r>
      </w:hyperlink>
    </w:p>
    <w:p>
      <w:pPr>
        <w:spacing w:after="0" w:line="64" w:lineRule="exact"/>
        <w:rPr>
          <w:rFonts w:ascii="Arial" w:cs="Arial" w:eastAsia="Arial" w:hAnsi="Arial"/>
          <w:sz w:val="16"/>
          <w:szCs w:val="16"/>
          <w:u w:val="single" w:color="auto"/>
          <w:color w:val="0000EE"/>
        </w:rPr>
      </w:pPr>
    </w:p>
    <w:p>
      <w:pPr>
        <w:ind w:left="1620" w:right="859" w:hanging="170"/>
        <w:spacing w:after="0" w:line="268" w:lineRule="auto"/>
        <w:tabs>
          <w:tab w:leader="none" w:pos="1620" w:val="left"/>
        </w:tabs>
        <w:numPr>
          <w:ilvl w:val="0"/>
          <w:numId w:val="21"/>
        </w:numPr>
        <w:rPr>
          <w:rFonts w:ascii="Arial" w:cs="Arial" w:eastAsia="Arial" w:hAnsi="Arial"/>
          <w:sz w:val="16"/>
          <w:szCs w:val="16"/>
          <w:color w:val="000000"/>
        </w:rPr>
      </w:pPr>
      <w:hyperlink r:id="rId47">
        <w:r>
          <w:rPr>
            <w:rFonts w:ascii="Arial" w:cs="Arial" w:eastAsia="Arial" w:hAnsi="Arial"/>
            <w:sz w:val="16"/>
            <w:szCs w:val="16"/>
            <w:color w:val="auto"/>
          </w:rPr>
          <w:t xml:space="preserve">Our Quarterly Reports on Form 10-Q for the quarterly period ended March 31, 2021, filed on </w:t>
        </w:r>
        <w:r>
          <w:rPr>
            <w:rFonts w:ascii="Arial" w:cs="Arial" w:eastAsia="Arial" w:hAnsi="Arial"/>
            <w:sz w:val="16"/>
            <w:szCs w:val="16"/>
            <w:u w:val="single" w:color="auto"/>
            <w:color w:val="0000EE"/>
          </w:rPr>
          <w:t>May 6,</w:t>
        </w:r>
      </w:hyperlink>
      <w:r>
        <w:rPr>
          <w:rFonts w:ascii="Arial" w:cs="Arial" w:eastAsia="Arial" w:hAnsi="Arial"/>
          <w:sz w:val="16"/>
          <w:szCs w:val="16"/>
          <w:color w:val="auto"/>
        </w:rPr>
        <w:t xml:space="preserve"> </w:t>
      </w:r>
      <w:hyperlink r:id="rId47">
        <w:r>
          <w:rPr>
            <w:rFonts w:ascii="Arial" w:cs="Arial" w:eastAsia="Arial" w:hAnsi="Arial"/>
            <w:sz w:val="16"/>
            <w:szCs w:val="16"/>
            <w:u w:val="single" w:color="auto"/>
            <w:color w:val="0000EE"/>
          </w:rPr>
          <w:t>2021</w:t>
        </w:r>
        <w:r>
          <w:rPr>
            <w:rFonts w:ascii="Arial" w:cs="Arial" w:eastAsia="Arial" w:hAnsi="Arial"/>
            <w:sz w:val="16"/>
            <w:szCs w:val="16"/>
            <w:color w:val="000000"/>
          </w:rPr>
          <w:t>; for the quarterly period ended June 30, 2021, filed on</w:t>
        </w:r>
        <w:r>
          <w:rPr>
            <w:rFonts w:ascii="Arial" w:cs="Arial" w:eastAsia="Arial" w:hAnsi="Arial"/>
            <w:sz w:val="16"/>
            <w:szCs w:val="16"/>
            <w:color w:val="0000EE"/>
          </w:rPr>
          <w:t xml:space="preserve"> </w:t>
        </w:r>
      </w:hyperlink>
      <w:hyperlink r:id="rId48">
        <w:r>
          <w:rPr>
            <w:rFonts w:ascii="Arial" w:cs="Arial" w:eastAsia="Arial" w:hAnsi="Arial"/>
            <w:sz w:val="16"/>
            <w:szCs w:val="16"/>
            <w:u w:val="single" w:color="auto"/>
            <w:color w:val="0000EE"/>
          </w:rPr>
          <w:t>August 5, 2021</w:t>
        </w:r>
      </w:hyperlink>
      <w:hyperlink r:id="rId47">
        <w:r>
          <w:rPr>
            <w:rFonts w:ascii="Arial" w:cs="Arial" w:eastAsia="Arial" w:hAnsi="Arial"/>
            <w:sz w:val="16"/>
            <w:szCs w:val="16"/>
            <w:color w:val="000000"/>
          </w:rPr>
          <w:t>; and for the quarterly</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period ended September 30, 2021, filed on </w:t>
      </w:r>
      <w:hyperlink r:id="rId49">
        <w:r>
          <w:rPr>
            <w:rFonts w:ascii="Arial" w:cs="Arial" w:eastAsia="Arial" w:hAnsi="Arial"/>
            <w:sz w:val="16"/>
            <w:szCs w:val="16"/>
            <w:u w:val="single" w:color="auto"/>
            <w:color w:val="0000EE"/>
          </w:rPr>
          <w:t>November 4, 2021.</w:t>
        </w:r>
      </w:hyperlink>
    </w:p>
    <w:p>
      <w:pPr>
        <w:spacing w:after="0" w:line="64" w:lineRule="exact"/>
        <w:rPr>
          <w:rFonts w:ascii="Arial" w:cs="Arial" w:eastAsia="Arial" w:hAnsi="Arial"/>
          <w:sz w:val="16"/>
          <w:szCs w:val="16"/>
          <w:color w:val="000000"/>
        </w:rPr>
      </w:pPr>
    </w:p>
    <w:p>
      <w:pPr>
        <w:ind w:left="1620" w:right="1139" w:hanging="170"/>
        <w:spacing w:after="0" w:line="283" w:lineRule="auto"/>
        <w:tabs>
          <w:tab w:leader="none" w:pos="1620" w:val="left"/>
        </w:tabs>
        <w:numPr>
          <w:ilvl w:val="0"/>
          <w:numId w:val="21"/>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on </w:t>
      </w:r>
      <w:hyperlink r:id="rId50">
        <w:r>
          <w:rPr>
            <w:rFonts w:ascii="Arial" w:cs="Arial" w:eastAsia="Arial" w:hAnsi="Arial"/>
            <w:sz w:val="16"/>
            <w:szCs w:val="16"/>
            <w:u w:val="single" w:color="auto"/>
            <w:color w:val="0000EE"/>
          </w:rPr>
          <w:t>January 5, 2021</w:t>
        </w:r>
      </w:hyperlink>
      <w:r>
        <w:rPr>
          <w:rFonts w:ascii="Arial" w:cs="Arial" w:eastAsia="Arial" w:hAnsi="Arial"/>
          <w:sz w:val="16"/>
          <w:szCs w:val="16"/>
          <w:color w:val="auto"/>
        </w:rPr>
        <w:t xml:space="preserve">, </w:t>
      </w:r>
      <w:hyperlink r:id="rId51">
        <w:r>
          <w:rPr>
            <w:rFonts w:ascii="Arial" w:cs="Arial" w:eastAsia="Arial" w:hAnsi="Arial"/>
            <w:sz w:val="16"/>
            <w:szCs w:val="16"/>
            <w:u w:val="single" w:color="auto"/>
            <w:color w:val="0000EE"/>
          </w:rPr>
          <w:t>January 15, 2021</w:t>
        </w:r>
      </w:hyperlink>
      <w:r>
        <w:rPr>
          <w:rFonts w:ascii="Arial" w:cs="Arial" w:eastAsia="Arial" w:hAnsi="Arial"/>
          <w:sz w:val="16"/>
          <w:szCs w:val="16"/>
          <w:color w:val="auto"/>
        </w:rPr>
        <w:t xml:space="preserve">, </w:t>
      </w:r>
      <w:hyperlink r:id="rId52">
        <w:r>
          <w:rPr>
            <w:rFonts w:ascii="Arial" w:cs="Arial" w:eastAsia="Arial" w:hAnsi="Arial"/>
            <w:sz w:val="16"/>
            <w:szCs w:val="16"/>
            <w:u w:val="single" w:color="auto"/>
            <w:color w:val="0000EE"/>
          </w:rPr>
          <w:t>June 16,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3">
        <w:r>
          <w:rPr>
            <w:rFonts w:ascii="Arial" w:cs="Arial" w:eastAsia="Arial" w:hAnsi="Arial"/>
            <w:sz w:val="16"/>
            <w:szCs w:val="16"/>
            <w:u w:val="single" w:color="auto"/>
            <w:color w:val="0000EE"/>
          </w:rPr>
          <w:t>September 16, 2021</w:t>
        </w:r>
      </w:hyperlink>
      <w:r>
        <w:rPr>
          <w:rFonts w:ascii="Arial" w:cs="Arial" w:eastAsia="Arial" w:hAnsi="Arial"/>
          <w:sz w:val="16"/>
          <w:szCs w:val="16"/>
          <w:color w:val="000000"/>
        </w:rPr>
        <w:t>.</w:t>
      </w:r>
    </w:p>
    <w:p>
      <w:pPr>
        <w:spacing w:after="0" w:line="52" w:lineRule="exact"/>
        <w:rPr>
          <w:rFonts w:ascii="Arial" w:cs="Arial" w:eastAsia="Arial" w:hAnsi="Arial"/>
          <w:sz w:val="16"/>
          <w:szCs w:val="16"/>
          <w:color w:val="0000EE"/>
        </w:rPr>
      </w:pPr>
    </w:p>
    <w:p>
      <w:pPr>
        <w:jc w:val="both"/>
        <w:ind w:left="1620" w:right="959" w:hanging="170"/>
        <w:spacing w:after="0" w:line="268" w:lineRule="auto"/>
        <w:tabs>
          <w:tab w:leader="none" w:pos="1620" w:val="left"/>
        </w:tabs>
        <w:numPr>
          <w:ilvl w:val="0"/>
          <w:numId w:val="21"/>
        </w:numPr>
        <w:rPr>
          <w:rFonts w:ascii="Arial" w:cs="Arial" w:eastAsia="Arial" w:hAnsi="Arial"/>
          <w:sz w:val="16"/>
          <w:szCs w:val="16"/>
          <w:u w:val="single" w:color="auto"/>
          <w:color w:val="0000EE"/>
        </w:rPr>
      </w:pPr>
      <w:hyperlink r:id="rId54">
        <w:r>
          <w:rPr>
            <w:rFonts w:ascii="Arial" w:cs="Arial" w:eastAsia="Arial" w:hAnsi="Arial"/>
            <w:sz w:val="16"/>
            <w:szCs w:val="16"/>
            <w:u w:val="single" w:color="auto"/>
            <w:color w:val="0000EE"/>
          </w:rPr>
          <w:t>The description of our Common Stock set forth in a Registration Statement on Form 8-A, including</w:t>
        </w:r>
      </w:hyperlink>
      <w:r>
        <w:rPr>
          <w:rFonts w:ascii="Arial" w:cs="Arial" w:eastAsia="Arial" w:hAnsi="Arial"/>
          <w:sz w:val="16"/>
          <w:szCs w:val="16"/>
          <w:u w:val="single" w:color="auto"/>
          <w:color w:val="0000EE"/>
        </w:rPr>
        <w:t xml:space="preserve"> </w:t>
      </w:r>
      <w:hyperlink r:id="rId54">
        <w:r>
          <w:rPr>
            <w:rFonts w:ascii="Arial" w:cs="Arial" w:eastAsia="Arial" w:hAnsi="Arial"/>
            <w:sz w:val="16"/>
            <w:szCs w:val="16"/>
            <w:u w:val="single" w:color="auto"/>
            <w:color w:val="0000EE"/>
          </w:rPr>
          <w:t>any amendment or report filed for the purpose of updating such description (filing date October 15,</w:t>
        </w:r>
      </w:hyperlink>
      <w:r>
        <w:rPr>
          <w:rFonts w:ascii="Arial" w:cs="Arial" w:eastAsia="Arial" w:hAnsi="Arial"/>
          <w:sz w:val="16"/>
          <w:szCs w:val="16"/>
          <w:u w:val="single" w:color="auto"/>
          <w:color w:val="0000EE"/>
        </w:rPr>
        <w:t xml:space="preserve"> </w:t>
      </w:r>
      <w:hyperlink r:id="rId54">
        <w:r>
          <w:rPr>
            <w:rFonts w:ascii="Arial" w:cs="Arial" w:eastAsia="Arial" w:hAnsi="Arial"/>
            <w:sz w:val="16"/>
            <w:szCs w:val="16"/>
            <w:u w:val="single" w:color="auto"/>
            <w:color w:val="0000EE"/>
          </w:rPr>
          <w:t>1996; Commission File No. 000-19034).</w:t>
        </w:r>
      </w:hyperlink>
    </w:p>
    <w:p>
      <w:pPr>
        <w:spacing w:after="0" w:line="101" w:lineRule="exact"/>
        <w:rPr>
          <w:rFonts w:ascii="Arial" w:cs="Arial" w:eastAsia="Arial" w:hAnsi="Arial"/>
          <w:sz w:val="16"/>
          <w:szCs w:val="16"/>
          <w:u w:val="single" w:color="auto"/>
          <w:color w:val="0000EE"/>
        </w:rPr>
      </w:pPr>
    </w:p>
    <w:p>
      <w:pPr>
        <w:ind w:left="1120" w:right="839" w:firstLine="324"/>
        <w:spacing w:after="0" w:line="257" w:lineRule="auto"/>
        <w:rPr>
          <w:sz w:val="20"/>
          <w:szCs w:val="20"/>
          <w:color w:val="auto"/>
        </w:rPr>
      </w:pPr>
      <w:r>
        <w:rPr>
          <w:rFonts w:ascii="Arial" w:cs="Arial" w:eastAsia="Arial" w:hAnsi="Arial"/>
          <w:sz w:val="16"/>
          <w:szCs w:val="16"/>
          <w:color w:val="auto"/>
        </w:rPr>
        <w:t>All documents that we file pursuant to Section 13(a), 13(c), 14, or 15(d) of the Exchange Act between the date of this prospectus and the date all of the securities offered hereby are sold or the offering is otherwise terminated shall be deemed to be incorporated by reference into this prospectus and to be a part of this prospectus from the respective dates of the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into this prospectus shall be deemed to be modified or superseded for purposes of this prospectus to the extent that a statement contained in this prospectus or in any other subsequently filed document which also is, or is deemed to be, incorporated by reference herein modifies or supersedes such statement.</w:t>
      </w:r>
    </w:p>
    <w:p>
      <w:pPr>
        <w:spacing w:after="0" w:line="98" w:lineRule="exact"/>
        <w:rPr>
          <w:rFonts w:ascii="Arial" w:cs="Arial" w:eastAsia="Arial" w:hAnsi="Arial"/>
          <w:sz w:val="16"/>
          <w:szCs w:val="16"/>
          <w:u w:val="single" w:color="auto"/>
          <w:color w:val="0000EE"/>
        </w:rPr>
      </w:pPr>
    </w:p>
    <w:p>
      <w:pPr>
        <w:ind w:left="1120" w:right="979" w:firstLine="324"/>
        <w:spacing w:after="0" w:line="268" w:lineRule="auto"/>
        <w:rPr>
          <w:sz w:val="20"/>
          <w:szCs w:val="20"/>
          <w:color w:val="auto"/>
        </w:rPr>
      </w:pPr>
      <w:r>
        <w:rPr>
          <w:rFonts w:ascii="Arial" w:cs="Arial" w:eastAsia="Arial" w:hAnsi="Arial"/>
          <w:sz w:val="16"/>
          <w:szCs w:val="16"/>
          <w:color w:val="auto"/>
        </w:rPr>
        <w:t>You may request a copy of any document we incorporate by reference, except exhibits to the documents (unless the exhibits are specifically incorporated by reference), at no cost, by writing or calling us at:</w:t>
      </w:r>
    </w:p>
    <w:p>
      <w:pPr>
        <w:spacing w:after="0" w:line="101" w:lineRule="exact"/>
        <w:rPr>
          <w:rFonts w:ascii="Arial" w:cs="Arial" w:eastAsia="Arial" w:hAnsi="Arial"/>
          <w:sz w:val="16"/>
          <w:szCs w:val="16"/>
          <w:u w:val="single" w:color="auto"/>
          <w:color w:val="0000EE"/>
        </w:rPr>
      </w:pPr>
    </w:p>
    <w:p>
      <w:pPr>
        <w:jc w:val="center"/>
        <w:ind w:right="-260"/>
        <w:spacing w:after="0"/>
        <w:rPr>
          <w:sz w:val="20"/>
          <w:szCs w:val="20"/>
          <w:color w:val="auto"/>
        </w:rPr>
      </w:pPr>
      <w:r>
        <w:rPr>
          <w:rFonts w:ascii="Arial" w:cs="Arial" w:eastAsia="Arial" w:hAnsi="Arial"/>
          <w:sz w:val="16"/>
          <w:szCs w:val="16"/>
          <w:color w:val="auto"/>
        </w:rPr>
        <w:t>Investor Relations Department</w:t>
      </w:r>
    </w:p>
    <w:p>
      <w:pPr>
        <w:spacing w:after="0" w:line="23" w:lineRule="exact"/>
        <w:rPr>
          <w:rFonts w:ascii="Arial" w:cs="Arial" w:eastAsia="Arial" w:hAnsi="Arial"/>
          <w:sz w:val="16"/>
          <w:szCs w:val="16"/>
          <w:u w:val="single" w:color="auto"/>
          <w:color w:val="0000EE"/>
        </w:rPr>
      </w:pPr>
    </w:p>
    <w:p>
      <w:pPr>
        <w:jc w:val="center"/>
        <w:ind w:right="-260"/>
        <w:spacing w:after="0"/>
        <w:rPr>
          <w:sz w:val="20"/>
          <w:szCs w:val="20"/>
          <w:color w:val="auto"/>
        </w:rPr>
      </w:pPr>
      <w:r>
        <w:rPr>
          <w:rFonts w:ascii="Arial" w:cs="Arial" w:eastAsia="Arial" w:hAnsi="Arial"/>
          <w:sz w:val="16"/>
          <w:szCs w:val="16"/>
          <w:color w:val="auto"/>
        </w:rPr>
        <w:t>Regeneron Pharmaceuticals, Inc.</w:t>
      </w:r>
    </w:p>
    <w:p>
      <w:pPr>
        <w:spacing w:after="0" w:line="11" w:lineRule="exact"/>
        <w:rPr>
          <w:rFonts w:ascii="Arial" w:cs="Arial" w:eastAsia="Arial" w:hAnsi="Arial"/>
          <w:sz w:val="16"/>
          <w:szCs w:val="16"/>
          <w:u w:val="single" w:color="auto"/>
          <w:color w:val="0000EE"/>
        </w:rPr>
      </w:pPr>
    </w:p>
    <w:p>
      <w:pPr>
        <w:jc w:val="center"/>
        <w:ind w:right="-260"/>
        <w:spacing w:after="0"/>
        <w:rPr>
          <w:sz w:val="20"/>
          <w:szCs w:val="20"/>
          <w:color w:val="auto"/>
        </w:rPr>
      </w:pPr>
      <w:r>
        <w:rPr>
          <w:rFonts w:ascii="Arial" w:cs="Arial" w:eastAsia="Arial" w:hAnsi="Arial"/>
          <w:sz w:val="16"/>
          <w:szCs w:val="16"/>
          <w:color w:val="auto"/>
        </w:rPr>
        <w:t>777 Old Saw Mill River Road</w:t>
      </w:r>
    </w:p>
    <w:p>
      <w:pPr>
        <w:spacing w:after="0" w:line="11" w:lineRule="exact"/>
        <w:rPr>
          <w:rFonts w:ascii="Arial" w:cs="Arial" w:eastAsia="Arial" w:hAnsi="Arial"/>
          <w:sz w:val="16"/>
          <w:szCs w:val="16"/>
          <w:u w:val="single" w:color="auto"/>
          <w:color w:val="0000EE"/>
        </w:rPr>
      </w:pPr>
    </w:p>
    <w:p>
      <w:pPr>
        <w:jc w:val="center"/>
        <w:ind w:right="-260"/>
        <w:spacing w:after="0"/>
        <w:rPr>
          <w:sz w:val="20"/>
          <w:szCs w:val="20"/>
          <w:color w:val="auto"/>
        </w:rPr>
      </w:pPr>
      <w:r>
        <w:rPr>
          <w:rFonts w:ascii="Arial" w:cs="Arial" w:eastAsia="Arial" w:hAnsi="Arial"/>
          <w:sz w:val="16"/>
          <w:szCs w:val="16"/>
          <w:color w:val="auto"/>
        </w:rPr>
        <w:t>Tarrytown, New York 10591</w:t>
      </w:r>
    </w:p>
    <w:p>
      <w:pPr>
        <w:spacing w:after="0" w:line="11" w:lineRule="exact"/>
        <w:rPr>
          <w:rFonts w:ascii="Arial" w:cs="Arial" w:eastAsia="Arial" w:hAnsi="Arial"/>
          <w:sz w:val="16"/>
          <w:szCs w:val="16"/>
          <w:u w:val="single" w:color="auto"/>
          <w:color w:val="0000EE"/>
        </w:rPr>
      </w:pPr>
    </w:p>
    <w:p>
      <w:pPr>
        <w:jc w:val="center"/>
        <w:ind w:right="-300"/>
        <w:spacing w:after="0"/>
        <w:rPr>
          <w:sz w:val="20"/>
          <w:szCs w:val="20"/>
          <w:color w:val="auto"/>
        </w:rPr>
      </w:pPr>
      <w:r>
        <w:rPr>
          <w:rFonts w:ascii="Arial" w:cs="Arial" w:eastAsia="Arial" w:hAnsi="Arial"/>
          <w:sz w:val="16"/>
          <w:szCs w:val="16"/>
          <w:color w:val="auto"/>
        </w:rPr>
        <w:t>(914) 847-7000</w:t>
      </w:r>
    </w:p>
    <w:p>
      <w:pPr>
        <w:spacing w:after="0" w:line="376" w:lineRule="exact"/>
        <w:rPr>
          <w:rFonts w:ascii="Arial" w:cs="Arial" w:eastAsia="Arial" w:hAnsi="Arial"/>
          <w:sz w:val="16"/>
          <w:szCs w:val="16"/>
          <w:u w:val="single" w:color="auto"/>
          <w:color w:val="0000EE"/>
        </w:rPr>
      </w:pPr>
    </w:p>
    <w:p>
      <w:pPr>
        <w:jc w:val="center"/>
        <w:ind w:right="-260"/>
        <w:spacing w:after="0"/>
        <w:rPr>
          <w:sz w:val="20"/>
          <w:szCs w:val="20"/>
          <w:color w:val="auto"/>
        </w:rPr>
      </w:pPr>
      <w:r>
        <w:rPr>
          <w:rFonts w:ascii="Arial" w:cs="Arial" w:eastAsia="Arial" w:hAnsi="Arial"/>
          <w:sz w:val="16"/>
          <w:szCs w:val="16"/>
          <w:color w:val="auto"/>
        </w:rPr>
        <w:t>22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8" w:name="page29"/>
    <w:bookmarkEnd w:id="28"/>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20" w:type="dxa"/>
            <w:vAlign w:val="bottom"/>
          </w:tcPr>
          <w:p>
            <w:pPr>
              <w:jc w:val="center"/>
              <w:ind w:right="839"/>
              <w:spacing w:after="0"/>
              <w:rPr>
                <w:sz w:val="20"/>
                <w:szCs w:val="20"/>
                <w:color w:val="auto"/>
              </w:rPr>
            </w:pPr>
            <w:r>
              <w:rPr>
                <w:rFonts w:ascii="Arial" w:cs="Arial" w:eastAsia="Arial" w:hAnsi="Arial"/>
                <w:sz w:val="16"/>
                <w:szCs w:val="16"/>
                <w:b w:val="1"/>
                <w:bCs w:val="1"/>
                <w:color w:val="auto"/>
              </w:rPr>
              <w:t>PART II</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20" w:type="dxa"/>
            <w:vAlign w:val="bottom"/>
          </w:tcPr>
          <w:p>
            <w:pPr>
              <w:jc w:val="center"/>
              <w:ind w:right="859"/>
              <w:spacing w:after="0"/>
              <w:rPr>
                <w:sz w:val="20"/>
                <w:szCs w:val="20"/>
                <w:color w:val="auto"/>
              </w:rPr>
            </w:pPr>
            <w:r>
              <w:rPr>
                <w:rFonts w:ascii="Arial" w:cs="Arial" w:eastAsia="Arial" w:hAnsi="Arial"/>
                <w:sz w:val="16"/>
                <w:szCs w:val="16"/>
                <w:b w:val="1"/>
                <w:bCs w:val="1"/>
                <w:color w:val="auto"/>
                <w:w w:val="99"/>
              </w:rPr>
              <w:t>INFORMATION NOT REQUIRED IN PROSPECTUS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6580" w:type="dxa"/>
            <w:vAlign w:val="bottom"/>
            <w:gridSpan w:val="3"/>
          </w:tcPr>
          <w:p>
            <w:pPr>
              <w:spacing w:after="0"/>
              <w:rPr>
                <w:sz w:val="20"/>
                <w:szCs w:val="20"/>
                <w:color w:val="auto"/>
              </w:rPr>
            </w:pPr>
            <w:r>
              <w:rPr>
                <w:rFonts w:ascii="Arial" w:cs="Arial" w:eastAsia="Arial" w:hAnsi="Arial"/>
                <w:sz w:val="16"/>
                <w:szCs w:val="16"/>
                <w:b w:val="1"/>
                <w:bCs w:val="1"/>
                <w:color w:val="auto"/>
              </w:rPr>
              <w:t>Item 14. Other Expenses of Issuance and Distribution.</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60" w:type="dxa"/>
            <w:vAlign w:val="bottom"/>
            <w:gridSpan w:val="2"/>
          </w:tcPr>
          <w:p>
            <w:pPr>
              <w:ind w:left="320"/>
              <w:spacing w:after="0"/>
              <w:rPr>
                <w:sz w:val="20"/>
                <w:szCs w:val="20"/>
                <w:color w:val="auto"/>
              </w:rPr>
            </w:pPr>
            <w:r>
              <w:rPr>
                <w:rFonts w:ascii="Arial" w:cs="Arial" w:eastAsia="Arial" w:hAnsi="Arial"/>
                <w:sz w:val="16"/>
                <w:szCs w:val="16"/>
                <w:color w:val="auto"/>
              </w:rPr>
              <w:t>The expenses relating to the registration of the securities will be borne by the registrant.</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17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56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color w:val="auto"/>
              </w:rPr>
              <w:t>Securities and Exchange Commission Registration Fee</w:t>
            </w:r>
          </w:p>
        </w:tc>
        <w:tc>
          <w:tcPr>
            <w:tcW w:w="580" w:type="dxa"/>
            <w:vAlign w:val="bottom"/>
            <w:shd w:val="clear" w:color="auto" w:fill="CCEEFF"/>
          </w:tcPr>
          <w:p>
            <w:pPr>
              <w:jc w:val="right"/>
              <w:ind w:right="159"/>
              <w:spacing w:after="0" w:line="17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6580" w:type="dxa"/>
            <w:vAlign w:val="bottom"/>
            <w:gridSpan w:val="3"/>
          </w:tcPr>
          <w:p>
            <w:pPr>
              <w:spacing w:after="0"/>
              <w:rPr>
                <w:sz w:val="20"/>
                <w:szCs w:val="20"/>
                <w:color w:val="auto"/>
              </w:rPr>
            </w:pPr>
            <w:r>
              <w:rPr>
                <w:rFonts w:ascii="Arial" w:cs="Arial" w:eastAsia="Arial" w:hAnsi="Arial"/>
                <w:sz w:val="16"/>
                <w:szCs w:val="16"/>
                <w:color w:val="auto"/>
              </w:rPr>
              <w:t>Accounting Fees and Expenses</w:t>
            </w:r>
          </w:p>
        </w:tc>
        <w:tc>
          <w:tcPr>
            <w:tcW w:w="5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5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56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6580" w:type="dxa"/>
            <w:vAlign w:val="bottom"/>
            <w:gridSpan w:val="3"/>
            <w:vMerge w:val="restart"/>
          </w:tcPr>
          <w:p>
            <w:pPr>
              <w:spacing w:after="0"/>
              <w:rPr>
                <w:sz w:val="20"/>
                <w:szCs w:val="20"/>
                <w:color w:val="auto"/>
              </w:rPr>
            </w:pPr>
            <w:r>
              <w:rPr>
                <w:rFonts w:ascii="Arial" w:cs="Arial" w:eastAsia="Arial" w:hAnsi="Arial"/>
                <w:sz w:val="16"/>
                <w:szCs w:val="16"/>
                <w:color w:val="auto"/>
              </w:rPr>
              <w:t>Printing Fees</w:t>
            </w:r>
          </w:p>
        </w:tc>
        <w:tc>
          <w:tcPr>
            <w:tcW w:w="5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658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Transfer Agent and Trustees’ Fees and Expenses</w:t>
            </w:r>
          </w:p>
        </w:tc>
        <w:tc>
          <w:tcPr>
            <w:tcW w:w="5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56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6580" w:type="dxa"/>
            <w:vAlign w:val="bottom"/>
            <w:gridSpan w:val="3"/>
            <w:vMerge w:val="restart"/>
          </w:tcPr>
          <w:p>
            <w:pPr>
              <w:spacing w:after="0"/>
              <w:rPr>
                <w:sz w:val="20"/>
                <w:szCs w:val="20"/>
                <w:color w:val="auto"/>
              </w:rPr>
            </w:pPr>
            <w:r>
              <w:rPr>
                <w:rFonts w:ascii="Arial" w:cs="Arial" w:eastAsia="Arial" w:hAnsi="Arial"/>
                <w:sz w:val="16"/>
                <w:szCs w:val="16"/>
                <w:color w:val="auto"/>
              </w:rPr>
              <w:t>Rating Agency Fees</w:t>
            </w:r>
          </w:p>
        </w:tc>
        <w:tc>
          <w:tcPr>
            <w:tcW w:w="5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658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Stock Exchange Listing Fees</w:t>
            </w:r>
          </w:p>
        </w:tc>
        <w:tc>
          <w:tcPr>
            <w:tcW w:w="5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56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6580" w:type="dxa"/>
            <w:vAlign w:val="bottom"/>
            <w:gridSpan w:val="3"/>
            <w:vMerge w:val="restart"/>
          </w:tcPr>
          <w:p>
            <w:pPr>
              <w:spacing w:after="0"/>
              <w:rPr>
                <w:sz w:val="20"/>
                <w:szCs w:val="20"/>
                <w:color w:val="auto"/>
              </w:rPr>
            </w:pPr>
            <w:r>
              <w:rPr>
                <w:rFonts w:ascii="Arial" w:cs="Arial" w:eastAsia="Arial" w:hAnsi="Arial"/>
                <w:sz w:val="16"/>
                <w:szCs w:val="16"/>
                <w:color w:val="auto"/>
              </w:rPr>
              <w:t>Miscellaneous</w:t>
            </w:r>
          </w:p>
        </w:tc>
        <w:tc>
          <w:tcPr>
            <w:tcW w:w="58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658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5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560" w:type="dxa"/>
            <w:vAlign w:val="bottom"/>
            <w:gridSpan w:val="2"/>
            <w:vMerge w:val="continue"/>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60" w:hanging="334"/>
        <w:spacing w:after="0"/>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Deferred in reliance on Rules 456(b) and 457(r) under the Securities Act.</w:t>
      </w:r>
    </w:p>
    <w:p>
      <w:pPr>
        <w:spacing w:after="0" w:line="59" w:lineRule="exact"/>
        <w:rPr>
          <w:sz w:val="20"/>
          <w:szCs w:val="20"/>
          <w:color w:val="auto"/>
        </w:rPr>
      </w:pPr>
    </w:p>
    <w:p>
      <w:pPr>
        <w:ind w:left="1460" w:right="1019" w:hanging="334"/>
        <w:spacing w:after="0" w:line="318" w:lineRule="auto"/>
        <w:tabs>
          <w:tab w:leader="none" w:pos="1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Since an indeterminate amount of securities is covered by this registration statement, the expenses in connection with the issuance and distribution of the securities are not currently determinable.</w:t>
      </w:r>
    </w:p>
    <w:p>
      <w:pPr>
        <w:spacing w:after="0" w:line="12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Item 15. Indemnification of Directors and Officers.</w:t>
      </w:r>
    </w:p>
    <w:p>
      <w:pPr>
        <w:spacing w:after="0" w:line="148" w:lineRule="exact"/>
        <w:rPr>
          <w:sz w:val="20"/>
          <w:szCs w:val="20"/>
          <w:color w:val="auto"/>
        </w:rPr>
      </w:pPr>
    </w:p>
    <w:p>
      <w:pPr>
        <w:ind w:left="1120" w:right="879" w:firstLine="324"/>
        <w:spacing w:after="0" w:line="277" w:lineRule="auto"/>
        <w:rPr>
          <w:sz w:val="20"/>
          <w:szCs w:val="20"/>
          <w:color w:val="auto"/>
        </w:rPr>
      </w:pPr>
      <w:r>
        <w:rPr>
          <w:rFonts w:ascii="Arial" w:cs="Arial" w:eastAsia="Arial" w:hAnsi="Arial"/>
          <w:sz w:val="15"/>
          <w:szCs w:val="15"/>
          <w:color w:val="auto"/>
        </w:rPr>
        <w:t>Article VII of 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w:t>
      </w:r>
    </w:p>
    <w:p>
      <w:pPr>
        <w:spacing w:after="0" w:line="84" w:lineRule="exact"/>
        <w:rPr>
          <w:sz w:val="20"/>
          <w:szCs w:val="20"/>
          <w:color w:val="auto"/>
        </w:rPr>
      </w:pPr>
    </w:p>
    <w:p>
      <w:pPr>
        <w:ind w:left="1120" w:right="919" w:firstLine="324"/>
        <w:spacing w:after="0" w:line="243" w:lineRule="auto"/>
        <w:rPr>
          <w:sz w:val="20"/>
          <w:szCs w:val="20"/>
          <w:color w:val="auto"/>
        </w:rPr>
      </w:pPr>
      <w:r>
        <w:rPr>
          <w:rFonts w:ascii="Arial" w:cs="Arial" w:eastAsia="Arial" w:hAnsi="Arial"/>
          <w:sz w:val="16"/>
          <w:szCs w:val="16"/>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99" w:lineRule="exact"/>
        <w:rPr>
          <w:sz w:val="20"/>
          <w:szCs w:val="20"/>
          <w:color w:val="auto"/>
        </w:rPr>
      </w:pPr>
    </w:p>
    <w:p>
      <w:pPr>
        <w:ind w:left="1120" w:right="999" w:firstLine="324"/>
        <w:spacing w:after="0" w:line="245" w:lineRule="auto"/>
        <w:rPr>
          <w:sz w:val="20"/>
          <w:szCs w:val="20"/>
          <w:color w:val="auto"/>
        </w:rPr>
      </w:pPr>
      <w:r>
        <w:rPr>
          <w:rFonts w:ascii="Arial" w:cs="Arial" w:eastAsia="Arial" w:hAnsi="Arial"/>
          <w:sz w:val="16"/>
          <w:szCs w:val="16"/>
          <w:color w:val="auto"/>
        </w:rPr>
        <w:t>Article IV of our Amended and Restated By-Laws provides that the directors and certain other personnel of our company shall be indemnified against expenses and certain other liabilities arising out of legal actions brought or threatened against them for their conduct on behalf of our company, subject to certain qualifications and provided that each such person acted in good faith and in a manner that they reasonably believed was in our best interest.</w:t>
      </w:r>
    </w:p>
    <w:p>
      <w:pPr>
        <w:spacing w:after="0" w:line="107" w:lineRule="exact"/>
        <w:rPr>
          <w:sz w:val="20"/>
          <w:szCs w:val="20"/>
          <w:color w:val="auto"/>
        </w:rPr>
      </w:pPr>
    </w:p>
    <w:p>
      <w:pPr>
        <w:ind w:left="1120" w:right="839" w:firstLine="324"/>
        <w:spacing w:after="0" w:line="247"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persons controlling us pursuant to the foregoing provisions or otherwise, we have been informed that in the opinion of the SEC such indemnification is against public policy as expressed in the Securities Act and is therefore unenforceable.</w:t>
      </w:r>
    </w:p>
    <w:p>
      <w:pPr>
        <w:spacing w:after="0" w:line="106" w:lineRule="exact"/>
        <w:rPr>
          <w:sz w:val="20"/>
          <w:szCs w:val="20"/>
          <w:color w:val="auto"/>
        </w:rPr>
      </w:pPr>
    </w:p>
    <w:p>
      <w:pPr>
        <w:ind w:left="1120" w:right="1179" w:firstLine="324"/>
        <w:spacing w:after="0" w:line="245" w:lineRule="auto"/>
        <w:rPr>
          <w:sz w:val="20"/>
          <w:szCs w:val="20"/>
          <w:color w:val="auto"/>
        </w:rPr>
      </w:pPr>
      <w:r>
        <w:rPr>
          <w:rFonts w:ascii="Arial" w:cs="Arial" w:eastAsia="Arial" w:hAnsi="Arial"/>
          <w:sz w:val="16"/>
          <w:szCs w:val="16"/>
          <w:color w:val="auto"/>
        </w:rPr>
        <w:t>Our employment agreement with our President and Chief Executive Officer includes a provision indemnifying him to the fullest extent permitted by law in connection with his serving as an officer or director of the Company. Such indemnification is in addition to and not in lieu of other indemnification rights. We maintain directors’ and officers’ liability insurance which insures against liabilities that our directors or officers may incur in such capacities.</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Item 16. Exhibits.</w:t>
      </w:r>
    </w:p>
    <w:p>
      <w:pPr>
        <w:spacing w:after="0" w:line="136" w:lineRule="exact"/>
        <w:rPr>
          <w:sz w:val="20"/>
          <w:szCs w:val="20"/>
          <w:color w:val="auto"/>
        </w:rPr>
      </w:pPr>
    </w:p>
    <w:p>
      <w:pPr>
        <w:ind w:left="1120" w:right="1319" w:firstLine="324"/>
        <w:spacing w:after="0" w:line="267" w:lineRule="auto"/>
        <w:rPr>
          <w:sz w:val="20"/>
          <w:szCs w:val="20"/>
          <w:color w:val="auto"/>
        </w:rPr>
      </w:pPr>
      <w:r>
        <w:rPr>
          <w:rFonts w:ascii="Arial" w:cs="Arial" w:eastAsia="Arial" w:hAnsi="Arial"/>
          <w:sz w:val="16"/>
          <w:szCs w:val="16"/>
          <w:color w:val="auto"/>
        </w:rPr>
        <w:t>The Exhibits to this registration statement are listed in the Exhibit Index and are incorporated by reference herein.</w:t>
      </w:r>
    </w:p>
    <w:p>
      <w:pPr>
        <w:spacing w:after="0" w:line="32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29" w:name="page30"/>
    <w:bookmarkEnd w:id="29"/>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Item 17. Undertakings.</w:t>
      </w:r>
    </w:p>
    <w:p>
      <w:pPr>
        <w:spacing w:after="0" w:line="13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undersigned registrant hereby undertakes:</w:t>
      </w:r>
    </w:p>
    <w:p>
      <w:pPr>
        <w:spacing w:after="0" w:line="144" w:lineRule="exact"/>
        <w:rPr>
          <w:sz w:val="20"/>
          <w:szCs w:val="20"/>
          <w:color w:val="auto"/>
        </w:rPr>
      </w:pPr>
    </w:p>
    <w:p>
      <w:pPr>
        <w:ind w:left="1460" w:right="1039"/>
        <w:spacing w:after="0" w:line="283" w:lineRule="auto"/>
        <w:rPr>
          <w:sz w:val="20"/>
          <w:szCs w:val="20"/>
          <w:color w:val="auto"/>
        </w:rPr>
      </w:pPr>
      <w:r>
        <w:rPr>
          <w:rFonts w:ascii="Arial" w:cs="Arial" w:eastAsia="Arial" w:hAnsi="Arial"/>
          <w:sz w:val="16"/>
          <w:szCs w:val="16"/>
          <w:color w:val="auto"/>
        </w:rPr>
        <w:t>(A)(1) To file, during any period in which offers or sales are being made of the securities registered hereby, a post-effective amendment to this registration statement:</w:t>
      </w:r>
    </w:p>
    <w:p>
      <w:pPr>
        <w:spacing w:after="0" w:line="89" w:lineRule="exact"/>
        <w:rPr>
          <w:sz w:val="20"/>
          <w:szCs w:val="20"/>
          <w:color w:val="auto"/>
        </w:rPr>
      </w:pPr>
    </w:p>
    <w:p>
      <w:pPr>
        <w:ind w:left="2060" w:hanging="285"/>
        <w:spacing w:after="0"/>
        <w:tabs>
          <w:tab w:leader="none" w:pos="2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132" w:lineRule="exact"/>
        <w:rPr>
          <w:rFonts w:ascii="Arial" w:cs="Arial" w:eastAsia="Arial" w:hAnsi="Arial"/>
          <w:sz w:val="16"/>
          <w:szCs w:val="16"/>
          <w:color w:val="auto"/>
        </w:rPr>
      </w:pPr>
    </w:p>
    <w:p>
      <w:pPr>
        <w:ind w:left="1780" w:right="819" w:hanging="5"/>
        <w:spacing w:after="0" w:line="276" w:lineRule="auto"/>
        <w:tabs>
          <w:tab w:leader="none" w:pos="2119" w:val="left"/>
        </w:tabs>
        <w:numPr>
          <w:ilvl w:val="0"/>
          <w:numId w:val="2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00" w:lineRule="exact"/>
        <w:rPr>
          <w:rFonts w:ascii="Arial" w:cs="Arial" w:eastAsia="Arial" w:hAnsi="Arial"/>
          <w:sz w:val="15"/>
          <w:szCs w:val="15"/>
          <w:color w:val="auto"/>
        </w:rPr>
      </w:pPr>
    </w:p>
    <w:p>
      <w:pPr>
        <w:ind w:left="1780" w:right="1059" w:hanging="5"/>
        <w:spacing w:after="0" w:line="268" w:lineRule="auto"/>
        <w:tabs>
          <w:tab w:leader="none" w:pos="21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01" w:lineRule="exact"/>
        <w:rPr>
          <w:sz w:val="20"/>
          <w:szCs w:val="20"/>
          <w:color w:val="auto"/>
        </w:rPr>
      </w:pPr>
    </w:p>
    <w:p>
      <w:pPr>
        <w:ind w:left="1120" w:right="839"/>
        <w:spacing w:after="0" w:line="276"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the undertakings set forth in paragraphs (A)(1)(i), (A)(1)(ii) and (A)(1)(iii) above</w:t>
      </w:r>
      <w:r>
        <w:rPr>
          <w:rFonts w:ascii="Arial" w:cs="Arial" w:eastAsia="Arial" w:hAnsi="Arial"/>
          <w:sz w:val="15"/>
          <w:szCs w:val="15"/>
          <w:i w:val="1"/>
          <w:iCs w:val="1"/>
          <w:color w:val="auto"/>
        </w:rPr>
        <w:t xml:space="preserve"> </w:t>
      </w:r>
      <w:r>
        <w:rPr>
          <w:rFonts w:ascii="Arial" w:cs="Arial" w:eastAsia="Arial" w:hAnsi="Arial"/>
          <w:sz w:val="15"/>
          <w:szCs w:val="15"/>
          <w:color w:val="auto"/>
        </w:rPr>
        <w:t>do not apply if the information required to be included in a post-effective amendment by those paragraphs is contained in reports filed with or furnished to the SEC by the registrant pursuant to Section 13 or</w:t>
      </w:r>
    </w:p>
    <w:p>
      <w:pPr>
        <w:spacing w:after="0" w:line="1" w:lineRule="exact"/>
        <w:rPr>
          <w:sz w:val="20"/>
          <w:szCs w:val="20"/>
          <w:color w:val="auto"/>
        </w:rPr>
      </w:pPr>
    </w:p>
    <w:p>
      <w:pPr>
        <w:jc w:val="both"/>
        <w:ind w:left="1120" w:right="1159"/>
        <w:spacing w:after="0" w:line="301" w:lineRule="auto"/>
        <w:rPr>
          <w:sz w:val="20"/>
          <w:szCs w:val="20"/>
          <w:color w:val="auto"/>
        </w:rPr>
      </w:pPr>
      <w:r>
        <w:rPr>
          <w:rFonts w:ascii="Arial" w:cs="Arial" w:eastAsia="Arial" w:hAnsi="Arial"/>
          <w:sz w:val="15"/>
          <w:szCs w:val="15"/>
          <w:color w:val="auto"/>
        </w:rPr>
        <w:t>Section 15(d) of the Exchange Act that are incorporated by reference in the registration statement, or is contained in a form of prospectus filed pursuant to Rule 424(b) that is part of the registration statement.</w:t>
      </w:r>
    </w:p>
    <w:p>
      <w:pPr>
        <w:spacing w:after="0" w:line="66" w:lineRule="exact"/>
        <w:rPr>
          <w:sz w:val="20"/>
          <w:szCs w:val="20"/>
          <w:color w:val="auto"/>
        </w:rPr>
      </w:pPr>
    </w:p>
    <w:p>
      <w:pPr>
        <w:ind w:left="1460" w:right="1079" w:hanging="10"/>
        <w:spacing w:after="0" w:line="263" w:lineRule="auto"/>
        <w:tabs>
          <w:tab w:leader="none" w:pos="17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p>
    <w:p>
      <w:pPr>
        <w:spacing w:after="0" w:line="105" w:lineRule="exact"/>
        <w:rPr>
          <w:rFonts w:ascii="Arial" w:cs="Arial" w:eastAsia="Arial" w:hAnsi="Arial"/>
          <w:sz w:val="16"/>
          <w:szCs w:val="16"/>
          <w:color w:val="auto"/>
        </w:rPr>
      </w:pPr>
    </w:p>
    <w:p>
      <w:pPr>
        <w:ind w:left="1460" w:right="1019" w:hanging="10"/>
        <w:spacing w:after="0" w:line="283" w:lineRule="auto"/>
        <w:tabs>
          <w:tab w:leader="none" w:pos="17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89" w:lineRule="exact"/>
        <w:rPr>
          <w:rFonts w:ascii="Arial" w:cs="Arial" w:eastAsia="Arial" w:hAnsi="Arial"/>
          <w:sz w:val="16"/>
          <w:szCs w:val="16"/>
          <w:color w:val="auto"/>
        </w:rPr>
      </w:pPr>
    </w:p>
    <w:p>
      <w:pPr>
        <w:ind w:left="1780" w:hanging="330"/>
        <w:spacing w:after="0"/>
        <w:tabs>
          <w:tab w:leader="none" w:pos="1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w:t>
      </w:r>
    </w:p>
    <w:p>
      <w:pPr>
        <w:spacing w:after="0" w:line="132" w:lineRule="exact"/>
        <w:rPr>
          <w:rFonts w:ascii="Arial" w:cs="Arial" w:eastAsia="Arial" w:hAnsi="Arial"/>
          <w:sz w:val="16"/>
          <w:szCs w:val="16"/>
          <w:color w:val="auto"/>
        </w:rPr>
      </w:pPr>
    </w:p>
    <w:p>
      <w:pPr>
        <w:ind w:left="1780" w:right="879" w:hanging="5"/>
        <w:spacing w:after="0" w:line="268" w:lineRule="auto"/>
        <w:tabs>
          <w:tab w:leader="none" w:pos="207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1" w:lineRule="exact"/>
        <w:rPr>
          <w:rFonts w:ascii="Arial" w:cs="Arial" w:eastAsia="Arial" w:hAnsi="Arial"/>
          <w:sz w:val="16"/>
          <w:szCs w:val="16"/>
          <w:color w:val="auto"/>
        </w:rPr>
      </w:pPr>
    </w:p>
    <w:p>
      <w:pPr>
        <w:ind w:left="1780" w:right="1019" w:hanging="5"/>
        <w:spacing w:after="0" w:line="261" w:lineRule="auto"/>
        <w:tabs>
          <w:tab w:leader="none" w:pos="2066" w:val="left"/>
        </w:tabs>
        <w:numPr>
          <w:ilvl w:val="1"/>
          <w:numId w:val="2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w:t>
      </w:r>
    </w:p>
    <w:p>
      <w:pPr>
        <w:ind w:left="1780" w:right="839"/>
        <w:spacing w:after="0" w:line="273" w:lineRule="auto"/>
        <w:rPr>
          <w:rFonts w:ascii="Arial" w:cs="Arial" w:eastAsia="Arial" w:hAnsi="Arial"/>
          <w:sz w:val="16"/>
          <w:szCs w:val="16"/>
          <w:color w:val="auto"/>
        </w:rPr>
      </w:pPr>
      <w:r>
        <w:rPr>
          <w:rFonts w:ascii="Arial" w:cs="Arial" w:eastAsia="Arial" w:hAnsi="Arial"/>
          <w:sz w:val="15"/>
          <w:szCs w:val="15"/>
          <w:color w:val="auto"/>
        </w:rPr>
        <w:t>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1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30" w:name="page31"/>
    <w:bookmarkEnd w:id="30"/>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60" w:right="899" w:hanging="10"/>
        <w:spacing w:after="0" w:line="258" w:lineRule="auto"/>
        <w:tabs>
          <w:tab w:leader="none" w:pos="17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9" w:lineRule="exact"/>
        <w:rPr>
          <w:rFonts w:ascii="Arial" w:cs="Arial" w:eastAsia="Arial" w:hAnsi="Arial"/>
          <w:sz w:val="16"/>
          <w:szCs w:val="16"/>
          <w:color w:val="auto"/>
        </w:rPr>
      </w:pPr>
    </w:p>
    <w:p>
      <w:pPr>
        <w:ind w:left="1780" w:right="859" w:hanging="5"/>
        <w:spacing w:after="0" w:line="283" w:lineRule="auto"/>
        <w:tabs>
          <w:tab w:leader="none" w:pos="2065"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6"/>
          <w:szCs w:val="16"/>
          <w:color w:val="auto"/>
        </w:rPr>
      </w:pPr>
    </w:p>
    <w:p>
      <w:pPr>
        <w:ind w:left="1780" w:right="1599" w:hanging="5"/>
        <w:spacing w:after="0" w:line="283" w:lineRule="auto"/>
        <w:tabs>
          <w:tab w:leader="none" w:pos="211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 undersigned registrant;</w:t>
      </w:r>
    </w:p>
    <w:p>
      <w:pPr>
        <w:spacing w:after="0" w:line="89" w:lineRule="exact"/>
        <w:rPr>
          <w:rFonts w:ascii="Arial" w:cs="Arial" w:eastAsia="Arial" w:hAnsi="Arial"/>
          <w:sz w:val="16"/>
          <w:szCs w:val="16"/>
          <w:color w:val="auto"/>
        </w:rPr>
      </w:pPr>
    </w:p>
    <w:p>
      <w:pPr>
        <w:ind w:left="1780" w:right="959" w:hanging="5"/>
        <w:spacing w:after="0" w:line="268" w:lineRule="auto"/>
        <w:tabs>
          <w:tab w:leader="none" w:pos="2168"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89" w:lineRule="exact"/>
        <w:rPr>
          <w:rFonts w:ascii="Arial" w:cs="Arial" w:eastAsia="Arial" w:hAnsi="Arial"/>
          <w:sz w:val="16"/>
          <w:szCs w:val="16"/>
          <w:color w:val="auto"/>
        </w:rPr>
      </w:pPr>
    </w:p>
    <w:p>
      <w:pPr>
        <w:ind w:left="1780" w:right="939" w:hanging="5"/>
        <w:spacing w:after="0" w:line="283" w:lineRule="auto"/>
        <w:tabs>
          <w:tab w:leader="none" w:pos="2149"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89" w:lineRule="exact"/>
        <w:rPr>
          <w:sz w:val="20"/>
          <w:szCs w:val="20"/>
          <w:color w:val="auto"/>
        </w:rPr>
      </w:pPr>
    </w:p>
    <w:p>
      <w:pPr>
        <w:ind w:left="1460" w:right="859" w:hanging="10"/>
        <w:spacing w:after="0" w:line="261" w:lineRule="auto"/>
        <w:tabs>
          <w:tab w:leader="none" w:pos="18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w:t>
      </w:r>
    </w:p>
    <w:p>
      <w:pPr>
        <w:ind w:left="1460" w:right="1059"/>
        <w:spacing w:after="0" w:line="257" w:lineRule="auto"/>
        <w:rPr>
          <w:rFonts w:ascii="Arial" w:cs="Arial" w:eastAsia="Arial" w:hAnsi="Arial"/>
          <w:sz w:val="16"/>
          <w:szCs w:val="16"/>
          <w:color w:val="auto"/>
        </w:rPr>
      </w:pPr>
      <w:r>
        <w:rPr>
          <w:rFonts w:ascii="Arial" w:cs="Arial" w:eastAsia="Arial" w:hAnsi="Arial"/>
          <w:sz w:val="16"/>
          <w:szCs w:val="16"/>
          <w:color w:val="auto"/>
        </w:rPr>
        <w:t xml:space="preserve">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p>
    <w:p>
      <w:pPr>
        <w:spacing w:after="0" w:line="110" w:lineRule="exact"/>
        <w:rPr>
          <w:rFonts w:ascii="Arial" w:cs="Arial" w:eastAsia="Arial" w:hAnsi="Arial"/>
          <w:sz w:val="16"/>
          <w:szCs w:val="16"/>
          <w:color w:val="auto"/>
        </w:rPr>
      </w:pPr>
    </w:p>
    <w:p>
      <w:pPr>
        <w:ind w:left="1460" w:right="899" w:hanging="10"/>
        <w:spacing w:after="0" w:line="256" w:lineRule="auto"/>
        <w:tabs>
          <w:tab w:leader="none" w:pos="18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31" w:name="page32"/>
    <w:bookmarkEnd w:id="31"/>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EXHIBIT INDEX</w:t>
      </w:r>
    </w:p>
    <w:p>
      <w:pPr>
        <w:spacing w:after="0" w:line="205"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Exhibit Number</w:t>
      </w:r>
    </w:p>
    <w:p>
      <w:pPr>
        <w:spacing w:after="0" w:line="161" w:lineRule="exact"/>
        <w:rPr>
          <w:sz w:val="20"/>
          <w:szCs w:val="20"/>
          <w:color w:val="auto"/>
        </w:rPr>
      </w:pPr>
    </w:p>
    <w:p>
      <w:pPr>
        <w:ind w:left="1120"/>
        <w:spacing w:after="0"/>
        <w:tabs>
          <w:tab w:leader="none" w:pos="168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Form of Underwriting Agreement.</w:t>
      </w:r>
    </w:p>
    <w:p>
      <w:pPr>
        <w:spacing w:after="0" w:line="23" w:lineRule="exact"/>
        <w:rPr>
          <w:sz w:val="20"/>
          <w:szCs w:val="20"/>
          <w:color w:val="auto"/>
        </w:rPr>
      </w:pPr>
    </w:p>
    <w:p>
      <w:pPr>
        <w:ind w:left="1700" w:right="819" w:hanging="583"/>
        <w:spacing w:after="0" w:line="268" w:lineRule="auto"/>
        <w:tabs>
          <w:tab w:leader="none" w:pos="1680" w:val="left"/>
        </w:tabs>
        <w:rPr>
          <w:rFonts w:ascii="Arial" w:cs="Arial" w:eastAsia="Arial" w:hAnsi="Arial"/>
          <w:sz w:val="16"/>
          <w:szCs w:val="16"/>
          <w:u w:val="single" w:color="auto"/>
          <w:color w:val="0000EE"/>
        </w:rPr>
      </w:pPr>
      <w:r>
        <w:rPr>
          <w:rFonts w:ascii="Arial" w:cs="Arial" w:eastAsia="Arial" w:hAnsi="Arial"/>
          <w:sz w:val="16"/>
          <w:szCs w:val="16"/>
          <w:color w:val="auto"/>
        </w:rPr>
        <w:t>4.1</w:t>
      </w:r>
      <w:r>
        <w:rPr>
          <w:sz w:val="20"/>
          <w:szCs w:val="20"/>
          <w:color w:val="auto"/>
        </w:rPr>
        <w:tab/>
      </w:r>
      <w:hyperlink r:id="rId59">
        <w:r>
          <w:rPr>
            <w:rFonts w:ascii="Arial" w:cs="Arial" w:eastAsia="Arial" w:hAnsi="Arial"/>
            <w:sz w:val="16"/>
            <w:szCs w:val="16"/>
            <w:u w:val="single" w:color="auto"/>
            <w:color w:val="0000EE"/>
          </w:rPr>
          <w:t>Restated Certificate of Incorporation of Regeneron Pharmaceuticals, Inc., as amended (incorporated</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by reference to Exhibit 3.1 to the Form 10-Q for Regeneron Pharmaceuticals, Inc. for the quarter</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ended June 30, 2015, filed on August 4, 2015).</w:t>
        </w:r>
      </w:hyperlink>
    </w:p>
    <w:p>
      <w:pPr>
        <w:spacing w:after="0" w:line="4" w:lineRule="exact"/>
        <w:rPr>
          <w:rFonts w:ascii="Arial" w:cs="Arial" w:eastAsia="Arial" w:hAnsi="Arial"/>
          <w:sz w:val="16"/>
          <w:szCs w:val="16"/>
          <w:u w:val="single" w:color="auto"/>
          <w:color w:val="0000EE"/>
        </w:rPr>
      </w:pPr>
    </w:p>
    <w:p>
      <w:pPr>
        <w:ind w:left="1700" w:right="919" w:hanging="583"/>
        <w:spacing w:after="0" w:line="296" w:lineRule="auto"/>
        <w:tabs>
          <w:tab w:leader="none" w:pos="1680" w:val="left"/>
        </w:tabs>
        <w:rPr>
          <w:rFonts w:ascii="Arial" w:cs="Arial" w:eastAsia="Arial" w:hAnsi="Arial"/>
          <w:sz w:val="15"/>
          <w:szCs w:val="15"/>
          <w:u w:val="single" w:color="auto"/>
          <w:color w:val="0000EE"/>
        </w:rPr>
      </w:pPr>
      <w:r>
        <w:rPr>
          <w:rFonts w:ascii="Arial" w:cs="Arial" w:eastAsia="Arial" w:hAnsi="Arial"/>
          <w:sz w:val="16"/>
          <w:szCs w:val="16"/>
          <w:color w:val="auto"/>
        </w:rPr>
        <w:t>4.2</w:t>
      </w:r>
      <w:r>
        <w:rPr>
          <w:sz w:val="20"/>
          <w:szCs w:val="20"/>
          <w:color w:val="auto"/>
        </w:rPr>
        <w:tab/>
      </w:r>
      <w:hyperlink r:id="rId60">
        <w:r>
          <w:rPr>
            <w:rFonts w:ascii="Arial" w:cs="Arial" w:eastAsia="Arial" w:hAnsi="Arial"/>
            <w:sz w:val="15"/>
            <w:szCs w:val="15"/>
            <w:u w:val="single" w:color="auto"/>
            <w:color w:val="0000EE"/>
          </w:rPr>
          <w:t>Amended and Restated By-Laws of Regeneron Pharmaceuticals, Inc. (incorporated by reference to</w:t>
        </w:r>
      </w:hyperlink>
      <w:r>
        <w:rPr>
          <w:rFonts w:ascii="Arial" w:cs="Arial" w:eastAsia="Arial" w:hAnsi="Arial"/>
          <w:sz w:val="15"/>
          <w:szCs w:val="15"/>
          <w:u w:val="single" w:color="auto"/>
          <w:color w:val="0000EE"/>
        </w:rPr>
        <w:t xml:space="preserve"> </w:t>
      </w:r>
      <w:hyperlink r:id="rId60">
        <w:r>
          <w:rPr>
            <w:rFonts w:ascii="Arial" w:cs="Arial" w:eastAsia="Arial" w:hAnsi="Arial"/>
            <w:sz w:val="15"/>
            <w:szCs w:val="15"/>
            <w:u w:val="single" w:color="auto"/>
            <w:color w:val="0000EE"/>
          </w:rPr>
          <w:t>Exhibit 3.2 to the Form 8-K for Regeneron Pharmaceuticals, Inc., filed on December 21, 2016).</w:t>
        </w:r>
      </w:hyperlink>
    </w:p>
    <w:p>
      <w:pPr>
        <w:ind w:left="1700" w:right="839" w:hanging="583"/>
        <w:spacing w:after="0" w:line="283" w:lineRule="auto"/>
        <w:tabs>
          <w:tab w:leader="none" w:pos="1680" w:val="left"/>
        </w:tabs>
        <w:rPr>
          <w:rFonts w:ascii="Arial" w:cs="Arial" w:eastAsia="Arial" w:hAnsi="Arial"/>
          <w:sz w:val="16"/>
          <w:szCs w:val="16"/>
          <w:u w:val="single" w:color="auto"/>
          <w:color w:val="0000EE"/>
        </w:rPr>
      </w:pPr>
      <w:r>
        <w:rPr>
          <w:rFonts w:ascii="Arial" w:cs="Arial" w:eastAsia="Arial" w:hAnsi="Arial"/>
          <w:sz w:val="16"/>
          <w:szCs w:val="16"/>
          <w:color w:val="auto"/>
        </w:rPr>
        <w:t>4.3</w:t>
      </w:r>
      <w:r>
        <w:rPr>
          <w:sz w:val="20"/>
          <w:szCs w:val="20"/>
          <w:color w:val="auto"/>
        </w:rPr>
        <w:tab/>
      </w:r>
      <w:hyperlink r:id="rId61">
        <w:r>
          <w:rPr>
            <w:rFonts w:ascii="Arial" w:cs="Arial" w:eastAsia="Arial" w:hAnsi="Arial"/>
            <w:sz w:val="16"/>
            <w:szCs w:val="16"/>
            <w:u w:val="single" w:color="auto"/>
            <w:color w:val="0000EE"/>
          </w:rPr>
          <w:t>Specimen Common Stock Certificate (incorporated by reference to Exhibit 4.16 to the Form S-3 for</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Regeneron Pharmaceuticals, Inc., filed on February 9, 2005).</w:t>
        </w:r>
      </w:hyperlink>
    </w:p>
    <w:p>
      <w:pPr>
        <w:spacing w:after="0" w:line="4" w:lineRule="exact"/>
        <w:rPr>
          <w:sz w:val="20"/>
          <w:szCs w:val="20"/>
          <w:color w:val="auto"/>
        </w:rPr>
      </w:pPr>
    </w:p>
    <w:p>
      <w:pPr>
        <w:ind w:left="1700" w:right="1199" w:hanging="583"/>
        <w:spacing w:after="0" w:line="283" w:lineRule="auto"/>
        <w:tabs>
          <w:tab w:leader="none" w:pos="168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Specimen Preferred Stock Certificate and Form of Certificate of Designation, Preferences, and Rights with respect to any series of Preferred Stock issued hereunder.</w:t>
      </w:r>
    </w:p>
    <w:p>
      <w:pPr>
        <w:spacing w:after="0" w:line="4" w:lineRule="exact"/>
        <w:rPr>
          <w:sz w:val="20"/>
          <w:szCs w:val="20"/>
          <w:color w:val="auto"/>
        </w:rPr>
      </w:pPr>
    </w:p>
    <w:p>
      <w:pPr>
        <w:ind w:left="1700" w:right="1219" w:hanging="583"/>
        <w:spacing w:after="0" w:line="268" w:lineRule="auto"/>
        <w:tabs>
          <w:tab w:leader="none" w:pos="1680" w:val="left"/>
        </w:tabs>
        <w:rPr>
          <w:rFonts w:ascii="Arial" w:cs="Arial" w:eastAsia="Arial" w:hAnsi="Arial"/>
          <w:sz w:val="16"/>
          <w:szCs w:val="16"/>
          <w:u w:val="single" w:color="auto"/>
          <w:color w:val="0000EE"/>
        </w:rPr>
      </w:pPr>
      <w:r>
        <w:rPr>
          <w:rFonts w:ascii="Arial" w:cs="Arial" w:eastAsia="Arial" w:hAnsi="Arial"/>
          <w:sz w:val="16"/>
          <w:szCs w:val="16"/>
          <w:color w:val="auto"/>
        </w:rPr>
        <w:t>4.5</w:t>
      </w:r>
      <w:r>
        <w:rPr>
          <w:sz w:val="20"/>
          <w:szCs w:val="20"/>
          <w:color w:val="auto"/>
        </w:rPr>
        <w:tab/>
      </w:r>
      <w:hyperlink r:id="rId62">
        <w:r>
          <w:rPr>
            <w:rFonts w:ascii="Arial" w:cs="Arial" w:eastAsia="Arial" w:hAnsi="Arial"/>
            <w:sz w:val="16"/>
            <w:szCs w:val="16"/>
            <w:u w:val="single" w:color="auto"/>
            <w:color w:val="0000EE"/>
          </w:rPr>
          <w:t>Indenture, dated August 12, 2020, between Regeneron Pharmaceuticals, Inc. and U.S. Bank</w:t>
        </w:r>
      </w:hyperlink>
      <w:r>
        <w:rPr>
          <w:rFonts w:ascii="Arial" w:cs="Arial" w:eastAsia="Arial" w:hAnsi="Arial"/>
          <w:sz w:val="16"/>
          <w:szCs w:val="16"/>
          <w:u w:val="single" w:color="auto"/>
          <w:color w:val="0000EE"/>
        </w:rPr>
        <w:t xml:space="preserve"> </w:t>
      </w:r>
      <w:hyperlink r:id="rId62">
        <w:r>
          <w:rPr>
            <w:rFonts w:ascii="Arial" w:cs="Arial" w:eastAsia="Arial" w:hAnsi="Arial"/>
            <w:sz w:val="16"/>
            <w:szCs w:val="16"/>
            <w:u w:val="single" w:color="auto"/>
            <w:color w:val="0000EE"/>
          </w:rPr>
          <w:t>National Association (incorporated by reference to Exhibit 4.1 to the Form 8-K for Regeneron</w:t>
        </w:r>
      </w:hyperlink>
      <w:r>
        <w:rPr>
          <w:rFonts w:ascii="Arial" w:cs="Arial" w:eastAsia="Arial" w:hAnsi="Arial"/>
          <w:sz w:val="16"/>
          <w:szCs w:val="16"/>
          <w:u w:val="single" w:color="auto"/>
          <w:color w:val="0000EE"/>
        </w:rPr>
        <w:t xml:space="preserve"> </w:t>
      </w:r>
      <w:hyperlink r:id="rId62">
        <w:r>
          <w:rPr>
            <w:rFonts w:ascii="Arial" w:cs="Arial" w:eastAsia="Arial" w:hAnsi="Arial"/>
            <w:sz w:val="16"/>
            <w:szCs w:val="16"/>
            <w:u w:val="single" w:color="auto"/>
            <w:color w:val="0000EE"/>
          </w:rPr>
          <w:t>Pharmaceuticals, Inc., filed on August 12, 2020).</w:t>
        </w:r>
      </w:hyperlink>
    </w:p>
    <w:p>
      <w:pPr>
        <w:spacing w:after="0" w:line="28" w:lineRule="exact"/>
        <w:rPr>
          <w:rFonts w:ascii="Arial" w:cs="Arial" w:eastAsia="Arial" w:hAnsi="Arial"/>
          <w:sz w:val="16"/>
          <w:szCs w:val="16"/>
          <w:u w:val="single" w:color="auto"/>
          <w:color w:val="0000EE"/>
        </w:rPr>
      </w:pPr>
    </w:p>
    <w:p>
      <w:pPr>
        <w:ind w:left="1120"/>
        <w:spacing w:after="0"/>
        <w:tabs>
          <w:tab w:leader="none" w:pos="168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5"/>
          <w:szCs w:val="15"/>
          <w:color w:val="auto"/>
        </w:rPr>
        <w:t>Form of any Debt Security.</w:t>
      </w:r>
    </w:p>
    <w:p>
      <w:pPr>
        <w:spacing w:after="0" w:line="59" w:lineRule="exact"/>
        <w:rPr>
          <w:rFonts w:ascii="Arial" w:cs="Arial" w:eastAsia="Arial" w:hAnsi="Arial"/>
          <w:sz w:val="16"/>
          <w:szCs w:val="16"/>
          <w:u w:val="single" w:color="auto"/>
          <w:color w:val="0000EE"/>
        </w:rPr>
      </w:pPr>
    </w:p>
    <w:p>
      <w:pPr>
        <w:ind w:left="1120"/>
        <w:spacing w:after="0"/>
        <w:tabs>
          <w:tab w:leader="none" w:pos="168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5"/>
          <w:szCs w:val="15"/>
          <w:color w:val="auto"/>
        </w:rPr>
        <w:t>Form of Warrant Agreement (including form of Warrant Certificate).</w:t>
      </w:r>
    </w:p>
    <w:p>
      <w:pPr>
        <w:spacing w:after="0" w:line="59" w:lineRule="exact"/>
        <w:rPr>
          <w:rFonts w:ascii="Arial" w:cs="Arial" w:eastAsia="Arial" w:hAnsi="Arial"/>
          <w:sz w:val="16"/>
          <w:szCs w:val="16"/>
          <w:u w:val="single" w:color="auto"/>
          <w:color w:val="0000EE"/>
        </w:rPr>
      </w:pPr>
    </w:p>
    <w:p>
      <w:pPr>
        <w:ind w:left="1120"/>
        <w:spacing w:after="0"/>
        <w:tabs>
          <w:tab w:leader="none" w:pos="1680" w:val="left"/>
        </w:tabs>
        <w:rPr>
          <w:rFonts w:ascii="Arial" w:cs="Arial" w:eastAsia="Arial" w:hAnsi="Arial"/>
          <w:sz w:val="15"/>
          <w:szCs w:val="15"/>
          <w:u w:val="single" w:color="auto"/>
          <w:color w:val="0000EE"/>
        </w:rPr>
      </w:pPr>
      <w:r>
        <w:rPr>
          <w:rFonts w:ascii="Arial" w:cs="Arial" w:eastAsia="Arial" w:hAnsi="Arial"/>
          <w:sz w:val="16"/>
          <w:szCs w:val="16"/>
          <w:color w:val="auto"/>
        </w:rPr>
        <w:t>5.1</w:t>
      </w:r>
      <w:r>
        <w:rPr>
          <w:sz w:val="20"/>
          <w:szCs w:val="20"/>
          <w:color w:val="auto"/>
        </w:rPr>
        <w:tab/>
      </w:r>
      <w:hyperlink w:anchor="page35">
        <w:r>
          <w:rPr>
            <w:rFonts w:ascii="Arial" w:cs="Arial" w:eastAsia="Arial" w:hAnsi="Arial"/>
            <w:sz w:val="15"/>
            <w:szCs w:val="15"/>
            <w:u w:val="single" w:color="auto"/>
            <w:color w:val="0000EE"/>
          </w:rPr>
          <w:t>Opinion of Skadden, Arps, Slate, Meagher &amp; Flom LLP.</w:t>
        </w:r>
      </w:hyperlink>
    </w:p>
    <w:p>
      <w:pPr>
        <w:spacing w:after="0" w:line="59" w:lineRule="exact"/>
        <w:rPr>
          <w:rFonts w:ascii="Arial" w:cs="Arial" w:eastAsia="Arial" w:hAnsi="Arial"/>
          <w:sz w:val="16"/>
          <w:szCs w:val="16"/>
          <w:u w:val="single" w:color="auto"/>
          <w:color w:val="0000EE"/>
        </w:rPr>
      </w:pPr>
    </w:p>
    <w:p>
      <w:pPr>
        <w:ind w:left="1120"/>
        <w:spacing w:after="0"/>
        <w:tabs>
          <w:tab w:leader="none" w:pos="1680" w:val="left"/>
        </w:tabs>
        <w:rPr>
          <w:rFonts w:ascii="Arial" w:cs="Arial" w:eastAsia="Arial" w:hAnsi="Arial"/>
          <w:sz w:val="15"/>
          <w:szCs w:val="15"/>
          <w:u w:val="single" w:color="auto"/>
          <w:color w:val="0000EE"/>
        </w:rPr>
      </w:pPr>
      <w:r>
        <w:rPr>
          <w:rFonts w:ascii="Arial" w:cs="Arial" w:eastAsia="Arial" w:hAnsi="Arial"/>
          <w:sz w:val="16"/>
          <w:szCs w:val="16"/>
          <w:color w:val="auto"/>
        </w:rPr>
        <w:t>23.1</w:t>
      </w:r>
      <w:r>
        <w:rPr>
          <w:sz w:val="20"/>
          <w:szCs w:val="20"/>
          <w:color w:val="auto"/>
        </w:rPr>
        <w:tab/>
      </w:r>
      <w:hyperlink w:anchor="page40">
        <w:r>
          <w:rPr>
            <w:rFonts w:ascii="Arial" w:cs="Arial" w:eastAsia="Arial" w:hAnsi="Arial"/>
            <w:sz w:val="15"/>
            <w:szCs w:val="15"/>
            <w:u w:val="single" w:color="auto"/>
            <w:color w:val="0000EE"/>
          </w:rPr>
          <w:t>Consent of PricewaterhouseCoopers LLP.</w:t>
        </w:r>
      </w:hyperlink>
    </w:p>
    <w:p>
      <w:pPr>
        <w:spacing w:after="0" w:line="59" w:lineRule="exact"/>
        <w:rPr>
          <w:rFonts w:ascii="Arial" w:cs="Arial" w:eastAsia="Arial" w:hAnsi="Arial"/>
          <w:sz w:val="16"/>
          <w:szCs w:val="16"/>
          <w:u w:val="single" w:color="auto"/>
          <w:color w:val="0000EE"/>
        </w:rPr>
      </w:pPr>
    </w:p>
    <w:p>
      <w:pPr>
        <w:ind w:left="1120"/>
        <w:spacing w:after="0"/>
        <w:tabs>
          <w:tab w:leader="none" w:pos="1680" w:val="left"/>
        </w:tabs>
        <w:rPr>
          <w:rFonts w:ascii="Arial" w:cs="Arial" w:eastAsia="Arial" w:hAnsi="Arial"/>
          <w:sz w:val="15"/>
          <w:szCs w:val="15"/>
          <w:u w:val="single" w:color="auto"/>
          <w:color w:val="0000EE"/>
        </w:rPr>
      </w:pPr>
      <w:r>
        <w:rPr>
          <w:rFonts w:ascii="Arial" w:cs="Arial" w:eastAsia="Arial" w:hAnsi="Arial"/>
          <w:sz w:val="16"/>
          <w:szCs w:val="16"/>
          <w:color w:val="auto"/>
        </w:rPr>
        <w:t>23.2</w:t>
      </w:r>
      <w:r>
        <w:rPr>
          <w:sz w:val="20"/>
          <w:szCs w:val="20"/>
          <w:color w:val="auto"/>
        </w:rPr>
        <w:tab/>
      </w:r>
      <w:hyperlink w:anchor="page35">
        <w:r>
          <w:rPr>
            <w:rFonts w:ascii="Arial" w:cs="Arial" w:eastAsia="Arial" w:hAnsi="Arial"/>
            <w:sz w:val="15"/>
            <w:szCs w:val="15"/>
            <w:u w:val="single" w:color="auto"/>
            <w:color w:val="0000EE"/>
          </w:rPr>
          <w:t>Consent of Skadden, Arps, Slate, Meagher &amp; Flom LLP (included in Exhibit 5.1).</w:t>
        </w:r>
      </w:hyperlink>
    </w:p>
    <w:p>
      <w:pPr>
        <w:spacing w:after="0" w:line="59" w:lineRule="exact"/>
        <w:rPr>
          <w:rFonts w:ascii="Arial" w:cs="Arial" w:eastAsia="Arial" w:hAnsi="Arial"/>
          <w:sz w:val="16"/>
          <w:szCs w:val="16"/>
          <w:u w:val="single" w:color="auto"/>
          <w:color w:val="0000EE"/>
        </w:rPr>
      </w:pPr>
    </w:p>
    <w:p>
      <w:pPr>
        <w:ind w:left="1120"/>
        <w:spacing w:after="0"/>
        <w:tabs>
          <w:tab w:leader="none" w:pos="1680" w:val="left"/>
        </w:tabs>
        <w:rPr>
          <w:rFonts w:ascii="Arial" w:cs="Arial" w:eastAsia="Arial" w:hAnsi="Arial"/>
          <w:sz w:val="15"/>
          <w:szCs w:val="15"/>
          <w:u w:val="single" w:color="auto"/>
          <w:color w:val="0000EE"/>
        </w:rPr>
      </w:pPr>
      <w:r>
        <w:rPr>
          <w:rFonts w:ascii="Arial" w:cs="Arial" w:eastAsia="Arial" w:hAnsi="Arial"/>
          <w:sz w:val="16"/>
          <w:szCs w:val="16"/>
          <w:color w:val="auto"/>
        </w:rPr>
        <w:t>24.1</w:t>
      </w:r>
      <w:r>
        <w:rPr>
          <w:sz w:val="20"/>
          <w:szCs w:val="20"/>
          <w:color w:val="auto"/>
        </w:rPr>
        <w:tab/>
      </w:r>
      <w:hyperlink w:anchor="page32">
        <w:r>
          <w:rPr>
            <w:rFonts w:ascii="Arial" w:cs="Arial" w:eastAsia="Arial" w:hAnsi="Arial"/>
            <w:sz w:val="15"/>
            <w:szCs w:val="15"/>
            <w:u w:val="single" w:color="auto"/>
            <w:color w:val="0000EE"/>
          </w:rPr>
          <w:t>Power of Attorney (included on signature page hereto).</w:t>
        </w:r>
      </w:hyperlink>
    </w:p>
    <w:p>
      <w:pPr>
        <w:spacing w:after="0" w:line="47" w:lineRule="exact"/>
        <w:rPr>
          <w:rFonts w:ascii="Arial" w:cs="Arial" w:eastAsia="Arial" w:hAnsi="Arial"/>
          <w:sz w:val="16"/>
          <w:szCs w:val="16"/>
          <w:u w:val="single" w:color="auto"/>
          <w:color w:val="0000EE"/>
        </w:rPr>
      </w:pPr>
    </w:p>
    <w:p>
      <w:pPr>
        <w:ind w:left="1700" w:right="879" w:hanging="583"/>
        <w:spacing w:after="0" w:line="283" w:lineRule="auto"/>
        <w:tabs>
          <w:tab w:leader="none" w:pos="1680" w:val="left"/>
        </w:tabs>
        <w:rPr>
          <w:rFonts w:ascii="Arial" w:cs="Arial" w:eastAsia="Arial" w:hAnsi="Arial"/>
          <w:sz w:val="16"/>
          <w:szCs w:val="16"/>
          <w:u w:val="single" w:color="auto"/>
          <w:color w:val="0000EE"/>
        </w:rPr>
      </w:pPr>
      <w:r>
        <w:rPr>
          <w:rFonts w:ascii="Arial" w:cs="Arial" w:eastAsia="Arial" w:hAnsi="Arial"/>
          <w:sz w:val="16"/>
          <w:szCs w:val="16"/>
          <w:color w:val="auto"/>
        </w:rPr>
        <w:t>25.1</w:t>
      </w:r>
      <w:r>
        <w:rPr>
          <w:sz w:val="20"/>
          <w:szCs w:val="20"/>
          <w:color w:val="auto"/>
        </w:rPr>
        <w:tab/>
      </w:r>
      <w:hyperlink w:anchor="page41">
        <w:r>
          <w:rPr>
            <w:rFonts w:ascii="Arial" w:cs="Arial" w:eastAsia="Arial" w:hAnsi="Arial"/>
            <w:sz w:val="16"/>
            <w:szCs w:val="16"/>
            <w:u w:val="single" w:color="auto"/>
            <w:color w:val="0000EE"/>
          </w:rPr>
          <w:t>Form T-1 Statement of Eligibility under the Trust Indenture Act of 1939, as amended, of U.S. Bank</w:t>
        </w:r>
      </w:hyperlink>
      <w:r>
        <w:rPr>
          <w:rFonts w:ascii="Arial" w:cs="Arial" w:eastAsia="Arial" w:hAnsi="Arial"/>
          <w:sz w:val="16"/>
          <w:szCs w:val="16"/>
          <w:u w:val="single" w:color="auto"/>
          <w:color w:val="0000EE"/>
        </w:rPr>
        <w:t xml:space="preserve"> </w:t>
      </w:r>
      <w:hyperlink w:anchor="page41">
        <w:r>
          <w:rPr>
            <w:rFonts w:ascii="Arial" w:cs="Arial" w:eastAsia="Arial" w:hAnsi="Arial"/>
            <w:sz w:val="16"/>
            <w:szCs w:val="16"/>
            <w:u w:val="single" w:color="auto"/>
            <w:color w:val="0000EE"/>
          </w:rPr>
          <w:t>National Association, as trustee under the Indenture.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133985</wp:posOffset>
            </wp:positionV>
            <wp:extent cx="111252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1112520" cy="7620"/>
                    </a:xfrm>
                    <a:prstGeom prst="rect">
                      <a:avLst/>
                    </a:prstGeom>
                    <a:noFill/>
                  </pic:spPr>
                </pic:pic>
              </a:graphicData>
            </a:graphic>
          </wp:anchor>
        </w:drawing>
      </w:r>
    </w:p>
    <w:p>
      <w:pPr>
        <w:spacing w:after="0" w:line="386" w:lineRule="exact"/>
        <w:rPr>
          <w:sz w:val="20"/>
          <w:szCs w:val="20"/>
          <w:color w:val="auto"/>
        </w:rPr>
      </w:pPr>
    </w:p>
    <w:p>
      <w:pPr>
        <w:ind w:left="1460" w:right="1199" w:hanging="334"/>
        <w:spacing w:after="0" w:line="283" w:lineRule="auto"/>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be filed by amendment or as an exhibit to a document to be incorporated by reference herein in connection with an offering of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32" w:name="page33"/>
    <w:bookmarkEnd w:id="32"/>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6" w:lineRule="exact"/>
        <w:rPr>
          <w:sz w:val="20"/>
          <w:szCs w:val="20"/>
          <w:color w:val="auto"/>
        </w:rPr>
      </w:pPr>
    </w:p>
    <w:p>
      <w:pPr>
        <w:ind w:left="1120" w:right="1180" w:firstLine="324"/>
        <w:spacing w:after="0" w:line="26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Town of Greenburgh, State of New York, on November 4, 2021.</w:t>
      </w:r>
    </w:p>
    <w:p>
      <w:pPr>
        <w:spacing w:after="0" w:line="126"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REGENERON PHARMACEUTICALS, INC.</w:t>
      </w:r>
    </w:p>
    <w:p>
      <w:pPr>
        <w:spacing w:after="0" w:line="258" w:lineRule="exact"/>
        <w:rPr>
          <w:sz w:val="20"/>
          <w:szCs w:val="20"/>
          <w:color w:val="auto"/>
        </w:rPr>
      </w:pPr>
    </w:p>
    <w:p>
      <w:pPr>
        <w:ind w:left="4660"/>
        <w:spacing w:after="0"/>
        <w:tabs>
          <w:tab w:leader="none" w:pos="5100" w:val="left"/>
        </w:tabs>
        <w:rPr>
          <w:sz w:val="20"/>
          <w:szCs w:val="20"/>
          <w:color w:val="auto"/>
        </w:rPr>
      </w:pPr>
      <w:r>
        <w:rPr>
          <w:rFonts w:ascii="Arial" w:cs="Arial" w:eastAsia="Arial" w:hAnsi="Arial"/>
          <w:sz w:val="16"/>
          <w:szCs w:val="16"/>
          <w:color w:val="auto"/>
        </w:rPr>
        <w:t>By:</w:t>
        <w:tab/>
        <w:t>/s/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38100</wp:posOffset>
            </wp:positionV>
            <wp:extent cx="21628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2162810" cy="7620"/>
                    </a:xfrm>
                    <a:prstGeom prst="rect">
                      <a:avLst/>
                    </a:prstGeom>
                    <a:noFill/>
                  </pic:spPr>
                </pic:pic>
              </a:graphicData>
            </a:graphic>
          </wp:anchor>
        </w:drawing>
      </w:r>
    </w:p>
    <w:p>
      <w:pPr>
        <w:spacing w:after="0" w:line="76"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Robert E. Landry</w:t>
      </w:r>
    </w:p>
    <w:p>
      <w:pPr>
        <w:spacing w:after="0" w:line="47" w:lineRule="exact"/>
        <w:rPr>
          <w:sz w:val="20"/>
          <w:szCs w:val="20"/>
          <w:color w:val="auto"/>
        </w:rPr>
      </w:pPr>
    </w:p>
    <w:p>
      <w:pPr>
        <w:ind w:left="5120"/>
        <w:spacing w:after="0"/>
        <w:tabs>
          <w:tab w:leader="none" w:pos="5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Finance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Officer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 AND POWER OF ATTORNEY</w:t>
      </w:r>
    </w:p>
    <w:p>
      <w:pPr>
        <w:spacing w:after="0" w:line="148" w:lineRule="exact"/>
        <w:rPr>
          <w:sz w:val="20"/>
          <w:szCs w:val="20"/>
          <w:color w:val="auto"/>
        </w:rPr>
      </w:pPr>
    </w:p>
    <w:p>
      <w:pPr>
        <w:ind w:left="1120" w:right="1140" w:firstLine="324"/>
        <w:spacing w:after="0" w:line="275" w:lineRule="auto"/>
        <w:rPr>
          <w:sz w:val="20"/>
          <w:szCs w:val="20"/>
          <w:color w:val="auto"/>
        </w:rPr>
      </w:pPr>
      <w:r>
        <w:rPr>
          <w:rFonts w:ascii="Arial" w:cs="Arial" w:eastAsia="Arial" w:hAnsi="Arial"/>
          <w:sz w:val="15"/>
          <w:szCs w:val="15"/>
          <w:color w:val="auto"/>
        </w:rPr>
        <w:t>In accordance with the requirements of the Securities Act of 1933, as amended, this Registration Statement has been signed by the following persons in the capacities and on the dates stated. Each person whose signature appears below constitutes and appoints each of Robert E. Landry, Christopher R. Fenimore,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98" w:lineRule="exact"/>
        <w:rPr>
          <w:sz w:val="20"/>
          <w:szCs w:val="20"/>
          <w:color w:val="auto"/>
        </w:rPr>
      </w:pPr>
    </w:p>
    <w:p>
      <w:pPr>
        <w:ind w:left="1120" w:right="1260" w:firstLine="324"/>
        <w:spacing w:after="0" w:line="283"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130" w:lineRule="exact"/>
        <w:rPr>
          <w:sz w:val="20"/>
          <w:szCs w:val="20"/>
          <w:color w:val="auto"/>
        </w:rPr>
      </w:pPr>
    </w:p>
    <w:p>
      <w:pPr>
        <w:ind w:left="2340"/>
        <w:spacing w:after="0"/>
        <w:tabs>
          <w:tab w:leader="none" w:pos="5460" w:val="left"/>
          <w:tab w:leader="none" w:pos="770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26035</wp:posOffset>
            </wp:positionV>
            <wp:extent cx="46970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4697095" cy="7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gridSpan w:val="2"/>
            <w:vMerge w:val="restart"/>
          </w:tcPr>
          <w:p>
            <w:pPr>
              <w:ind w:left="1120"/>
              <w:spacing w:after="0"/>
              <w:rPr>
                <w:sz w:val="20"/>
                <w:szCs w:val="20"/>
                <w:color w:val="auto"/>
              </w:rPr>
            </w:pPr>
            <w:r>
              <w:rPr>
                <w:rFonts w:ascii="Arial" w:cs="Arial" w:eastAsia="Arial" w:hAnsi="Arial"/>
                <w:sz w:val="16"/>
                <w:szCs w:val="16"/>
                <w:color w:val="auto"/>
              </w:rPr>
              <w:t>/s/ LEONARD S. SCHLEIFER</w:t>
            </w:r>
          </w:p>
        </w:tc>
        <w:tc>
          <w:tcPr>
            <w:tcW w:w="20" w:type="dxa"/>
            <w:vAlign w:val="bottom"/>
          </w:tcPr>
          <w:p>
            <w:pPr>
              <w:spacing w:after="0"/>
              <w:rPr>
                <w:sz w:val="16"/>
                <w:szCs w:val="16"/>
                <w:color w:val="auto"/>
              </w:rPr>
            </w:pPr>
          </w:p>
        </w:tc>
        <w:tc>
          <w:tcPr>
            <w:tcW w:w="2960" w:type="dxa"/>
            <w:vAlign w:val="bottom"/>
          </w:tcPr>
          <w:p>
            <w:pPr>
              <w:ind w:left="140"/>
              <w:spacing w:after="0"/>
              <w:rPr>
                <w:sz w:val="20"/>
                <w:szCs w:val="20"/>
                <w:color w:val="auto"/>
              </w:rPr>
            </w:pPr>
            <w:r>
              <w:rPr>
                <w:rFonts w:ascii="Arial" w:cs="Arial" w:eastAsia="Arial" w:hAnsi="Arial"/>
                <w:sz w:val="16"/>
                <w:szCs w:val="16"/>
                <w:i w:val="1"/>
                <w:iCs w:val="1"/>
                <w:color w:val="auto"/>
              </w:rPr>
              <w:t>President, Chief Executive Officer,</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6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960" w:type="dxa"/>
            <w:vAlign w:val="bottom"/>
            <w:vMerge w:val="restart"/>
          </w:tcPr>
          <w:p>
            <w:pPr>
              <w:ind w:left="140"/>
              <w:spacing w:after="0"/>
              <w:rPr>
                <w:sz w:val="20"/>
                <w:szCs w:val="20"/>
                <w:color w:val="auto"/>
              </w:rPr>
            </w:pPr>
            <w:r>
              <w:rPr>
                <w:rFonts w:ascii="Arial" w:cs="Arial" w:eastAsia="Arial" w:hAnsi="Arial"/>
                <w:sz w:val="16"/>
                <w:szCs w:val="16"/>
                <w:i w:val="1"/>
                <w:iCs w:val="1"/>
                <w:color w:val="auto"/>
              </w:rPr>
              <w:t>and Director (Principal Executive</w:t>
            </w:r>
          </w:p>
        </w:tc>
        <w:tc>
          <w:tcPr>
            <w:tcW w:w="2600" w:type="dxa"/>
            <w:vAlign w:val="bottom"/>
            <w:vMerge w:val="restart"/>
          </w:tcPr>
          <w:p>
            <w:pPr>
              <w:ind w:left="160"/>
              <w:spacing w:after="0"/>
              <w:rPr>
                <w:sz w:val="20"/>
                <w:szCs w:val="20"/>
                <w:color w:val="auto"/>
              </w:rPr>
            </w:pPr>
            <w:r>
              <w:rPr>
                <w:rFonts w:ascii="Arial" w:cs="Arial" w:eastAsia="Arial" w:hAnsi="Arial"/>
                <w:sz w:val="16"/>
                <w:szCs w:val="16"/>
                <w:color w:val="auto"/>
              </w:rPr>
              <w:t>November 4, 2021</w:t>
            </w: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2960" w:type="dxa"/>
            <w:vAlign w:val="bottom"/>
            <w:vMerge w:val="continue"/>
          </w:tcPr>
          <w:p>
            <w:pPr>
              <w:spacing w:after="0"/>
              <w:rPr>
                <w:sz w:val="4"/>
                <w:szCs w:val="4"/>
                <w:color w:val="auto"/>
              </w:rPr>
            </w:pPr>
          </w:p>
        </w:tc>
        <w:tc>
          <w:tcPr>
            <w:tcW w:w="2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4060" w:type="dxa"/>
            <w:vAlign w:val="bottom"/>
            <w:gridSpan w:val="2"/>
            <w:vMerge w:val="restart"/>
          </w:tcPr>
          <w:p>
            <w:pPr>
              <w:ind w:left="1120"/>
              <w:spacing w:after="0"/>
              <w:rPr>
                <w:sz w:val="20"/>
                <w:szCs w:val="20"/>
                <w:color w:val="auto"/>
              </w:rPr>
            </w:pPr>
            <w:r>
              <w:rPr>
                <w:rFonts w:ascii="Arial" w:cs="Arial" w:eastAsia="Arial" w:hAnsi="Arial"/>
                <w:sz w:val="16"/>
                <w:szCs w:val="16"/>
                <w:color w:val="auto"/>
              </w:rPr>
              <w:t>Leonard S. Schleifer, M.D., Ph.D.</w:t>
            </w:r>
          </w:p>
        </w:tc>
        <w:tc>
          <w:tcPr>
            <w:tcW w:w="20" w:type="dxa"/>
            <w:vAlign w:val="bottom"/>
            <w:vMerge w:val="continue"/>
          </w:tcPr>
          <w:p>
            <w:pPr>
              <w:spacing w:after="0"/>
              <w:rPr>
                <w:sz w:val="4"/>
                <w:szCs w:val="4"/>
                <w:color w:val="auto"/>
              </w:rPr>
            </w:pPr>
          </w:p>
        </w:tc>
        <w:tc>
          <w:tcPr>
            <w:tcW w:w="2960" w:type="dxa"/>
            <w:vAlign w:val="bottom"/>
            <w:vMerge w:val="continue"/>
          </w:tcPr>
          <w:p>
            <w:pPr>
              <w:spacing w:after="0"/>
              <w:rPr>
                <w:sz w:val="4"/>
                <w:szCs w:val="4"/>
                <w:color w:val="auto"/>
              </w:rPr>
            </w:pPr>
          </w:p>
        </w:tc>
        <w:tc>
          <w:tcPr>
            <w:tcW w:w="2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40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Arial" w:cs="Arial" w:eastAsia="Arial" w:hAnsi="Arial"/>
                <w:sz w:val="16"/>
                <w:szCs w:val="16"/>
                <w:i w:val="1"/>
                <w:iCs w:val="1"/>
                <w:color w:val="auto"/>
              </w:rPr>
              <w:t>Officer)</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4"/>
                <w:szCs w:val="24"/>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/s/ ROBERT E. LANDRY</w:t>
            </w:r>
          </w:p>
        </w:tc>
        <w:tc>
          <w:tcPr>
            <w:tcW w:w="20" w:type="dxa"/>
            <w:vAlign w:val="bottom"/>
          </w:tcPr>
          <w:p>
            <w:pPr>
              <w:spacing w:after="0"/>
              <w:rPr>
                <w:sz w:val="24"/>
                <w:szCs w:val="24"/>
                <w:color w:val="auto"/>
              </w:rPr>
            </w:pPr>
          </w:p>
        </w:tc>
        <w:tc>
          <w:tcPr>
            <w:tcW w:w="2960" w:type="dxa"/>
            <w:vAlign w:val="bottom"/>
          </w:tcPr>
          <w:p>
            <w:pPr>
              <w:ind w:left="160"/>
              <w:spacing w:after="0"/>
              <w:rPr>
                <w:sz w:val="20"/>
                <w:szCs w:val="20"/>
                <w:color w:val="auto"/>
              </w:rPr>
            </w:pPr>
            <w:r>
              <w:rPr>
                <w:rFonts w:ascii="Arial" w:cs="Arial" w:eastAsia="Arial" w:hAnsi="Arial"/>
                <w:sz w:val="16"/>
                <w:szCs w:val="16"/>
                <w:i w:val="1"/>
                <w:iCs w:val="1"/>
                <w:color w:val="auto"/>
              </w:rPr>
              <w:t>Executive Vice President, Finance and</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96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Chief Financial Officer (Principal</w:t>
            </w:r>
          </w:p>
        </w:tc>
        <w:tc>
          <w:tcPr>
            <w:tcW w:w="2600" w:type="dxa"/>
            <w:vAlign w:val="bottom"/>
            <w:vMerge w:val="restart"/>
          </w:tcPr>
          <w:p>
            <w:pPr>
              <w:ind w:left="160"/>
              <w:spacing w:after="0"/>
              <w:rPr>
                <w:sz w:val="20"/>
                <w:szCs w:val="20"/>
                <w:color w:val="auto"/>
              </w:rPr>
            </w:pPr>
            <w:r>
              <w:rPr>
                <w:rFonts w:ascii="Arial" w:cs="Arial" w:eastAsia="Arial" w:hAnsi="Arial"/>
                <w:sz w:val="16"/>
                <w:szCs w:val="16"/>
                <w:color w:val="auto"/>
              </w:rPr>
              <w:t>November 4, 2021</w:t>
            </w: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960" w:type="dxa"/>
            <w:vAlign w:val="bottom"/>
            <w:vMerge w:val="continue"/>
          </w:tcPr>
          <w:p>
            <w:pPr>
              <w:spacing w:after="0"/>
              <w:rPr>
                <w:sz w:val="4"/>
                <w:szCs w:val="4"/>
                <w:color w:val="auto"/>
              </w:rPr>
            </w:pPr>
          </w:p>
        </w:tc>
        <w:tc>
          <w:tcPr>
            <w:tcW w:w="2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140" w:type="dxa"/>
            <w:vAlign w:val="bottom"/>
          </w:tcPr>
          <w:p>
            <w:pPr>
              <w:spacing w:after="0"/>
              <w:rPr>
                <w:sz w:val="4"/>
                <w:szCs w:val="4"/>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Robert E. Landry</w:t>
            </w:r>
          </w:p>
        </w:tc>
        <w:tc>
          <w:tcPr>
            <w:tcW w:w="20" w:type="dxa"/>
            <w:vAlign w:val="bottom"/>
          </w:tcPr>
          <w:p>
            <w:pPr>
              <w:spacing w:after="0"/>
              <w:rPr>
                <w:sz w:val="4"/>
                <w:szCs w:val="4"/>
                <w:color w:val="auto"/>
              </w:rPr>
            </w:pPr>
          </w:p>
        </w:tc>
        <w:tc>
          <w:tcPr>
            <w:tcW w:w="2960" w:type="dxa"/>
            <w:vAlign w:val="bottom"/>
            <w:vMerge w:val="continue"/>
          </w:tcPr>
          <w:p>
            <w:pPr>
              <w:spacing w:after="0"/>
              <w:rPr>
                <w:sz w:val="4"/>
                <w:szCs w:val="4"/>
                <w:color w:val="auto"/>
              </w:rPr>
            </w:pPr>
          </w:p>
        </w:tc>
        <w:tc>
          <w:tcPr>
            <w:tcW w:w="2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2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Pr>
          <w:p>
            <w:pPr>
              <w:ind w:left="160"/>
              <w:spacing w:after="0"/>
              <w:rPr>
                <w:sz w:val="20"/>
                <w:szCs w:val="20"/>
                <w:color w:val="auto"/>
              </w:rPr>
            </w:pPr>
            <w:r>
              <w:rPr>
                <w:rFonts w:ascii="Arial" w:cs="Arial" w:eastAsia="Arial" w:hAnsi="Arial"/>
                <w:sz w:val="16"/>
                <w:szCs w:val="16"/>
                <w:i w:val="1"/>
                <w:iCs w:val="1"/>
                <w:color w:val="auto"/>
              </w:rPr>
              <w:t>Financial Officer)</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3"/>
        </w:trPr>
        <w:tc>
          <w:tcPr>
            <w:tcW w:w="1140" w:type="dxa"/>
            <w:vAlign w:val="bottom"/>
          </w:tcPr>
          <w:p>
            <w:pPr>
              <w:spacing w:after="0"/>
              <w:rPr>
                <w:sz w:val="24"/>
                <w:szCs w:val="24"/>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CHRISTOPHER R. FENIMORE</w:t>
            </w:r>
          </w:p>
        </w:tc>
        <w:tc>
          <w:tcPr>
            <w:tcW w:w="20" w:type="dxa"/>
            <w:vAlign w:val="bottom"/>
            <w:tcBorders>
              <w:bottom w:val="single" w:sz="8" w:color="auto"/>
            </w:tcBorders>
          </w:tcPr>
          <w:p>
            <w:pPr>
              <w:spacing w:after="0"/>
              <w:rPr>
                <w:sz w:val="24"/>
                <w:szCs w:val="24"/>
                <w:color w:val="auto"/>
              </w:rPr>
            </w:pPr>
          </w:p>
        </w:tc>
        <w:tc>
          <w:tcPr>
            <w:tcW w:w="2960" w:type="dxa"/>
            <w:vAlign w:val="bottom"/>
          </w:tcPr>
          <w:p>
            <w:pPr>
              <w:ind w:left="160"/>
              <w:spacing w:after="0"/>
              <w:rPr>
                <w:sz w:val="20"/>
                <w:szCs w:val="20"/>
                <w:color w:val="auto"/>
              </w:rPr>
            </w:pPr>
            <w:r>
              <w:rPr>
                <w:rFonts w:ascii="Arial" w:cs="Arial" w:eastAsia="Arial" w:hAnsi="Arial"/>
                <w:sz w:val="16"/>
                <w:szCs w:val="16"/>
                <w:i w:val="1"/>
                <w:iCs w:val="1"/>
                <w:color w:val="auto"/>
              </w:rPr>
              <w:t>Senior Vice President, Controller</w:t>
            </w:r>
          </w:p>
        </w:tc>
        <w:tc>
          <w:tcPr>
            <w:tcW w:w="2600" w:type="dxa"/>
            <w:vAlign w:val="bottom"/>
            <w:vMerge w:val="restart"/>
          </w:tcPr>
          <w:p>
            <w:pPr>
              <w:ind w:left="160"/>
              <w:spacing w:after="0"/>
              <w:rPr>
                <w:sz w:val="20"/>
                <w:szCs w:val="20"/>
                <w:color w:val="auto"/>
              </w:rPr>
            </w:pPr>
            <w:r>
              <w:rPr>
                <w:rFonts w:ascii="Arial" w:cs="Arial" w:eastAsia="Arial" w:hAnsi="Arial"/>
                <w:sz w:val="16"/>
                <w:szCs w:val="16"/>
                <w:color w:val="auto"/>
              </w:rPr>
              <w:t>November 4, 2021</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Christopher R. Fenimore</w:t>
            </w:r>
          </w:p>
        </w:tc>
        <w:tc>
          <w:tcPr>
            <w:tcW w:w="20" w:type="dxa"/>
            <w:vAlign w:val="bottom"/>
          </w:tcPr>
          <w:p>
            <w:pPr>
              <w:spacing w:after="0"/>
              <w:rPr>
                <w:sz w:val="6"/>
                <w:szCs w:val="6"/>
                <w:color w:val="auto"/>
              </w:rPr>
            </w:pPr>
          </w:p>
        </w:tc>
        <w:tc>
          <w:tcPr>
            <w:tcW w:w="296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(Principal Accounting Officer)</w:t>
            </w:r>
          </w:p>
        </w:tc>
        <w:tc>
          <w:tcPr>
            <w:tcW w:w="2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9"/>
        </w:trPr>
        <w:tc>
          <w:tcPr>
            <w:tcW w:w="1140" w:type="dxa"/>
            <w:vAlign w:val="bottom"/>
          </w:tcPr>
          <w:p>
            <w:pPr>
              <w:spacing w:after="0"/>
              <w:rPr>
                <w:sz w:val="24"/>
                <w:szCs w:val="24"/>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GEORGE D. YANCOPOULOS</w:t>
            </w:r>
          </w:p>
        </w:tc>
        <w:tc>
          <w:tcPr>
            <w:tcW w:w="20" w:type="dxa"/>
            <w:vAlign w:val="bottom"/>
            <w:tcBorders>
              <w:bottom w:val="single" w:sz="8" w:color="auto"/>
            </w:tcBorders>
          </w:tcPr>
          <w:p>
            <w:pPr>
              <w:spacing w:after="0"/>
              <w:rPr>
                <w:sz w:val="24"/>
                <w:szCs w:val="24"/>
                <w:color w:val="auto"/>
              </w:rPr>
            </w:pPr>
          </w:p>
        </w:tc>
        <w:tc>
          <w:tcPr>
            <w:tcW w:w="2960" w:type="dxa"/>
            <w:vAlign w:val="bottom"/>
          </w:tcPr>
          <w:p>
            <w:pPr>
              <w:ind w:left="160"/>
              <w:spacing w:after="0"/>
              <w:rPr>
                <w:sz w:val="20"/>
                <w:szCs w:val="20"/>
                <w:color w:val="auto"/>
              </w:rPr>
            </w:pPr>
            <w:r>
              <w:rPr>
                <w:rFonts w:ascii="Arial" w:cs="Arial" w:eastAsia="Arial" w:hAnsi="Arial"/>
                <w:sz w:val="16"/>
                <w:szCs w:val="16"/>
                <w:i w:val="1"/>
                <w:iCs w:val="1"/>
                <w:color w:val="auto"/>
              </w:rPr>
              <w:t>President, Chief Scientific Officer, and</w:t>
            </w:r>
          </w:p>
        </w:tc>
        <w:tc>
          <w:tcPr>
            <w:tcW w:w="2600" w:type="dxa"/>
            <w:vAlign w:val="bottom"/>
            <w:vMerge w:val="restart"/>
          </w:tcPr>
          <w:p>
            <w:pPr>
              <w:ind w:left="160"/>
              <w:spacing w:after="0"/>
              <w:rPr>
                <w:sz w:val="20"/>
                <w:szCs w:val="20"/>
                <w:color w:val="auto"/>
              </w:rPr>
            </w:pPr>
            <w:r>
              <w:rPr>
                <w:rFonts w:ascii="Arial" w:cs="Arial" w:eastAsia="Arial" w:hAnsi="Arial"/>
                <w:sz w:val="16"/>
                <w:szCs w:val="16"/>
                <w:color w:val="auto"/>
              </w:rPr>
              <w:t>November 4, 2021</w:t>
            </w: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George D. Yancopoulos, M.D., Ph.D.</w:t>
            </w:r>
          </w:p>
        </w:tc>
        <w:tc>
          <w:tcPr>
            <w:tcW w:w="20" w:type="dxa"/>
            <w:vAlign w:val="bottom"/>
          </w:tcPr>
          <w:p>
            <w:pPr>
              <w:spacing w:after="0"/>
              <w:rPr>
                <w:sz w:val="6"/>
                <w:szCs w:val="6"/>
                <w:color w:val="auto"/>
              </w:rPr>
            </w:pPr>
          </w:p>
        </w:tc>
        <w:tc>
          <w:tcPr>
            <w:tcW w:w="296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Director</w:t>
            </w:r>
          </w:p>
        </w:tc>
        <w:tc>
          <w:tcPr>
            <w:tcW w:w="2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P. ROY VAGELOS</w:t>
            </w:r>
          </w:p>
        </w:tc>
        <w:tc>
          <w:tcPr>
            <w:tcW w:w="20" w:type="dxa"/>
            <w:vAlign w:val="bottom"/>
          </w:tcPr>
          <w:p>
            <w:pPr>
              <w:spacing w:after="0"/>
              <w:rPr>
                <w:sz w:val="24"/>
                <w:szCs w:val="24"/>
                <w:color w:val="auto"/>
              </w:rPr>
            </w:pPr>
          </w:p>
        </w:tc>
        <w:tc>
          <w:tcPr>
            <w:tcW w:w="296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Chairman of the Board</w:t>
            </w:r>
          </w:p>
        </w:tc>
        <w:tc>
          <w:tcPr>
            <w:tcW w:w="2600" w:type="dxa"/>
            <w:vAlign w:val="bottom"/>
            <w:vMerge w:val="restart"/>
          </w:tcPr>
          <w:p>
            <w:pPr>
              <w:ind w:left="160"/>
              <w:spacing w:after="0"/>
              <w:rPr>
                <w:sz w:val="20"/>
                <w:szCs w:val="20"/>
                <w:color w:val="auto"/>
              </w:rPr>
            </w:pPr>
            <w:r>
              <w:rPr>
                <w:rFonts w:ascii="Arial" w:cs="Arial" w:eastAsia="Arial" w:hAnsi="Arial"/>
                <w:sz w:val="16"/>
                <w:szCs w:val="16"/>
                <w:color w:val="auto"/>
              </w:rPr>
              <w:t>November 4, 2021</w:t>
            </w: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960" w:type="dxa"/>
            <w:vAlign w:val="bottom"/>
            <w:vMerge w:val="continue"/>
          </w:tcPr>
          <w:p>
            <w:pPr>
              <w:spacing w:after="0"/>
              <w:rPr>
                <w:sz w:val="4"/>
                <w:szCs w:val="4"/>
                <w:color w:val="auto"/>
              </w:rPr>
            </w:pPr>
          </w:p>
        </w:tc>
        <w:tc>
          <w:tcPr>
            <w:tcW w:w="2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P. Roy Vagelos, M.D.</w:t>
            </w:r>
          </w:p>
        </w:tc>
        <w:tc>
          <w:tcPr>
            <w:tcW w:w="20" w:type="dxa"/>
            <w:vAlign w:val="bottom"/>
          </w:tcPr>
          <w:p>
            <w:pPr>
              <w:spacing w:after="0"/>
              <w:rPr>
                <w:sz w:val="6"/>
                <w:szCs w:val="6"/>
                <w:color w:val="auto"/>
              </w:rPr>
            </w:pPr>
          </w:p>
        </w:tc>
        <w:tc>
          <w:tcPr>
            <w:tcW w:w="2960" w:type="dxa"/>
            <w:vAlign w:val="bottom"/>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4"/>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Pr>
          <w:p>
            <w:pPr>
              <w:ind w:left="600"/>
              <w:spacing w:after="0"/>
              <w:rPr>
                <w:sz w:val="20"/>
                <w:szCs w:val="20"/>
                <w:color w:val="auto"/>
              </w:rPr>
            </w:pPr>
            <w:r>
              <w:rPr>
                <w:rFonts w:ascii="Arial" w:cs="Arial" w:eastAsia="Arial" w:hAnsi="Arial"/>
                <w:sz w:val="16"/>
                <w:szCs w:val="16"/>
                <w:color w:val="auto"/>
              </w:rPr>
              <w:t>II-5</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40"/>
          </w:cols>
          <w:pgMar w:left="1120" w:top="131" w:right="11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5"/>
        </w:trPr>
        <w:tc>
          <w:tcPr>
            <w:tcW w:w="4060" w:type="dxa"/>
            <w:vAlign w:val="bottom"/>
            <w:gridSpan w:val="2"/>
          </w:tcPr>
          <w:p>
            <w:pPr>
              <w:spacing w:after="0"/>
              <w:rPr>
                <w:rFonts w:ascii="Arial" w:cs="Arial" w:eastAsia="Arial" w:hAnsi="Arial"/>
                <w:sz w:val="13"/>
                <w:szCs w:val="13"/>
                <w:color w:val="003366"/>
              </w:rPr>
            </w:pPr>
            <w:hyperlink w:anchor="page2">
              <w:r>
                <w:rPr>
                  <w:rFonts w:ascii="Arial" w:cs="Arial" w:eastAsia="Arial" w:hAnsi="Arial"/>
                  <w:sz w:val="13"/>
                  <w:szCs w:val="13"/>
                  <w:color w:val="003366"/>
                </w:rPr>
                <w:t>TABLE OF CONTENTS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2"/>
        </w:trPr>
        <w:tc>
          <w:tcPr>
            <w:tcW w:w="1140" w:type="dxa"/>
            <w:vAlign w:val="bottom"/>
          </w:tcPr>
          <w:p>
            <w:pPr>
              <w:spacing w:after="0"/>
              <w:rPr>
                <w:sz w:val="24"/>
                <w:szCs w:val="24"/>
                <w:color w:val="auto"/>
              </w:rPr>
            </w:pPr>
          </w:p>
        </w:tc>
        <w:tc>
          <w:tcPr>
            <w:tcW w:w="2920" w:type="dxa"/>
            <w:vAlign w:val="bottom"/>
          </w:tcPr>
          <w:p>
            <w:pPr>
              <w:ind w:left="1200"/>
              <w:spacing w:after="0"/>
              <w:rPr>
                <w:sz w:val="20"/>
                <w:szCs w:val="20"/>
                <w:color w:val="auto"/>
              </w:rPr>
            </w:pPr>
            <w:r>
              <w:rPr>
                <w:rFonts w:ascii="Arial" w:cs="Arial" w:eastAsia="Arial" w:hAnsi="Arial"/>
                <w:sz w:val="13"/>
                <w:szCs w:val="13"/>
                <w:b w:val="1"/>
                <w:bCs w:val="1"/>
                <w:color w:val="auto"/>
              </w:rPr>
              <w:t>Signature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tcPr>
          <w:p>
            <w:pPr>
              <w:ind w:left="1220"/>
              <w:spacing w:after="0"/>
              <w:rPr>
                <w:sz w:val="20"/>
                <w:szCs w:val="20"/>
                <w:color w:val="auto"/>
              </w:rPr>
            </w:pPr>
            <w:r>
              <w:rPr>
                <w:rFonts w:ascii="Arial" w:cs="Arial" w:eastAsia="Arial" w:hAnsi="Arial"/>
                <w:sz w:val="13"/>
                <w:szCs w:val="13"/>
                <w:b w:val="1"/>
                <w:bCs w:val="1"/>
                <w:color w:val="auto"/>
              </w:rPr>
              <w:t>Title</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8"/>
        </w:trPr>
        <w:tc>
          <w:tcPr>
            <w:tcW w:w="4060" w:type="dxa"/>
            <w:vAlign w:val="bottom"/>
            <w:gridSpan w:val="2"/>
          </w:tcPr>
          <w:p>
            <w:pPr>
              <w:ind w:left="1120"/>
              <w:spacing w:after="0"/>
              <w:rPr>
                <w:sz w:val="20"/>
                <w:szCs w:val="20"/>
                <w:color w:val="auto"/>
              </w:rPr>
            </w:pPr>
            <w:r>
              <w:rPr>
                <w:rFonts w:ascii="Arial" w:cs="Arial" w:eastAsia="Arial" w:hAnsi="Arial"/>
                <w:sz w:val="16"/>
                <w:szCs w:val="16"/>
                <w:color w:val="auto"/>
              </w:rPr>
              <w:t>/s/ BONNIE L. BASSLER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3"/>
            <w:vMerge w:val="restart"/>
          </w:tcPr>
          <w:p>
            <w:pPr>
              <w:ind w:left="160"/>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040" w:type="dxa"/>
            <w:vAlign w:val="bottom"/>
            <w:gridSpan w:val="3"/>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4060" w:type="dxa"/>
            <w:vAlign w:val="bottom"/>
            <w:gridSpan w:val="2"/>
            <w:vMerge w:val="restart"/>
          </w:tcPr>
          <w:p>
            <w:pPr>
              <w:ind w:left="1120"/>
              <w:spacing w:after="0"/>
              <w:rPr>
                <w:sz w:val="20"/>
                <w:szCs w:val="20"/>
                <w:color w:val="auto"/>
              </w:rPr>
            </w:pPr>
            <w:r>
              <w:rPr>
                <w:rFonts w:ascii="Arial" w:cs="Arial" w:eastAsia="Arial" w:hAnsi="Arial"/>
                <w:sz w:val="16"/>
                <w:szCs w:val="16"/>
                <w:color w:val="auto"/>
              </w:rPr>
              <w:t>Bonnie L. Bassler, Ph.D.</w:t>
            </w:r>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040" w:type="dxa"/>
            <w:vAlign w:val="bottom"/>
            <w:gridSpan w:val="3"/>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MICHAEL S. BROWN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Michael S. Brown, M.D.</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N. ANTHONY COLES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N. Anthony Coles, M.D.</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JOSEPH L. GOLDSTEIN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Joseph L. Goldstein, M.D.</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CHRISTINE A. POON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Christine A. Poon</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ARTHUR F. RYAN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Arthur F. Ryan</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GEORGE L. SING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George L. Sing</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MARC TESSIER-LAVIGNE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Marc Tessier-Lavigne, Ph.D.</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/s/ HUDA Y. ZOGHBI</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Director</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95"/>
              </w:rPr>
              <w:t>November 4, 2021</w:t>
            </w:r>
          </w:p>
        </w:tc>
        <w:tc>
          <w:tcPr>
            <w:tcW w:w="0" w:type="dxa"/>
            <w:vAlign w:val="bottom"/>
          </w:tcPr>
          <w:p>
            <w:pPr>
              <w:spacing w:after="0"/>
              <w:rPr>
                <w:sz w:val="1"/>
                <w:szCs w:val="1"/>
                <w:color w:val="auto"/>
              </w:rPr>
            </w:pPr>
          </w:p>
        </w:tc>
      </w:tr>
      <w:tr>
        <w:trPr>
          <w:trHeight w:val="37"/>
        </w:trPr>
        <w:tc>
          <w:tcPr>
            <w:tcW w:w="114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8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2920" w:type="dxa"/>
            <w:vAlign w:val="bottom"/>
            <w:vMerge w:val="restart"/>
          </w:tcPr>
          <w:p>
            <w:pPr>
              <w:spacing w:after="0"/>
              <w:rPr>
                <w:sz w:val="20"/>
                <w:szCs w:val="20"/>
                <w:color w:val="auto"/>
              </w:rPr>
            </w:pPr>
            <w:r>
              <w:rPr>
                <w:rFonts w:ascii="Arial" w:cs="Arial" w:eastAsia="Arial" w:hAnsi="Arial"/>
                <w:sz w:val="16"/>
                <w:szCs w:val="16"/>
                <w:color w:val="auto"/>
              </w:rPr>
              <w:t>Huda Y. Zoghbi, M.D.</w:t>
            </w:r>
          </w:p>
        </w:tc>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226060</wp:posOffset>
            </wp:positionV>
            <wp:extent cx="615124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6151245" cy="40640"/>
                    </a:xfrm>
                    <a:prstGeom prst="rect">
                      <a:avLst/>
                    </a:prstGeom>
                    <a:noFill/>
                  </pic:spPr>
                </pic:pic>
              </a:graphicData>
            </a:graphic>
          </wp:anchor>
        </w:drawing>
      </w:r>
    </w:p>
    <w:p>
      <w:pPr>
        <w:sectPr>
          <w:pgSz w:w="11900" w:h="16838" w:orient="portrait"/>
          <w:cols w:equalWidth="0" w:num="1">
            <w:col w:w="9339"/>
          </w:cols>
          <w:pgMar w:left="1120" w:top="131"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5.1</w:t>
      </w:r>
    </w:p>
    <w:p>
      <w:pPr>
        <w:spacing w:after="0" w:line="20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[LETTERHEAD OF SKADDEN, ARPS, SLATE, MEAGHER &amp; FLOM LLP]</w:t>
      </w:r>
    </w:p>
    <w:p>
      <w:pPr>
        <w:spacing w:after="0" w:line="205" w:lineRule="exact"/>
        <w:rPr>
          <w:sz w:val="20"/>
          <w:szCs w:val="20"/>
          <w:color w:val="auto"/>
        </w:rPr>
      </w:pPr>
    </w:p>
    <w:p>
      <w:pPr>
        <w:ind w:left="7143"/>
        <w:spacing w:after="0"/>
        <w:rPr>
          <w:sz w:val="20"/>
          <w:szCs w:val="20"/>
          <w:color w:val="auto"/>
        </w:rPr>
      </w:pPr>
      <w:r>
        <w:rPr>
          <w:rFonts w:ascii="Arial" w:cs="Arial" w:eastAsia="Arial" w:hAnsi="Arial"/>
          <w:sz w:val="16"/>
          <w:szCs w:val="16"/>
          <w:color w:val="auto"/>
        </w:rPr>
        <w:t>November 4, 2021</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color w:val="auto"/>
        </w:rPr>
        <w:t>Regeneron Pharmaceuticals, Inc.</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color w:val="auto"/>
        </w:rPr>
        <w:t>777 Old Saw Mill River Road</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Tarrytown, New York 10591-6707</w:t>
      </w:r>
    </w:p>
    <w:p>
      <w:pPr>
        <w:spacing w:after="0" w:line="193" w:lineRule="exact"/>
        <w:rPr>
          <w:sz w:val="20"/>
          <w:szCs w:val="20"/>
          <w:color w:val="auto"/>
        </w:rPr>
      </w:pPr>
    </w:p>
    <w:p>
      <w:pPr>
        <w:ind w:left="4063"/>
        <w:spacing w:after="0"/>
        <w:rPr>
          <w:sz w:val="20"/>
          <w:szCs w:val="20"/>
          <w:color w:val="auto"/>
        </w:rPr>
      </w:pPr>
      <w:r>
        <w:rPr>
          <w:rFonts w:ascii="Arial" w:cs="Arial" w:eastAsia="Arial" w:hAnsi="Arial"/>
          <w:sz w:val="16"/>
          <w:szCs w:val="16"/>
          <w:color w:val="auto"/>
        </w:rPr>
        <w:t>Re: Regeneron Pharmaceuticals, Inc.</w:t>
      </w:r>
    </w:p>
    <w:p>
      <w:pPr>
        <w:spacing w:after="0" w:line="23" w:lineRule="exact"/>
        <w:rPr>
          <w:sz w:val="20"/>
          <w:szCs w:val="20"/>
          <w:color w:val="auto"/>
        </w:rPr>
      </w:pPr>
    </w:p>
    <w:p>
      <w:pPr>
        <w:ind w:left="4383"/>
        <w:spacing w:after="0"/>
        <w:rPr>
          <w:sz w:val="20"/>
          <w:szCs w:val="20"/>
          <w:color w:val="auto"/>
        </w:rPr>
      </w:pPr>
      <w:r>
        <w:rPr>
          <w:rFonts w:ascii="Arial" w:cs="Arial" w:eastAsia="Arial" w:hAnsi="Arial"/>
          <w:sz w:val="16"/>
          <w:szCs w:val="16"/>
          <w:u w:val="single" w:color="auto"/>
          <w:color w:val="auto"/>
        </w:rPr>
        <w:t>Registration Statement on Form S-3</w:t>
      </w:r>
    </w:p>
    <w:p>
      <w:pPr>
        <w:spacing w:after="0" w:line="193" w:lineRule="exact"/>
        <w:rPr>
          <w:sz w:val="20"/>
          <w:szCs w:val="20"/>
          <w:color w:val="auto"/>
        </w:rPr>
      </w:pPr>
    </w:p>
    <w:p>
      <w:pPr>
        <w:ind w:left="3"/>
        <w:spacing w:after="0"/>
        <w:rPr>
          <w:sz w:val="20"/>
          <w:szCs w:val="20"/>
          <w:color w:val="auto"/>
        </w:rPr>
      </w:pPr>
      <w:r>
        <w:rPr>
          <w:rFonts w:ascii="Arial" w:cs="Arial" w:eastAsia="Arial" w:hAnsi="Arial"/>
          <w:sz w:val="16"/>
          <w:szCs w:val="16"/>
          <w:color w:val="auto"/>
        </w:rPr>
        <w:t>Ladies and Gentlemen:</w:t>
      </w:r>
    </w:p>
    <w:p>
      <w:pPr>
        <w:spacing w:after="0" w:line="205" w:lineRule="exact"/>
        <w:rPr>
          <w:sz w:val="20"/>
          <w:szCs w:val="20"/>
          <w:color w:val="auto"/>
        </w:rPr>
      </w:pPr>
    </w:p>
    <w:p>
      <w:pPr>
        <w:ind w:left="3" w:right="60" w:firstLine="1168"/>
        <w:spacing w:after="0" w:line="292" w:lineRule="auto"/>
        <w:rPr>
          <w:sz w:val="20"/>
          <w:szCs w:val="20"/>
          <w:color w:val="auto"/>
        </w:rPr>
      </w:pPr>
      <w:r>
        <w:rPr>
          <w:rFonts w:ascii="Arial" w:cs="Arial" w:eastAsia="Arial" w:hAnsi="Arial"/>
          <w:sz w:val="14"/>
          <w:szCs w:val="14"/>
          <w:color w:val="auto"/>
        </w:rPr>
        <w:t>We have acted as special United States counsel to Regeneron Pharmaceuticals, Inc., a New York corporation (the “Company”), in connection with the registration statement on Form S-3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(i) shares of common stock, par value $0.001 per share, of the Company (“Common Stock”), (ii) shares of preferred stock, par value $0.001 per share, of the Company (“Preferred Stock”), which may be issued in one or more series, (iii) debt securities of the Company (“Debt Securities”), which may be issued in one or more series under the indenture, dated August 12, 2020 (the “Indenture”), between the Company and U.S. Bank National Association, as trustee, which has been filed as an exhibit to the Registration Statement,</w:t>
      </w:r>
    </w:p>
    <w:p>
      <w:pPr>
        <w:spacing w:after="0" w:line="3" w:lineRule="exact"/>
        <w:rPr>
          <w:sz w:val="20"/>
          <w:szCs w:val="20"/>
          <w:color w:val="auto"/>
        </w:rPr>
      </w:pPr>
    </w:p>
    <w:p>
      <w:pPr>
        <w:ind w:left="3" w:right="80" w:hanging="3"/>
        <w:spacing w:after="0" w:line="277" w:lineRule="auto"/>
        <w:tabs>
          <w:tab w:leader="none" w:pos="277" w:val="left"/>
        </w:tabs>
        <w:numPr>
          <w:ilvl w:val="0"/>
          <w:numId w:val="29"/>
        </w:numPr>
        <w:rPr>
          <w:rFonts w:ascii="Arial" w:cs="Arial" w:eastAsia="Arial" w:hAnsi="Arial"/>
          <w:sz w:val="15"/>
          <w:szCs w:val="15"/>
          <w:color w:val="auto"/>
        </w:rPr>
      </w:pPr>
      <w:r>
        <w:rPr>
          <w:rFonts w:ascii="Arial" w:cs="Arial" w:eastAsia="Arial" w:hAnsi="Arial"/>
          <w:sz w:val="15"/>
          <w:szCs w:val="15"/>
          <w:color w:val="auto"/>
        </w:rPr>
        <w:t>warrants to purchase shares of Common Stock, shares of Preferred Stock or Debt Securities (“Warrants”), which may be issued pursuant to one or more warrant agreements (each, a “Warrant Agreement”) proposed to be entered into by the Company and one or more warrant agents to be named therein and (v) such indeterminate number of shares of Common Stock or Preferred Stock and indeterminate amount of Debt Securities as may be issued upon conversion, exchange or exercise, as applicable, of any Preferred Stock, Debt Securities or Warrants, including such shares of Common Stock or Preferred Stock as may be issued pursuant to anti-dilution adjustments determined at the time of offering (collectively, “Indeterminate Securities”). The Common Stock, Preferred Stock, Indeterminate Securities, Debt Securities and Warrants offered pursuant to the Registration Statement are collectively referred to herein as the “Securities.”</w:t>
      </w:r>
    </w:p>
    <w:p>
      <w:pPr>
        <w:spacing w:after="0" w:line="156" w:lineRule="exact"/>
        <w:rPr>
          <w:sz w:val="20"/>
          <w:szCs w:val="20"/>
          <w:color w:val="auto"/>
        </w:rPr>
      </w:pPr>
    </w:p>
    <w:p>
      <w:pPr>
        <w:ind w:left="1163"/>
        <w:spacing w:after="0"/>
        <w:rPr>
          <w:sz w:val="20"/>
          <w:szCs w:val="20"/>
          <w:color w:val="auto"/>
        </w:rPr>
      </w:pPr>
      <w:r>
        <w:rPr>
          <w:rFonts w:ascii="Arial" w:cs="Arial" w:eastAsia="Arial" w:hAnsi="Arial"/>
          <w:sz w:val="16"/>
          <w:szCs w:val="16"/>
          <w:color w:val="auto"/>
        </w:rPr>
        <w:t>This opinion is being furnished in accordance with the requirements of Item 601(b)(5) of Regulation S-K under the Securities Act.</w:t>
      </w:r>
    </w:p>
    <w:p>
      <w:pPr>
        <w:spacing w:after="0" w:line="205" w:lineRule="exact"/>
        <w:rPr>
          <w:sz w:val="20"/>
          <w:szCs w:val="20"/>
          <w:color w:val="auto"/>
        </w:rPr>
      </w:pPr>
    </w:p>
    <w:p>
      <w:pPr>
        <w:ind w:left="1163"/>
        <w:spacing w:after="0"/>
        <w:rPr>
          <w:sz w:val="20"/>
          <w:szCs w:val="20"/>
          <w:color w:val="auto"/>
        </w:rPr>
      </w:pPr>
      <w:r>
        <w:rPr>
          <w:rFonts w:ascii="Arial" w:cs="Arial" w:eastAsia="Arial" w:hAnsi="Arial"/>
          <w:sz w:val="16"/>
          <w:szCs w:val="16"/>
          <w:color w:val="auto"/>
        </w:rPr>
        <w:t>In rendering the opinions stated herein, we have examined and relied upon the following:</w:t>
      </w:r>
    </w:p>
    <w:p>
      <w:pPr>
        <w:spacing w:after="0" w:line="205" w:lineRule="exact"/>
        <w:rPr>
          <w:sz w:val="20"/>
          <w:szCs w:val="20"/>
          <w:color w:val="auto"/>
        </w:rPr>
      </w:pPr>
    </w:p>
    <w:p>
      <w:pPr>
        <w:ind w:left="2043" w:hanging="875"/>
        <w:spacing w:after="0"/>
        <w:tabs>
          <w:tab w:leader="none" w:pos="20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Registration Statement;</w:t>
      </w:r>
    </w:p>
    <w:p>
      <w:pPr>
        <w:spacing w:after="0" w:line="205" w:lineRule="exact"/>
        <w:rPr>
          <w:rFonts w:ascii="Arial" w:cs="Arial" w:eastAsia="Arial" w:hAnsi="Arial"/>
          <w:sz w:val="16"/>
          <w:szCs w:val="16"/>
          <w:color w:val="auto"/>
        </w:rPr>
      </w:pPr>
    </w:p>
    <w:p>
      <w:pPr>
        <w:ind w:left="2043" w:hanging="875"/>
        <w:spacing w:after="0"/>
        <w:tabs>
          <w:tab w:leader="none" w:pos="20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executed copy of the Indenture filed as an exhibit to the Registration Statement;</w:t>
      </w:r>
    </w:p>
    <w:p>
      <w:pPr>
        <w:spacing w:after="0" w:line="205" w:lineRule="exact"/>
        <w:rPr>
          <w:rFonts w:ascii="Arial" w:cs="Arial" w:eastAsia="Arial" w:hAnsi="Arial"/>
          <w:sz w:val="16"/>
          <w:szCs w:val="16"/>
          <w:color w:val="auto"/>
        </w:rPr>
      </w:pPr>
    </w:p>
    <w:p>
      <w:pPr>
        <w:ind w:left="3" w:right="240" w:firstLine="1165"/>
        <w:spacing w:after="0" w:line="283" w:lineRule="auto"/>
        <w:tabs>
          <w:tab w:leader="none" w:pos="2039"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executed copy of a certificate of Joseph J. LaRosa, Executive Vice President, General Counsel and Secretary of the Company, dated the date hereof (the “Secretary’s Certificate”);</w:t>
      </w:r>
    </w:p>
    <w:p>
      <w:pPr>
        <w:spacing w:after="0" w:line="150" w:lineRule="exact"/>
        <w:rPr>
          <w:rFonts w:ascii="Arial" w:cs="Arial" w:eastAsia="Arial" w:hAnsi="Arial"/>
          <w:sz w:val="16"/>
          <w:szCs w:val="16"/>
          <w:color w:val="auto"/>
        </w:rPr>
      </w:pPr>
    </w:p>
    <w:p>
      <w:pPr>
        <w:ind w:left="3" w:right="20" w:firstLine="1165"/>
        <w:spacing w:after="0" w:line="283" w:lineRule="auto"/>
        <w:tabs>
          <w:tab w:leader="none" w:pos="20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copy of the Company’s Restated Certificate of Incorporation, certified by the Secretary of State of the State of New York as of November 3, 2021, and certified pursuant to the Secretary’s Certificate;</w:t>
      </w:r>
    </w:p>
    <w:p>
      <w:pPr>
        <w:spacing w:after="0" w:line="150" w:lineRule="exact"/>
        <w:rPr>
          <w:rFonts w:ascii="Arial" w:cs="Arial" w:eastAsia="Arial" w:hAnsi="Arial"/>
          <w:sz w:val="16"/>
          <w:szCs w:val="16"/>
          <w:color w:val="auto"/>
        </w:rPr>
      </w:pPr>
    </w:p>
    <w:p>
      <w:pPr>
        <w:ind w:left="2043" w:hanging="875"/>
        <w:spacing w:after="0"/>
        <w:tabs>
          <w:tab w:leader="none" w:pos="2043"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copy of the Company’s Amended and Restated By-Laws, as amended and in effect as of the date hereof and certified pursuant to the</w:t>
      </w:r>
    </w:p>
    <w:p>
      <w:pPr>
        <w:spacing w:after="0" w:line="34"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6"/>
          <w:szCs w:val="16"/>
          <w:color w:val="auto"/>
        </w:rPr>
        <w:t>Secretary’s Certificate; and</w:t>
      </w:r>
    </w:p>
    <w:p>
      <w:pPr>
        <w:spacing w:after="0" w:line="193" w:lineRule="exact"/>
        <w:rPr>
          <w:rFonts w:ascii="Arial" w:cs="Arial" w:eastAsia="Arial" w:hAnsi="Arial"/>
          <w:sz w:val="15"/>
          <w:szCs w:val="15"/>
          <w:color w:val="auto"/>
        </w:rPr>
      </w:pPr>
    </w:p>
    <w:p>
      <w:pPr>
        <w:ind w:left="2063" w:hanging="895"/>
        <w:spacing w:after="0"/>
        <w:tabs>
          <w:tab w:leader="none" w:pos="2063"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copy of certain resolutions of the Board of Directors of the Company, adopted on April 9, 2021, certified pursuant to the Secretary’s</w:t>
      </w:r>
    </w:p>
    <w:p>
      <w:pPr>
        <w:spacing w:after="0" w:line="34"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6"/>
          <w:szCs w:val="16"/>
          <w:color w:val="auto"/>
        </w:rPr>
        <w: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393700</wp:posOffset>
            </wp:positionV>
            <wp:extent cx="71456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3"/>
          </w:cols>
          <w:pgMar w:left="317" w:top="342" w:right="319" w:bottom="1440" w:gutter="0" w:footer="0" w:header="0"/>
        </w:sectPr>
      </w:pPr>
    </w:p>
    <w:bookmarkStart w:id="35" w:name="page36"/>
    <w:bookmarkEnd w:id="35"/>
    <w:p>
      <w:pPr>
        <w:ind w:left="3"/>
        <w:spacing w:after="0"/>
        <w:rPr>
          <w:sz w:val="20"/>
          <w:szCs w:val="20"/>
          <w:color w:val="auto"/>
        </w:rPr>
      </w:pPr>
      <w:r>
        <w:rPr>
          <w:rFonts w:ascii="Arial" w:cs="Arial" w:eastAsia="Arial" w:hAnsi="Arial"/>
          <w:sz w:val="16"/>
          <w:szCs w:val="16"/>
          <w:color w:val="auto"/>
        </w:rPr>
        <w:t>Regeneron Pharmaceuticals, Inc.</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color w:val="auto"/>
        </w:rPr>
        <w:t>November 4, 2021</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Page 2</w:t>
      </w:r>
    </w:p>
    <w:p>
      <w:pPr>
        <w:spacing w:after="0" w:line="193" w:lineRule="exact"/>
        <w:rPr>
          <w:sz w:val="20"/>
          <w:szCs w:val="20"/>
          <w:color w:val="auto"/>
        </w:rPr>
      </w:pPr>
    </w:p>
    <w:p>
      <w:pPr>
        <w:ind w:left="3" w:right="380" w:firstLine="1168"/>
        <w:spacing w:after="0" w:line="268"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62" w:lineRule="exact"/>
        <w:rPr>
          <w:sz w:val="20"/>
          <w:szCs w:val="20"/>
          <w:color w:val="auto"/>
        </w:rPr>
      </w:pPr>
    </w:p>
    <w:p>
      <w:pPr>
        <w:ind w:left="3" w:right="100" w:firstLine="1168"/>
        <w:spacing w:after="0" w:line="261" w:lineRule="auto"/>
        <w:rPr>
          <w:sz w:val="20"/>
          <w:szCs w:val="20"/>
          <w:color w:val="auto"/>
        </w:rPr>
      </w:pPr>
      <w:r>
        <w:rPr>
          <w:rFonts w:ascii="Arial" w:cs="Arial" w:eastAsia="Arial" w:hAnsi="Arial"/>
          <w:sz w:val="16"/>
          <w:szCs w:val="16"/>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contained in the Secretary’s Certificate.</w:t>
      </w:r>
    </w:p>
    <w:p>
      <w:pPr>
        <w:spacing w:after="0" w:line="167" w:lineRule="exact"/>
        <w:rPr>
          <w:sz w:val="20"/>
          <w:szCs w:val="20"/>
          <w:color w:val="auto"/>
        </w:rPr>
      </w:pPr>
    </w:p>
    <w:p>
      <w:pPr>
        <w:ind w:left="3" w:right="800" w:firstLine="1168"/>
        <w:spacing w:after="0" w:line="283" w:lineRule="auto"/>
        <w:rPr>
          <w:sz w:val="20"/>
          <w:szCs w:val="20"/>
          <w:color w:val="auto"/>
        </w:rPr>
      </w:pPr>
      <w:r>
        <w:rPr>
          <w:rFonts w:ascii="Arial" w:cs="Arial" w:eastAsia="Arial" w:hAnsi="Arial"/>
          <w:sz w:val="16"/>
          <w:szCs w:val="16"/>
          <w:color w:val="auto"/>
        </w:rPr>
        <w:t>We do not express any opinion with respect to the laws of any jurisdiction other than the laws of the State of New York, including the Business Corporation Law of the State of New York (“NYBCL”) (collectively, “Opined-on Law”).</w:t>
      </w:r>
    </w:p>
    <w:p>
      <w:pPr>
        <w:spacing w:after="0" w:line="150" w:lineRule="exact"/>
        <w:rPr>
          <w:sz w:val="20"/>
          <w:szCs w:val="20"/>
          <w:color w:val="auto"/>
        </w:rPr>
      </w:pPr>
    </w:p>
    <w:p>
      <w:pPr>
        <w:ind w:left="3" w:right="120" w:firstLine="1168"/>
        <w:spacing w:after="0" w:line="283" w:lineRule="auto"/>
        <w:rPr>
          <w:sz w:val="20"/>
          <w:szCs w:val="20"/>
          <w:color w:val="auto"/>
        </w:rPr>
      </w:pPr>
      <w:r>
        <w:rPr>
          <w:rFonts w:ascii="Arial" w:cs="Arial" w:eastAsia="Arial" w:hAnsi="Arial"/>
          <w:sz w:val="16"/>
          <w:szCs w:val="16"/>
          <w:color w:val="auto"/>
        </w:rPr>
        <w:t>As used herein, “Transaction Documents” means the Indenture and the supplemental indentures thereto and officer’s certificates establishing the terms of the Debt Securities pursuant thereto, any Warrant Agreement and any applicable underwriting or purchase agreement.</w:t>
      </w:r>
    </w:p>
    <w:p>
      <w:pPr>
        <w:spacing w:after="0" w:line="150" w:lineRule="exact"/>
        <w:rPr>
          <w:sz w:val="20"/>
          <w:szCs w:val="20"/>
          <w:color w:val="auto"/>
        </w:rPr>
      </w:pPr>
    </w:p>
    <w:p>
      <w:pPr>
        <w:ind w:left="3" w:firstLine="1168"/>
        <w:spacing w:after="0" w:line="275" w:lineRule="auto"/>
        <w:rPr>
          <w:sz w:val="20"/>
          <w:szCs w:val="20"/>
          <w:color w:val="auto"/>
        </w:rPr>
      </w:pPr>
      <w:r>
        <w:rPr>
          <w:rFonts w:ascii="Arial" w:cs="Arial" w:eastAsia="Arial" w:hAnsi="Arial"/>
          <w:sz w:val="15"/>
          <w:szCs w:val="15"/>
          <w:color w:val="auto"/>
        </w:rPr>
        <w:t>The opinions stated in paragraphs 1 through 4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shall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of the Company so as not to violate any applicable law, the certificate of incorporation of the Company or the by-laws of the Company, or result in a default under or breach of any agreement or instrument binding upon the Company, and so as to comply with any requirement or restriction imposed by any court or governmental body having jurisdiction over the Company.</w:t>
      </w:r>
    </w:p>
    <w:p>
      <w:pPr>
        <w:spacing w:after="0" w:line="162" w:lineRule="exact"/>
        <w:rPr>
          <w:sz w:val="20"/>
          <w:szCs w:val="20"/>
          <w:color w:val="auto"/>
        </w:rPr>
      </w:pPr>
    </w:p>
    <w:p>
      <w:pPr>
        <w:ind w:left="1163"/>
        <w:spacing w:after="0"/>
        <w:rPr>
          <w:sz w:val="20"/>
          <w:szCs w:val="20"/>
          <w:color w:val="auto"/>
        </w:rPr>
      </w:pPr>
      <w:r>
        <w:rPr>
          <w:rFonts w:ascii="Arial" w:cs="Arial" w:eastAsia="Arial" w:hAnsi="Arial"/>
          <w:sz w:val="16"/>
          <w:szCs w:val="16"/>
          <w:color w:val="auto"/>
        </w:rPr>
        <w:t>Based upon the foregoing and subject to the qualifications and assumptions stated herein, we are of the opinion that:</w:t>
      </w:r>
    </w:p>
    <w:p>
      <w:pPr>
        <w:spacing w:after="0" w:line="205" w:lineRule="exact"/>
        <w:rPr>
          <w:sz w:val="20"/>
          <w:szCs w:val="20"/>
          <w:color w:val="auto"/>
        </w:rPr>
      </w:pPr>
    </w:p>
    <w:p>
      <w:pPr>
        <w:ind w:left="3" w:right="60" w:firstLine="1165"/>
        <w:spacing w:after="0" w:line="258" w:lineRule="auto"/>
        <w:tabs>
          <w:tab w:leader="none" w:pos="20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With respect to any shares of Common Stock offered by the Company, including any Indeterminate Securities constituting Common Stock (the “Offered Common Stock”), when (a) the general conditions shall have been satisfied, (b) if the Offered Common Stock is to be certificated, certificates in the form required under the NYBCL representing the shares of Offered Common Stock are duly executed and countersigned and (c) the shares of Offered Common Stock are registered in the Company’s share registry and delivered upon payment of the agreed-upon consideration therefor, the shares of Offered Common Stock, when issued and sold or otherwise distributed in accordance with the provisions of the applicable Transaction Documents, will be duly authorized by all requisite corporate action on the part of the Company under the NYBCL and validly issued, fully paid and nonassessable, provided that the consideration therefor is not less than $0.001 per share of Common Stock.</w:t>
      </w:r>
    </w:p>
    <w:p>
      <w:pPr>
        <w:spacing w:after="0" w:line="172" w:lineRule="exact"/>
        <w:rPr>
          <w:rFonts w:ascii="Arial" w:cs="Arial" w:eastAsia="Arial" w:hAnsi="Arial"/>
          <w:sz w:val="16"/>
          <w:szCs w:val="16"/>
          <w:color w:val="auto"/>
        </w:rPr>
      </w:pPr>
    </w:p>
    <w:p>
      <w:pPr>
        <w:ind w:left="3" w:right="20" w:firstLine="1165"/>
        <w:spacing w:after="0" w:line="294" w:lineRule="auto"/>
        <w:tabs>
          <w:tab w:leader="none" w:pos="2062" w:val="left"/>
        </w:tabs>
        <w:numPr>
          <w:ilvl w:val="1"/>
          <w:numId w:val="31"/>
        </w:numPr>
        <w:rPr>
          <w:rFonts w:ascii="Arial" w:cs="Arial" w:eastAsia="Arial" w:hAnsi="Arial"/>
          <w:sz w:val="14"/>
          <w:szCs w:val="14"/>
          <w:color w:val="auto"/>
        </w:rPr>
      </w:pPr>
      <w:r>
        <w:rPr>
          <w:rFonts w:ascii="Arial" w:cs="Arial" w:eastAsia="Arial" w:hAnsi="Arial"/>
          <w:sz w:val="14"/>
          <w:szCs w:val="14"/>
          <w:color w:val="auto"/>
        </w:rPr>
        <w:t>With respect to the shares of any series of Preferred Stock offered by the Company, including any Indeterminate Securities constituting Preferred Stock of such series (the “Offered Preferred Stock”), when (a) the general conditions shall have been satisfied, (b) the Board of Directors of the Company, or a duly authorized committee thereof, has duly adopted a Certificate of Amendment to the Company’s certificate of incorporation for the Offered Preferred Stock in accordance with the NYBCL (the “Certificate of Amendment”), (c) the filing of the Certificate of Amendment with the Department of State of the State of New York has duly occurred,</w:t>
      </w:r>
    </w:p>
    <w:p>
      <w:pPr>
        <w:spacing w:after="0" w:line="1" w:lineRule="exact"/>
        <w:rPr>
          <w:rFonts w:ascii="Arial" w:cs="Arial" w:eastAsia="Arial" w:hAnsi="Arial"/>
          <w:sz w:val="14"/>
          <w:szCs w:val="14"/>
          <w:color w:val="auto"/>
        </w:rPr>
      </w:pPr>
    </w:p>
    <w:p>
      <w:pPr>
        <w:ind w:left="3" w:right="140" w:hanging="3"/>
        <w:spacing w:after="0" w:line="257" w:lineRule="auto"/>
        <w:tabs>
          <w:tab w:leader="none" w:pos="2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Offered Preferred Stock is to be certificated, certificates in the form required under the NYBCL representing the shares of Offered Preferred Stock are duly executed and countersigned and (e) the shares of Offered Preferred Stock are registered in the Company’s share registry and delivered upon payment of the agreed-upon consideration therefor, the shares of Offered Preferred Stock, when issued and sold or otherwise distributed in accordance with the provisions of the applicable Transaction Documents, will be duly authorized by all requisite corporate action on the part of the Company under the NYBCL and validly issued, fully paid and nonassessable, provided that the consideration therefor is not less than $0.01 per share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71456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3"/>
          </w:cols>
          <w:pgMar w:left="317" w:top="833" w:right="339" w:bottom="1440" w:gutter="0" w:footer="0" w:header="0"/>
        </w:sectPr>
      </w:pPr>
    </w:p>
    <w:bookmarkStart w:id="36" w:name="page37"/>
    <w:bookmarkEnd w:id="36"/>
    <w:p>
      <w:pPr>
        <w:ind w:left="3"/>
        <w:spacing w:after="0"/>
        <w:rPr>
          <w:sz w:val="20"/>
          <w:szCs w:val="20"/>
          <w:color w:val="auto"/>
        </w:rPr>
      </w:pPr>
      <w:r>
        <w:rPr>
          <w:rFonts w:ascii="Arial" w:cs="Arial" w:eastAsia="Arial" w:hAnsi="Arial"/>
          <w:sz w:val="16"/>
          <w:szCs w:val="16"/>
          <w:color w:val="auto"/>
        </w:rPr>
        <w:t>Regeneron Pharmaceuticals, Inc.</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color w:val="auto"/>
        </w:rPr>
        <w:t>November 4, 2021</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Page 3</w:t>
      </w:r>
    </w:p>
    <w:p>
      <w:pPr>
        <w:spacing w:after="0" w:line="193" w:lineRule="exact"/>
        <w:rPr>
          <w:sz w:val="20"/>
          <w:szCs w:val="20"/>
          <w:color w:val="auto"/>
        </w:rPr>
      </w:pPr>
    </w:p>
    <w:p>
      <w:pPr>
        <w:ind w:left="3" w:right="20" w:firstLine="1165"/>
        <w:spacing w:after="0" w:line="278" w:lineRule="auto"/>
        <w:tabs>
          <w:tab w:leader="none" w:pos="2062" w:val="left"/>
        </w:tabs>
        <w:numPr>
          <w:ilvl w:val="1"/>
          <w:numId w:val="33"/>
        </w:numPr>
        <w:rPr>
          <w:rFonts w:ascii="Arial" w:cs="Arial" w:eastAsia="Arial" w:hAnsi="Arial"/>
          <w:sz w:val="15"/>
          <w:szCs w:val="15"/>
          <w:color w:val="auto"/>
        </w:rPr>
      </w:pPr>
      <w:r>
        <w:rPr>
          <w:rFonts w:ascii="Arial" w:cs="Arial" w:eastAsia="Arial" w:hAnsi="Arial"/>
          <w:sz w:val="15"/>
          <w:szCs w:val="15"/>
          <w:color w:val="auto"/>
        </w:rPr>
        <w:t>With respect to any series of Debt Securities offered by the Company, including any Indeterminate Securities constituting Debt Securities of such series (the “Offered Debt Securities”), when (a) the general conditions shall have been satisfied, (b) the issuance, sale and terms of the Offered Debt Securities and related matters have been approved and established in conformity with the applicable Transaction Documents and (c)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terms under the laws of the State of New York.</w:t>
      </w:r>
    </w:p>
    <w:p>
      <w:pPr>
        <w:spacing w:after="0" w:line="158" w:lineRule="exact"/>
        <w:rPr>
          <w:rFonts w:ascii="Arial" w:cs="Arial" w:eastAsia="Arial" w:hAnsi="Arial"/>
          <w:sz w:val="15"/>
          <w:szCs w:val="15"/>
          <w:color w:val="auto"/>
        </w:rPr>
      </w:pPr>
    </w:p>
    <w:p>
      <w:pPr>
        <w:ind w:left="2063" w:hanging="895"/>
        <w:spacing w:after="0"/>
        <w:tabs>
          <w:tab w:leader="none" w:pos="2063" w:val="left"/>
        </w:tabs>
        <w:numPr>
          <w:ilvl w:val="1"/>
          <w:numId w:val="33"/>
        </w:numPr>
        <w:rPr>
          <w:rFonts w:ascii="Arial" w:cs="Arial" w:eastAsia="Arial" w:hAnsi="Arial"/>
          <w:sz w:val="15"/>
          <w:szCs w:val="15"/>
          <w:color w:val="auto"/>
        </w:rPr>
      </w:pPr>
      <w:r>
        <w:rPr>
          <w:rFonts w:ascii="Arial" w:cs="Arial" w:eastAsia="Arial" w:hAnsi="Arial"/>
          <w:sz w:val="15"/>
          <w:szCs w:val="15"/>
          <w:color w:val="auto"/>
        </w:rPr>
        <w:t>With respect to any Warrants offered by the Company (the “Offered Warrants”), when (a) the general conditions shall have been satisfied,</w:t>
      </w:r>
    </w:p>
    <w:p>
      <w:pPr>
        <w:spacing w:after="0" w:line="34" w:lineRule="exact"/>
        <w:rPr>
          <w:rFonts w:ascii="Arial" w:cs="Arial" w:eastAsia="Arial" w:hAnsi="Arial"/>
          <w:sz w:val="15"/>
          <w:szCs w:val="15"/>
          <w:color w:val="auto"/>
        </w:rPr>
      </w:pPr>
    </w:p>
    <w:p>
      <w:pPr>
        <w:ind w:left="223" w:hanging="223"/>
        <w:spacing w:after="0"/>
        <w:tabs>
          <w:tab w:leader="none" w:pos="223"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Common Stock, Preferred Stock and/or Debt Securities for which the Offered Warrants are exercisable have been duly authorized for issuance by the Company and</w:t>
      </w:r>
    </w:p>
    <w:p>
      <w:pPr>
        <w:spacing w:after="0" w:line="33" w:lineRule="exact"/>
        <w:rPr>
          <w:rFonts w:ascii="Arial" w:cs="Arial" w:eastAsia="Arial" w:hAnsi="Arial"/>
          <w:sz w:val="14"/>
          <w:szCs w:val="14"/>
          <w:color w:val="auto"/>
        </w:rPr>
      </w:pPr>
    </w:p>
    <w:p>
      <w:pPr>
        <w:ind w:left="3" w:hanging="3"/>
        <w:spacing w:after="0" w:line="258" w:lineRule="auto"/>
        <w:tabs>
          <w:tab w:leader="none" w:pos="22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Documents upon payment of the agreed-upon consideration therefor, will constitute valid and binding obligations of the Company, enforceable against the Company in accordance with their respective terms under the laws of the State of New York.</w:t>
      </w:r>
    </w:p>
    <w:p>
      <w:pPr>
        <w:spacing w:after="0" w:line="170" w:lineRule="exact"/>
        <w:rPr>
          <w:sz w:val="20"/>
          <w:szCs w:val="20"/>
          <w:color w:val="auto"/>
        </w:rPr>
      </w:pPr>
    </w:p>
    <w:p>
      <w:pPr>
        <w:ind w:left="1163"/>
        <w:spacing w:after="0"/>
        <w:rPr>
          <w:sz w:val="20"/>
          <w:szCs w:val="20"/>
          <w:color w:val="auto"/>
        </w:rPr>
      </w:pPr>
      <w:r>
        <w:rPr>
          <w:rFonts w:ascii="Arial" w:cs="Arial" w:eastAsia="Arial" w:hAnsi="Arial"/>
          <w:sz w:val="16"/>
          <w:szCs w:val="16"/>
          <w:color w:val="auto"/>
        </w:rPr>
        <w:t>The opinions stated herein are subject to the following qualifications:</w:t>
      </w:r>
    </w:p>
    <w:p>
      <w:pPr>
        <w:spacing w:after="0" w:line="205" w:lineRule="exact"/>
        <w:rPr>
          <w:sz w:val="20"/>
          <w:szCs w:val="20"/>
          <w:color w:val="auto"/>
        </w:rPr>
      </w:pPr>
    </w:p>
    <w:p>
      <w:pPr>
        <w:ind w:left="3" w:right="120" w:firstLine="1165"/>
        <w:spacing w:after="0" w:line="294" w:lineRule="auto"/>
        <w:tabs>
          <w:tab w:leader="none" w:pos="2039"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orders and by general principles of equity (regardless of whether enforcement is sought in equity or at law);</w:t>
      </w:r>
    </w:p>
    <w:p>
      <w:pPr>
        <w:spacing w:after="0" w:line="144" w:lineRule="exact"/>
        <w:rPr>
          <w:rFonts w:ascii="Arial" w:cs="Arial" w:eastAsia="Arial" w:hAnsi="Arial"/>
          <w:sz w:val="15"/>
          <w:szCs w:val="15"/>
          <w:color w:val="auto"/>
        </w:rPr>
      </w:pPr>
    </w:p>
    <w:p>
      <w:pPr>
        <w:ind w:left="3" w:right="100" w:firstLine="1165"/>
        <w:spacing w:after="0" w:line="268" w:lineRule="auto"/>
        <w:tabs>
          <w:tab w:leader="none" w:pos="20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62" w:lineRule="exact"/>
        <w:rPr>
          <w:rFonts w:ascii="Arial" w:cs="Arial" w:eastAsia="Arial" w:hAnsi="Arial"/>
          <w:sz w:val="16"/>
          <w:szCs w:val="16"/>
          <w:color w:val="auto"/>
        </w:rPr>
      </w:pPr>
    </w:p>
    <w:p>
      <w:pPr>
        <w:ind w:left="3" w:right="180" w:firstLine="1165"/>
        <w:spacing w:after="0" w:line="318" w:lineRule="auto"/>
        <w:tabs>
          <w:tab w:leader="none" w:pos="2039"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26" w:lineRule="exact"/>
        <w:rPr>
          <w:rFonts w:ascii="Arial" w:cs="Arial" w:eastAsia="Arial" w:hAnsi="Arial"/>
          <w:sz w:val="15"/>
          <w:szCs w:val="15"/>
          <w:color w:val="auto"/>
        </w:rPr>
      </w:pPr>
    </w:p>
    <w:p>
      <w:pPr>
        <w:ind w:left="3" w:right="20" w:firstLine="1165"/>
        <w:spacing w:after="0" w:line="263" w:lineRule="auto"/>
        <w:tabs>
          <w:tab w:leader="none" w:pos="20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66" w:lineRule="exact"/>
        <w:rPr>
          <w:rFonts w:ascii="Arial" w:cs="Arial" w:eastAsia="Arial" w:hAnsi="Arial"/>
          <w:sz w:val="16"/>
          <w:szCs w:val="16"/>
          <w:color w:val="auto"/>
        </w:rPr>
      </w:pPr>
    </w:p>
    <w:p>
      <w:pPr>
        <w:ind w:left="3" w:right="20" w:firstLine="1165"/>
        <w:spacing w:after="0" w:line="283" w:lineRule="auto"/>
        <w:tabs>
          <w:tab w:leader="none" w:pos="2039"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do not express any opinion with respect to the enforceability of any provision of any Transaction Document to the extent that such section purports to bind the Company to the exclusive jurisdiction of any particular federal court or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71456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3"/>
          </w:cols>
          <w:pgMar w:left="317" w:top="83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November 4, 2021</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4</w:t>
      </w:r>
    </w:p>
    <w:p>
      <w:pPr>
        <w:spacing w:after="0" w:line="193" w:lineRule="exact"/>
        <w:rPr>
          <w:sz w:val="20"/>
          <w:szCs w:val="20"/>
          <w:color w:val="auto"/>
        </w:rPr>
      </w:pPr>
    </w:p>
    <w:p>
      <w:pPr>
        <w:ind w:right="80" w:firstLine="1165"/>
        <w:spacing w:after="0" w:line="263" w:lineRule="auto"/>
        <w:tabs>
          <w:tab w:leader="none" w:pos="205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66" w:lineRule="exact"/>
        <w:rPr>
          <w:rFonts w:ascii="Arial" w:cs="Arial" w:eastAsia="Arial" w:hAnsi="Arial"/>
          <w:sz w:val="16"/>
          <w:szCs w:val="16"/>
          <w:color w:val="auto"/>
        </w:rPr>
      </w:pPr>
    </w:p>
    <w:p>
      <w:pPr>
        <w:ind w:right="320" w:firstLine="1165"/>
        <w:spacing w:after="0" w:line="358" w:lineRule="auto"/>
        <w:tabs>
          <w:tab w:leader="none" w:pos="2005"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w:t>
      </w:r>
    </w:p>
    <w:p>
      <w:pPr>
        <w:spacing w:after="0" w:line="103" w:lineRule="exact"/>
        <w:rPr>
          <w:rFonts w:ascii="Arial" w:cs="Arial" w:eastAsia="Arial" w:hAnsi="Arial"/>
          <w:sz w:val="14"/>
          <w:szCs w:val="14"/>
          <w:color w:val="auto"/>
        </w:rPr>
      </w:pPr>
    </w:p>
    <w:p>
      <w:pPr>
        <w:ind w:right="160" w:firstLine="1165"/>
        <w:spacing w:after="0" w:line="268" w:lineRule="auto"/>
        <w:tabs>
          <w:tab w:leader="none" w:pos="20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w:t>
      </w:r>
    </w:p>
    <w:p>
      <w:pPr>
        <w:spacing w:after="0" w:line="162" w:lineRule="exact"/>
        <w:rPr>
          <w:rFonts w:ascii="Arial" w:cs="Arial" w:eastAsia="Arial" w:hAnsi="Arial"/>
          <w:sz w:val="16"/>
          <w:szCs w:val="16"/>
          <w:color w:val="auto"/>
        </w:rPr>
      </w:pPr>
    </w:p>
    <w:p>
      <w:pPr>
        <w:ind w:left="2040" w:hanging="875"/>
        <w:spacing w:after="0"/>
        <w:tabs>
          <w:tab w:leader="none" w:pos="2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have assumed that the choice of New York law to govern the Indenture and any supplemental indenture thereto is a valid and legal</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provision;</w:t>
      </w:r>
    </w:p>
    <w:p>
      <w:pPr>
        <w:spacing w:after="0" w:line="193" w:lineRule="exact"/>
        <w:rPr>
          <w:rFonts w:ascii="Arial" w:cs="Arial" w:eastAsia="Arial" w:hAnsi="Arial"/>
          <w:sz w:val="15"/>
          <w:szCs w:val="15"/>
          <w:color w:val="auto"/>
        </w:rPr>
      </w:pPr>
    </w:p>
    <w:p>
      <w:pPr>
        <w:ind w:left="2040" w:hanging="875"/>
        <w:spacing w:after="0"/>
        <w:tabs>
          <w:tab w:leader="none" w:pos="20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have assumed that the laws of the State of New York will be chosen to govern any Warrant Agreements and that such choice is and will</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be a valid and legal provision;</w:t>
      </w:r>
    </w:p>
    <w:p>
      <w:pPr>
        <w:spacing w:after="0" w:line="193" w:lineRule="exact"/>
        <w:rPr>
          <w:rFonts w:ascii="Arial" w:cs="Arial" w:eastAsia="Arial" w:hAnsi="Arial"/>
          <w:sz w:val="14"/>
          <w:szCs w:val="14"/>
          <w:color w:val="auto"/>
        </w:rPr>
      </w:pPr>
    </w:p>
    <w:p>
      <w:pPr>
        <w:ind w:right="20" w:firstLine="1165"/>
        <w:spacing w:after="0" w:line="268" w:lineRule="auto"/>
        <w:tabs>
          <w:tab w:leader="none" w:pos="20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 and</w:t>
      </w:r>
    </w:p>
    <w:p>
      <w:pPr>
        <w:spacing w:after="0" w:line="162" w:lineRule="exact"/>
        <w:rPr>
          <w:rFonts w:ascii="Arial" w:cs="Arial" w:eastAsia="Arial" w:hAnsi="Arial"/>
          <w:sz w:val="16"/>
          <w:szCs w:val="16"/>
          <w:color w:val="auto"/>
        </w:rPr>
      </w:pPr>
    </w:p>
    <w:p>
      <w:pPr>
        <w:ind w:right="20" w:firstLine="1165"/>
        <w:spacing w:after="0" w:line="307" w:lineRule="auto"/>
        <w:tabs>
          <w:tab w:leader="none" w:pos="205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rendering the opinions set forth in paragraphs 1 and 2, we draw your attention to Section 630 of the NYBCL. Section 630 may impose liability for unpaid debts, wages or salaries owing to employees for services performed by them on the ten largest shareholders of (i) corporations organized under the laws of the State of New York or (ii) corporations organized under the laws of other jurisdictions when the unpaid services were performed in the State of New York. NYBCL Section 630 does not apply to a corporation that has shares listed on a national securities exchange or regularly quoted in an over-the-counter market. We have assumed that Section 630 of the NYBCL does not presently apply to the Company and that such section will continue to be inapplicable to the Company.</w:t>
      </w:r>
    </w:p>
    <w:p>
      <w:pPr>
        <w:spacing w:after="0" w:line="13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 addition, in rendering the foregoing opinions we have assumed that:</w:t>
      </w:r>
    </w:p>
    <w:p>
      <w:pPr>
        <w:spacing w:after="0" w:line="205" w:lineRule="exact"/>
        <w:rPr>
          <w:sz w:val="20"/>
          <w:szCs w:val="20"/>
          <w:color w:val="auto"/>
        </w:rPr>
      </w:pPr>
    </w:p>
    <w:p>
      <w:pPr>
        <w:ind w:right="40" w:firstLine="1165"/>
        <w:spacing w:after="0" w:line="261" w:lineRule="auto"/>
        <w:tabs>
          <w:tab w:leader="none" w:pos="20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agreement or other instrument to which the Company or its property is subject, (ii) contravened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w:t>
      </w:r>
    </w:p>
    <w:p>
      <w:pPr>
        <w:spacing w:after="0" w:line="167" w:lineRule="exact"/>
        <w:rPr>
          <w:rFonts w:ascii="Arial" w:cs="Arial" w:eastAsia="Arial" w:hAnsi="Arial"/>
          <w:sz w:val="16"/>
          <w:szCs w:val="16"/>
          <w:color w:val="auto"/>
        </w:rPr>
      </w:pPr>
    </w:p>
    <w:p>
      <w:pPr>
        <w:ind w:firstLine="1165"/>
        <w:spacing w:after="0" w:line="268" w:lineRule="auto"/>
        <w:tabs>
          <w:tab w:leader="none" w:pos="2046"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373380</wp:posOffset>
            </wp:positionV>
            <wp:extent cx="71456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November 4, 2021</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Page 5</w:t>
      </w:r>
    </w:p>
    <w:p>
      <w:pPr>
        <w:spacing w:after="0" w:line="193" w:lineRule="exact"/>
        <w:rPr>
          <w:sz w:val="20"/>
          <w:szCs w:val="20"/>
          <w:color w:val="auto"/>
        </w:rPr>
      </w:pPr>
    </w:p>
    <w:p>
      <w:pPr>
        <w:ind w:firstLine="1168"/>
        <w:spacing w:after="0" w:line="261" w:lineRule="auto"/>
        <w:rPr>
          <w:sz w:val="20"/>
          <w:szCs w:val="20"/>
          <w:color w:val="auto"/>
        </w:rPr>
      </w:pPr>
      <w:r>
        <w:rPr>
          <w:rFonts w:ascii="Arial" w:cs="Arial" w:eastAsia="Arial" w:hAnsi="Arial"/>
          <w:sz w:val="16"/>
          <w:szCs w:val="16"/>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6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Very truly yours,</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Skadden, Arps, Slate, Meagher &amp; Flom LLP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DJG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400685</wp:posOffset>
            </wp:positionV>
            <wp:extent cx="71456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160"/>
          </w:cols>
          <w:pgMar w:left="320" w:top="833"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23.1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5"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We hereby consent to the incorporation by reference in this Registration Statement on Form S-3 of Regeneron Pharmaceuticals, Inc. of our report dated February 8, 2021 relating to the financial statements, and the effectiveness of internal control over financial reporting, which appears in Regeneron Pharmaceuticals, Inc.'s Annual Report on Form 10-K for the year ended December 31, 2020. We also consent to the reference to us under the heading “Experts” in such Registration Statement.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Florham Park, New Jersey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1456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714565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45655" cy="228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171450</wp:posOffset>
            </wp:positionV>
            <wp:extent cx="71456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__________________________</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FORM T-1</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 OF ELIGIBILITY UNDER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TRUST INDENTURE ACT OF 1939 OF A</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CORPORATION DESIGNATED TO ACT AS TRUSTEE</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Check if an Application to Determine Eligibility of</w:t>
      </w:r>
    </w:p>
    <w:p>
      <w:pPr>
        <w:spacing w:after="0" w:line="7" w:lineRule="exact"/>
        <w:rPr>
          <w:sz w:val="20"/>
          <w:szCs w:val="20"/>
          <w:color w:val="auto"/>
        </w:rPr>
      </w:pPr>
    </w:p>
    <w:p>
      <w:pPr>
        <w:jc w:val="center"/>
        <w:ind w:right="20"/>
        <w:spacing w:after="0" w:line="184" w:lineRule="exact"/>
        <w:rPr>
          <w:sz w:val="20"/>
          <w:szCs w:val="20"/>
          <w:color w:val="auto"/>
        </w:rPr>
      </w:pPr>
      <w:r>
        <w:rPr>
          <w:rFonts w:ascii="Arial" w:cs="Arial" w:eastAsia="Arial" w:hAnsi="Arial"/>
          <w:sz w:val="16"/>
          <w:szCs w:val="16"/>
          <w:color w:val="auto"/>
        </w:rPr>
        <w:t xml:space="preserve">a Trustee Pursuant to Section 305(b)(2) </w:t>
      </w:r>
      <w:r>
        <w:rPr>
          <w:rFonts w:ascii="MS PGothic" w:cs="MS PGothic" w:eastAsia="MS PGothic" w:hAnsi="MS PGothic"/>
          <w:sz w:val="16"/>
          <w:szCs w:val="16"/>
          <w:color w:val="auto"/>
        </w:rPr>
        <w:t>☐</w:t>
      </w:r>
    </w:p>
    <w:p>
      <w:pPr>
        <w:spacing w:after="0" w:line="17"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_______________________________________________________</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U.S. BANK NATIONAL ASSOCIATION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(Exact name of Trustee as specified in its charter)</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31-0841368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I.R.S. Employer Identification No.</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5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800 Nicollet Mall</w:t>
            </w:r>
          </w:p>
        </w:tc>
        <w:tc>
          <w:tcPr>
            <w:tcW w:w="1500" w:type="dxa"/>
            <w:vAlign w:val="bottom"/>
            <w:tcBorders>
              <w:top w:val="single" w:sz="8" w:color="auto"/>
            </w:tcBorders>
          </w:tcPr>
          <w:p>
            <w:pPr>
              <w:spacing w:after="0"/>
              <w:rPr>
                <w:sz w:val="16"/>
                <w:szCs w:val="16"/>
                <w:color w:val="auto"/>
              </w:rPr>
            </w:pPr>
          </w:p>
        </w:tc>
        <w:tc>
          <w:tcPr>
            <w:tcW w:w="4240" w:type="dxa"/>
            <w:vAlign w:val="bottom"/>
            <w:tcBorders>
              <w:top w:val="single" w:sz="8" w:color="auto"/>
              <w:right w:val="single" w:sz="8" w:color="auto"/>
            </w:tcBorders>
          </w:tcPr>
          <w:p>
            <w:pPr>
              <w:spacing w:after="0"/>
              <w:rPr>
                <w:sz w:val="16"/>
                <w:szCs w:val="16"/>
                <w:color w:val="auto"/>
              </w:rPr>
            </w:pPr>
          </w:p>
        </w:tc>
      </w:tr>
      <w:tr>
        <w:trPr>
          <w:trHeight w:val="207"/>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Minneapolis, Minnesota</w:t>
            </w:r>
          </w:p>
        </w:tc>
        <w:tc>
          <w:tcPr>
            <w:tcW w:w="1500" w:type="dxa"/>
            <w:vAlign w:val="bottom"/>
            <w:tcBorders>
              <w:bottom w:val="single" w:sz="8" w:color="auto"/>
            </w:tcBorders>
          </w:tcPr>
          <w:p>
            <w:pPr>
              <w:spacing w:after="0"/>
              <w:rPr>
                <w:sz w:val="17"/>
                <w:szCs w:val="17"/>
                <w:color w:val="auto"/>
              </w:rPr>
            </w:pPr>
          </w:p>
        </w:tc>
        <w:tc>
          <w:tcPr>
            <w:tcW w:w="4240" w:type="dxa"/>
            <w:vAlign w:val="bottom"/>
            <w:tcBorders>
              <w:bottom w:val="single" w:sz="8" w:color="auto"/>
              <w:right w:val="single" w:sz="8" w:color="auto"/>
            </w:tcBorders>
          </w:tcPr>
          <w:p>
            <w:pPr>
              <w:jc w:val="center"/>
              <w:ind w:right="1439"/>
              <w:spacing w:after="0"/>
              <w:rPr>
                <w:sz w:val="20"/>
                <w:szCs w:val="20"/>
                <w:color w:val="auto"/>
              </w:rPr>
            </w:pPr>
            <w:r>
              <w:rPr>
                <w:rFonts w:ascii="Arial" w:cs="Arial" w:eastAsia="Arial" w:hAnsi="Arial"/>
                <w:sz w:val="16"/>
                <w:szCs w:val="16"/>
                <w:color w:val="auto"/>
                <w:w w:val="89"/>
              </w:rPr>
              <w:t>55402</w:t>
            </w:r>
          </w:p>
        </w:tc>
      </w:tr>
      <w:tr>
        <w:trPr>
          <w:trHeight w:val="187"/>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1500" w:type="dxa"/>
            <w:vAlign w:val="bottom"/>
            <w:tcBorders>
              <w:bottom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jc w:val="center"/>
              <w:ind w:right="1439"/>
              <w:spacing w:after="0"/>
              <w:rPr>
                <w:sz w:val="20"/>
                <w:szCs w:val="20"/>
                <w:color w:val="auto"/>
              </w:rPr>
            </w:pPr>
            <w:r>
              <w:rPr>
                <w:rFonts w:ascii="Arial" w:cs="Arial" w:eastAsia="Arial" w:hAnsi="Arial"/>
                <w:sz w:val="16"/>
                <w:szCs w:val="16"/>
                <w:color w:val="auto"/>
                <w:w w:val="95"/>
              </w:rPr>
              <w:t>(Zip Code)</w:t>
            </w:r>
          </w:p>
        </w:tc>
      </w:tr>
      <w:tr>
        <w:trPr>
          <w:trHeight w:val="369"/>
        </w:trPr>
        <w:tc>
          <w:tcPr>
            <w:tcW w:w="7020" w:type="dxa"/>
            <w:vAlign w:val="bottom"/>
            <w:gridSpan w:val="2"/>
          </w:tcPr>
          <w:p>
            <w:pPr>
              <w:jc w:val="center"/>
              <w:ind w:left="4137"/>
              <w:spacing w:after="0"/>
              <w:rPr>
                <w:sz w:val="20"/>
                <w:szCs w:val="20"/>
                <w:color w:val="auto"/>
              </w:rPr>
            </w:pPr>
            <w:r>
              <w:rPr>
                <w:rFonts w:ascii="Arial" w:cs="Arial" w:eastAsia="Arial" w:hAnsi="Arial"/>
                <w:sz w:val="16"/>
                <w:szCs w:val="16"/>
                <w:color w:val="auto"/>
                <w:w w:val="98"/>
              </w:rPr>
              <w:t>Kathy L. Mitchell</w:t>
            </w:r>
          </w:p>
        </w:tc>
        <w:tc>
          <w:tcPr>
            <w:tcW w:w="4240" w:type="dxa"/>
            <w:vAlign w:val="bottom"/>
          </w:tcPr>
          <w:p>
            <w:pPr>
              <w:spacing w:after="0"/>
              <w:rPr>
                <w:sz w:val="24"/>
                <w:szCs w:val="24"/>
                <w:color w:val="auto"/>
              </w:rPr>
            </w:pPr>
          </w:p>
        </w:tc>
      </w:tr>
      <w:tr>
        <w:trPr>
          <w:trHeight w:val="196"/>
        </w:trPr>
        <w:tc>
          <w:tcPr>
            <w:tcW w:w="7020" w:type="dxa"/>
            <w:vAlign w:val="bottom"/>
            <w:gridSpan w:val="2"/>
          </w:tcPr>
          <w:p>
            <w:pPr>
              <w:jc w:val="center"/>
              <w:ind w:left="4137"/>
              <w:spacing w:after="0"/>
              <w:rPr>
                <w:sz w:val="20"/>
                <w:szCs w:val="20"/>
                <w:color w:val="auto"/>
              </w:rPr>
            </w:pPr>
            <w:r>
              <w:rPr>
                <w:rFonts w:ascii="Arial" w:cs="Arial" w:eastAsia="Arial" w:hAnsi="Arial"/>
                <w:sz w:val="16"/>
                <w:szCs w:val="16"/>
                <w:color w:val="auto"/>
                <w:w w:val="93"/>
              </w:rPr>
              <w:t>U.S. Bank National Association</w:t>
            </w:r>
          </w:p>
        </w:tc>
        <w:tc>
          <w:tcPr>
            <w:tcW w:w="4240" w:type="dxa"/>
            <w:vAlign w:val="bottom"/>
          </w:tcPr>
          <w:p>
            <w:pPr>
              <w:spacing w:after="0"/>
              <w:rPr>
                <w:sz w:val="17"/>
                <w:szCs w:val="17"/>
                <w:color w:val="auto"/>
              </w:rPr>
            </w:pPr>
          </w:p>
        </w:tc>
      </w:tr>
      <w:tr>
        <w:trPr>
          <w:trHeight w:val="229"/>
        </w:trPr>
        <w:tc>
          <w:tcPr>
            <w:tcW w:w="7020" w:type="dxa"/>
            <w:vAlign w:val="bottom"/>
            <w:gridSpan w:val="2"/>
          </w:tcPr>
          <w:p>
            <w:pPr>
              <w:jc w:val="center"/>
              <w:ind w:left="4137"/>
              <w:spacing w:after="0" w:line="230" w:lineRule="exact"/>
              <w:rPr>
                <w:sz w:val="20"/>
                <w:szCs w:val="20"/>
                <w:color w:val="auto"/>
              </w:rPr>
            </w:pPr>
            <w:r>
              <w:rPr>
                <w:rFonts w:ascii="Arial" w:cs="Arial" w:eastAsia="Arial" w:hAnsi="Arial"/>
                <w:sz w:val="16"/>
                <w:szCs w:val="16"/>
                <w:color w:val="auto"/>
                <w:w w:val="92"/>
              </w:rPr>
              <w:t>185 Asylum Street, 27</w:t>
            </w:r>
            <w:r>
              <w:rPr>
                <w:rFonts w:ascii="Arial" w:cs="Arial" w:eastAsia="Arial" w:hAnsi="Arial"/>
                <w:sz w:val="26"/>
                <w:szCs w:val="26"/>
                <w:color w:val="auto"/>
                <w:w w:val="92"/>
                <w:vertAlign w:val="superscript"/>
              </w:rPr>
              <w:t>th</w:t>
            </w:r>
            <w:r>
              <w:rPr>
                <w:rFonts w:ascii="Arial" w:cs="Arial" w:eastAsia="Arial" w:hAnsi="Arial"/>
                <w:sz w:val="16"/>
                <w:szCs w:val="16"/>
                <w:color w:val="auto"/>
                <w:w w:val="92"/>
              </w:rPr>
              <w:t xml:space="preserve"> Floor</w:t>
            </w:r>
          </w:p>
        </w:tc>
        <w:tc>
          <w:tcPr>
            <w:tcW w:w="4240" w:type="dxa"/>
            <w:vAlign w:val="bottom"/>
          </w:tcPr>
          <w:p>
            <w:pPr>
              <w:spacing w:after="0"/>
              <w:rPr>
                <w:sz w:val="19"/>
                <w:szCs w:val="19"/>
                <w:color w:val="auto"/>
              </w:rPr>
            </w:pPr>
          </w:p>
        </w:tc>
      </w:tr>
      <w:tr>
        <w:trPr>
          <w:trHeight w:val="195"/>
        </w:trPr>
        <w:tc>
          <w:tcPr>
            <w:tcW w:w="7020" w:type="dxa"/>
            <w:vAlign w:val="bottom"/>
            <w:gridSpan w:val="2"/>
          </w:tcPr>
          <w:p>
            <w:pPr>
              <w:jc w:val="center"/>
              <w:ind w:left="4157"/>
              <w:spacing w:after="0"/>
              <w:rPr>
                <w:sz w:val="20"/>
                <w:szCs w:val="20"/>
                <w:color w:val="auto"/>
              </w:rPr>
            </w:pPr>
            <w:r>
              <w:rPr>
                <w:rFonts w:ascii="Arial" w:cs="Arial" w:eastAsia="Arial" w:hAnsi="Arial"/>
                <w:sz w:val="16"/>
                <w:szCs w:val="16"/>
                <w:color w:val="auto"/>
                <w:w w:val="93"/>
              </w:rPr>
              <w:t>(860) 241-6832</w:t>
            </w:r>
          </w:p>
        </w:tc>
        <w:tc>
          <w:tcPr>
            <w:tcW w:w="4240" w:type="dxa"/>
            <w:vAlign w:val="bottom"/>
          </w:tcPr>
          <w:p>
            <w:pPr>
              <w:spacing w:after="0"/>
              <w:rPr>
                <w:sz w:val="16"/>
                <w:szCs w:val="16"/>
                <w:color w:val="auto"/>
              </w:rPr>
            </w:pPr>
          </w:p>
        </w:tc>
      </w:tr>
      <w:tr>
        <w:trPr>
          <w:trHeight w:val="206"/>
        </w:trPr>
        <w:tc>
          <w:tcPr>
            <w:tcW w:w="11260" w:type="dxa"/>
            <w:vAlign w:val="bottom"/>
            <w:gridSpan w:val="3"/>
          </w:tcPr>
          <w:p>
            <w:pPr>
              <w:jc w:val="center"/>
              <w:spacing w:after="0"/>
              <w:rPr>
                <w:sz w:val="20"/>
                <w:szCs w:val="20"/>
                <w:color w:val="auto"/>
              </w:rPr>
            </w:pPr>
            <w:r>
              <w:rPr>
                <w:rFonts w:ascii="Arial" w:cs="Arial" w:eastAsia="Arial" w:hAnsi="Arial"/>
                <w:sz w:val="16"/>
                <w:szCs w:val="16"/>
                <w:color w:val="auto"/>
                <w:w w:val="90"/>
              </w:rPr>
              <w:t>(Name, address and telephone number of agent for service)</w:t>
            </w:r>
          </w:p>
        </w:tc>
      </w:tr>
      <w:tr>
        <w:trPr>
          <w:trHeight w:val="450"/>
        </w:trPr>
        <w:tc>
          <w:tcPr>
            <w:tcW w:w="11260" w:type="dxa"/>
            <w:vAlign w:val="bottom"/>
            <w:gridSpan w:val="3"/>
          </w:tcPr>
          <w:p>
            <w:pPr>
              <w:jc w:val="center"/>
              <w:spacing w:after="0"/>
              <w:rPr>
                <w:sz w:val="20"/>
                <w:szCs w:val="20"/>
                <w:color w:val="auto"/>
              </w:rPr>
            </w:pPr>
            <w:r>
              <w:rPr>
                <w:rFonts w:ascii="Arial" w:cs="Arial" w:eastAsia="Arial" w:hAnsi="Arial"/>
                <w:sz w:val="23"/>
                <w:szCs w:val="23"/>
                <w:b w:val="1"/>
                <w:bCs w:val="1"/>
                <w:color w:val="auto"/>
                <w:w w:val="88"/>
              </w:rPr>
              <w:t>Regeneron Pharmaceuticals, Inc.</w:t>
            </w:r>
          </w:p>
        </w:tc>
      </w:tr>
      <w:tr>
        <w:trPr>
          <w:trHeight w:val="206"/>
        </w:trPr>
        <w:tc>
          <w:tcPr>
            <w:tcW w:w="7020" w:type="dxa"/>
            <w:vAlign w:val="bottom"/>
            <w:gridSpan w:val="2"/>
          </w:tcPr>
          <w:p>
            <w:pPr>
              <w:jc w:val="center"/>
              <w:ind w:left="4137"/>
              <w:spacing w:after="0"/>
              <w:rPr>
                <w:sz w:val="20"/>
                <w:szCs w:val="20"/>
                <w:color w:val="auto"/>
              </w:rPr>
            </w:pPr>
            <w:r>
              <w:rPr>
                <w:rFonts w:ascii="Arial" w:cs="Arial" w:eastAsia="Arial" w:hAnsi="Arial"/>
                <w:sz w:val="16"/>
                <w:szCs w:val="16"/>
                <w:color w:val="auto"/>
                <w:w w:val="91"/>
              </w:rPr>
              <w:t>(Issuer with respect to the Securities)</w:t>
            </w:r>
          </w:p>
        </w:tc>
        <w:tc>
          <w:tcPr>
            <w:tcW w:w="4240" w:type="dxa"/>
            <w:vAlign w:val="bottom"/>
          </w:tcPr>
          <w:p>
            <w:pPr>
              <w:spacing w:after="0"/>
              <w:rPr>
                <w:sz w:val="17"/>
                <w:szCs w:val="17"/>
                <w:color w:val="auto"/>
              </w:rPr>
            </w:pPr>
          </w:p>
        </w:tc>
      </w:tr>
      <w:tr>
        <w:trPr>
          <w:trHeight w:val="195"/>
        </w:trPr>
        <w:tc>
          <w:tcPr>
            <w:tcW w:w="7020" w:type="dxa"/>
            <w:vAlign w:val="bottom"/>
            <w:tcBorders>
              <w:bottom w:val="single" w:sz="8" w:color="auto"/>
            </w:tcBorders>
            <w:gridSpan w:val="2"/>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r>
      <w:tr>
        <w:trPr>
          <w:trHeight w:val="187"/>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New York</w:t>
            </w:r>
          </w:p>
        </w:tc>
        <w:tc>
          <w:tcPr>
            <w:tcW w:w="1500" w:type="dxa"/>
            <w:vAlign w:val="bottom"/>
            <w:tcBorders>
              <w:bottom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jc w:val="center"/>
              <w:ind w:right="1439"/>
              <w:spacing w:after="0"/>
              <w:rPr>
                <w:sz w:val="20"/>
                <w:szCs w:val="20"/>
                <w:color w:val="auto"/>
              </w:rPr>
            </w:pPr>
            <w:r>
              <w:rPr>
                <w:rFonts w:ascii="Arial" w:cs="Arial" w:eastAsia="Arial" w:hAnsi="Arial"/>
                <w:sz w:val="16"/>
                <w:szCs w:val="16"/>
                <w:color w:val="auto"/>
                <w:w w:val="93"/>
              </w:rPr>
              <w:t>13-3444607</w:t>
            </w:r>
          </w:p>
        </w:tc>
      </w:tr>
      <w:tr>
        <w:trPr>
          <w:trHeight w:val="187"/>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500" w:type="dxa"/>
            <w:vAlign w:val="bottom"/>
            <w:tcBorders>
              <w:bottom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jc w:val="center"/>
              <w:ind w:right="1439"/>
              <w:spacing w:after="0"/>
              <w:rPr>
                <w:sz w:val="20"/>
                <w:szCs w:val="20"/>
                <w:color w:val="auto"/>
              </w:rPr>
            </w:pPr>
            <w:r>
              <w:rPr>
                <w:rFonts w:ascii="Arial" w:cs="Arial" w:eastAsia="Arial" w:hAnsi="Arial"/>
                <w:sz w:val="16"/>
                <w:szCs w:val="16"/>
                <w:color w:val="auto"/>
                <w:w w:val="95"/>
              </w:rPr>
              <w:t>(I.R.S. Employer Identification No.)</w:t>
            </w:r>
          </w:p>
        </w:tc>
      </w:tr>
      <w:tr>
        <w:trPr>
          <w:trHeight w:val="187"/>
        </w:trPr>
        <w:tc>
          <w:tcPr>
            <w:tcW w:w="5520" w:type="dxa"/>
            <w:vAlign w:val="bottom"/>
            <w:tcBorders>
              <w:left w:val="single" w:sz="8" w:color="auto"/>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spacing w:after="0"/>
              <w:rPr>
                <w:sz w:val="16"/>
                <w:szCs w:val="16"/>
                <w:color w:val="auto"/>
              </w:rPr>
            </w:pPr>
          </w:p>
        </w:tc>
      </w:tr>
      <w:tr>
        <w:trPr>
          <w:trHeight w:val="187"/>
        </w:trPr>
        <w:tc>
          <w:tcPr>
            <w:tcW w:w="7020" w:type="dxa"/>
            <w:vAlign w:val="bottom"/>
            <w:tcBorders>
              <w:bottom w:val="single" w:sz="8" w:color="auto"/>
            </w:tcBorders>
            <w:gridSpan w:val="2"/>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r>
      <w:tr>
        <w:trPr>
          <w:trHeight w:val="174"/>
        </w:trPr>
        <w:tc>
          <w:tcPr>
            <w:tcW w:w="55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777 Old Saw Mill River Road</w:t>
            </w:r>
          </w:p>
        </w:tc>
        <w:tc>
          <w:tcPr>
            <w:tcW w:w="1500" w:type="dxa"/>
            <w:vAlign w:val="bottom"/>
          </w:tcPr>
          <w:p>
            <w:pPr>
              <w:spacing w:after="0"/>
              <w:rPr>
                <w:sz w:val="15"/>
                <w:szCs w:val="15"/>
                <w:color w:val="auto"/>
              </w:rPr>
            </w:pPr>
          </w:p>
        </w:tc>
        <w:tc>
          <w:tcPr>
            <w:tcW w:w="4240" w:type="dxa"/>
            <w:vAlign w:val="bottom"/>
            <w:tcBorders>
              <w:right w:val="single" w:sz="8" w:color="auto"/>
            </w:tcBorders>
          </w:tcPr>
          <w:p>
            <w:pPr>
              <w:spacing w:after="0"/>
              <w:rPr>
                <w:sz w:val="15"/>
                <w:szCs w:val="15"/>
                <w:color w:val="auto"/>
              </w:rPr>
            </w:pPr>
          </w:p>
        </w:tc>
      </w:tr>
      <w:tr>
        <w:trPr>
          <w:trHeight w:val="207"/>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Tarrytown, NY</w:t>
            </w:r>
          </w:p>
        </w:tc>
        <w:tc>
          <w:tcPr>
            <w:tcW w:w="1500" w:type="dxa"/>
            <w:vAlign w:val="bottom"/>
            <w:tcBorders>
              <w:bottom w:val="single" w:sz="8" w:color="auto"/>
            </w:tcBorders>
          </w:tcPr>
          <w:p>
            <w:pPr>
              <w:spacing w:after="0"/>
              <w:rPr>
                <w:sz w:val="17"/>
                <w:szCs w:val="17"/>
                <w:color w:val="auto"/>
              </w:rPr>
            </w:pPr>
          </w:p>
        </w:tc>
        <w:tc>
          <w:tcPr>
            <w:tcW w:w="4240" w:type="dxa"/>
            <w:vAlign w:val="bottom"/>
            <w:tcBorders>
              <w:bottom w:val="single" w:sz="8" w:color="auto"/>
              <w:right w:val="single" w:sz="8" w:color="auto"/>
            </w:tcBorders>
          </w:tcPr>
          <w:p>
            <w:pPr>
              <w:jc w:val="center"/>
              <w:ind w:right="1439"/>
              <w:spacing w:after="0"/>
              <w:rPr>
                <w:sz w:val="20"/>
                <w:szCs w:val="20"/>
                <w:color w:val="auto"/>
              </w:rPr>
            </w:pPr>
            <w:r>
              <w:rPr>
                <w:rFonts w:ascii="Arial" w:cs="Arial" w:eastAsia="Arial" w:hAnsi="Arial"/>
                <w:sz w:val="16"/>
                <w:szCs w:val="16"/>
                <w:color w:val="auto"/>
                <w:w w:val="93"/>
              </w:rPr>
              <w:t>10591-6707</w:t>
            </w:r>
          </w:p>
        </w:tc>
      </w:tr>
      <w:tr>
        <w:trPr>
          <w:trHeight w:val="187"/>
        </w:trPr>
        <w:tc>
          <w:tcPr>
            <w:tcW w:w="5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1500" w:type="dxa"/>
            <w:vAlign w:val="bottom"/>
            <w:tcBorders>
              <w:bottom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jc w:val="center"/>
              <w:ind w:right="1439"/>
              <w:spacing w:after="0"/>
              <w:rPr>
                <w:sz w:val="20"/>
                <w:szCs w:val="20"/>
                <w:color w:val="auto"/>
              </w:rPr>
            </w:pPr>
            <w:r>
              <w:rPr>
                <w:rFonts w:ascii="Arial" w:cs="Arial" w:eastAsia="Arial" w:hAnsi="Arial"/>
                <w:sz w:val="16"/>
                <w:szCs w:val="16"/>
                <w:color w:val="auto"/>
                <w:w w:val="95"/>
              </w:rPr>
              <w:t>(Zip Code)</w:t>
            </w:r>
          </w:p>
        </w:tc>
      </w:tr>
    </w:tbl>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Senior Notes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71456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146050</wp:posOffset>
            </wp:positionV>
            <wp:extent cx="7145655"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45655" cy="228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555625</wp:posOffset>
            </wp:positionV>
            <wp:extent cx="71456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6"/>
          <w:szCs w:val="16"/>
          <w:b w:val="1"/>
          <w:bCs w:val="1"/>
          <w:u w:val="single" w:color="auto"/>
          <w:color w:val="auto"/>
        </w:rPr>
        <w:t>FORM T-1</w:t>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GENERAL INFORMATION</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Furnish the following information as to the Trustee.</w:t>
      </w:r>
    </w:p>
    <w:p>
      <w:pPr>
        <w:spacing w:after="0" w:line="209" w:lineRule="exact"/>
        <w:rPr>
          <w:sz w:val="20"/>
          <w:szCs w:val="20"/>
          <w:color w:val="auto"/>
        </w:rPr>
      </w:pPr>
    </w:p>
    <w:p>
      <w:pPr>
        <w:ind w:left="1280" w:hanging="407"/>
        <w:spacing w:after="0"/>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740" w:right="6040" w:hanging="867"/>
        <w:spacing w:after="0" w:line="505" w:lineRule="auto"/>
        <w:tabs>
          <w:tab w:leader="none" w:pos="1266"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Whether it is authorized to exercise corporate trust powers. </w:t>
      </w:r>
      <w:r>
        <w:rPr>
          <w:rFonts w:ascii="Arial" w:cs="Arial" w:eastAsia="Arial" w:hAnsi="Arial"/>
          <w:sz w:val="16"/>
          <w:szCs w:val="16"/>
          <w:color w:val="auto"/>
        </w:rPr>
        <w:t>Yes</w:t>
      </w:r>
    </w:p>
    <w:p>
      <w:pPr>
        <w:spacing w:after="0"/>
        <w:tabs>
          <w:tab w:leader="none" w:pos="8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 xml:space="preserve">AFFILIATIONS WITH THE OBLIGOR. </w:t>
      </w:r>
      <w:r>
        <w:rPr>
          <w:rFonts w:ascii="Arial" w:cs="Arial" w:eastAsia="Arial" w:hAnsi="Arial"/>
          <w:sz w:val="15"/>
          <w:szCs w:val="15"/>
          <w:i w:val="1"/>
          <w:iCs w:val="1"/>
          <w:color w:val="auto"/>
        </w:rPr>
        <w:t>If the obligor is an affiliate of the Trustee, describe each such affiliation.</w:t>
      </w:r>
    </w:p>
    <w:p>
      <w:pPr>
        <w:spacing w:after="0" w:line="20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ind w:left="880" w:right="260" w:hanging="875"/>
        <w:spacing w:after="0" w:line="283" w:lineRule="auto"/>
        <w:tabs>
          <w:tab w:leader="none" w:pos="860" w:val="left"/>
        </w:tabs>
        <w:rPr>
          <w:sz w:val="20"/>
          <w:szCs w:val="20"/>
          <w:color w:val="auto"/>
        </w:rPr>
      </w:pPr>
      <w:r>
        <w:rPr>
          <w:rFonts w:ascii="Arial" w:cs="Arial" w:eastAsia="Arial" w:hAnsi="Arial"/>
          <w:sz w:val="16"/>
          <w:szCs w:val="16"/>
          <w:b w:val="1"/>
          <w:bCs w:val="1"/>
          <w:color w:val="auto"/>
        </w:rPr>
        <w:t>Items 3-15</w:t>
      </w:r>
      <w:r>
        <w:rPr>
          <w:sz w:val="20"/>
          <w:szCs w:val="20"/>
          <w:color w:val="auto"/>
        </w:rPr>
        <w:tab/>
      </w:r>
      <w:r>
        <w:rPr>
          <w:rFonts w:ascii="Arial" w:cs="Arial" w:eastAsia="Arial" w:hAnsi="Arial"/>
          <w:sz w:val="16"/>
          <w:szCs w:val="16"/>
          <w:i w:val="1"/>
          <w:iCs w:val="1"/>
          <w:color w:val="auto"/>
        </w:rPr>
        <w:t>Items 3-15 are not applicable because to the best of the Trustee's knowledge, the obligor is not in default under any Indenture for which the Trustee acts as Trustee.</w:t>
      </w:r>
    </w:p>
    <w:p>
      <w:pPr>
        <w:spacing w:after="0" w:line="15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5"/>
          <w:szCs w:val="15"/>
          <w:b w:val="1"/>
          <w:bCs w:val="1"/>
          <w:color w:val="auto"/>
        </w:rPr>
        <w:t xml:space="preserve">LIST OF EXHIBITS: </w:t>
      </w:r>
      <w:r>
        <w:rPr>
          <w:rFonts w:ascii="Arial" w:cs="Arial" w:eastAsia="Arial" w:hAnsi="Arial"/>
          <w:sz w:val="15"/>
          <w:szCs w:val="15"/>
          <w:i w:val="1"/>
          <w:iCs w:val="1"/>
          <w:color w:val="auto"/>
        </w:rPr>
        <w:t>List below all exhibits filed as a part of this statement of eligibility and qualification.</w:t>
      </w:r>
    </w:p>
    <w:p>
      <w:pPr>
        <w:spacing w:after="0" w:line="209" w:lineRule="exact"/>
        <w:rPr>
          <w:sz w:val="20"/>
          <w:szCs w:val="20"/>
          <w:color w:val="auto"/>
        </w:rPr>
      </w:pPr>
    </w:p>
    <w:p>
      <w:pPr>
        <w:ind w:left="1160" w:hanging="287"/>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copy of the Articles of Association of the Trustee.*</w:t>
      </w:r>
    </w:p>
    <w:p>
      <w:pPr>
        <w:spacing w:after="0" w:line="205" w:lineRule="exact"/>
        <w:rPr>
          <w:rFonts w:ascii="Arial" w:cs="Arial" w:eastAsia="Arial" w:hAnsi="Arial"/>
          <w:sz w:val="16"/>
          <w:szCs w:val="16"/>
          <w:color w:val="auto"/>
        </w:rPr>
      </w:pPr>
    </w:p>
    <w:p>
      <w:pPr>
        <w:ind w:left="1160" w:hanging="287"/>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copy of the certificate of authority of the Trustee to commence business, attached as Exhibit 2.</w:t>
      </w:r>
    </w:p>
    <w:p>
      <w:pPr>
        <w:spacing w:after="0" w:line="205" w:lineRule="exact"/>
        <w:rPr>
          <w:rFonts w:ascii="Arial" w:cs="Arial" w:eastAsia="Arial" w:hAnsi="Arial"/>
          <w:sz w:val="16"/>
          <w:szCs w:val="16"/>
          <w:color w:val="auto"/>
        </w:rPr>
      </w:pPr>
    </w:p>
    <w:p>
      <w:pPr>
        <w:ind w:left="1160" w:hanging="287"/>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copy of the certificate of authority of the Trustee to exercise corporate trust powers, attached as Exhibit 3.</w:t>
      </w:r>
    </w:p>
    <w:p>
      <w:pPr>
        <w:spacing w:after="0" w:line="205" w:lineRule="exact"/>
        <w:rPr>
          <w:rFonts w:ascii="Arial" w:cs="Arial" w:eastAsia="Arial" w:hAnsi="Arial"/>
          <w:sz w:val="16"/>
          <w:szCs w:val="16"/>
          <w:color w:val="auto"/>
        </w:rPr>
      </w:pPr>
    </w:p>
    <w:p>
      <w:pPr>
        <w:ind w:left="1160" w:hanging="287"/>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copy of the existing bylaws of the Trustee.**</w:t>
      </w:r>
    </w:p>
    <w:p>
      <w:pPr>
        <w:spacing w:after="0" w:line="205" w:lineRule="exact"/>
        <w:rPr>
          <w:rFonts w:ascii="Arial" w:cs="Arial" w:eastAsia="Arial" w:hAnsi="Arial"/>
          <w:sz w:val="16"/>
          <w:szCs w:val="16"/>
          <w:color w:val="auto"/>
        </w:rPr>
      </w:pPr>
    </w:p>
    <w:p>
      <w:pPr>
        <w:ind w:left="1160" w:hanging="287"/>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copy of each Indenture referred to in Item 4. Not applicable.</w:t>
      </w:r>
    </w:p>
    <w:p>
      <w:pPr>
        <w:spacing w:after="0" w:line="205" w:lineRule="exact"/>
        <w:rPr>
          <w:rFonts w:ascii="Arial" w:cs="Arial" w:eastAsia="Arial" w:hAnsi="Arial"/>
          <w:sz w:val="16"/>
          <w:szCs w:val="16"/>
          <w:color w:val="auto"/>
        </w:rPr>
      </w:pPr>
    </w:p>
    <w:p>
      <w:pPr>
        <w:ind w:left="1160" w:hanging="287"/>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Trust Indenture Act of 1939, attached as Exhibit 6.</w:t>
      </w:r>
    </w:p>
    <w:p>
      <w:pPr>
        <w:spacing w:after="0" w:line="205" w:lineRule="exact"/>
        <w:rPr>
          <w:rFonts w:ascii="Arial" w:cs="Arial" w:eastAsia="Arial" w:hAnsi="Arial"/>
          <w:sz w:val="16"/>
          <w:szCs w:val="16"/>
          <w:color w:val="auto"/>
        </w:rPr>
      </w:pPr>
    </w:p>
    <w:p>
      <w:pPr>
        <w:ind w:left="1160" w:hanging="287"/>
        <w:spacing w:after="0" w:line="283"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Report of Condition of the Trustee as of June 30, 2021 published pursuant to law or the requirements of its supervising or examining authority, attached as Exhibit 7.</w:t>
      </w:r>
    </w:p>
    <w:p>
      <w:pPr>
        <w:spacing w:after="0" w:line="150"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5"/>
          <w:szCs w:val="15"/>
          <w:color w:val="auto"/>
        </w:rPr>
        <w:t>* Incorporated by reference to Exhibit 25.1 to Amendment No. 2 to registration statement on S-4, Registration Number 333-128217 filed on November 15, 2005.</w:t>
      </w:r>
    </w:p>
    <w:p>
      <w:pPr>
        <w:spacing w:after="0" w:line="216" w:lineRule="exact"/>
        <w:rPr>
          <w:rFonts w:ascii="Arial" w:cs="Arial" w:eastAsia="Arial" w:hAnsi="Arial"/>
          <w:sz w:val="16"/>
          <w:szCs w:val="16"/>
          <w:color w:val="auto"/>
        </w:rPr>
      </w:pPr>
    </w:p>
    <w:p>
      <w:pPr>
        <w:ind w:left="640" w:hanging="205"/>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305(b)(2), Registration Number 333-229783 filed on June 21,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1456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180"/>
          </w:cols>
          <w:pgMar w:left="320" w:top="829" w:right="39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6"/>
          <w:szCs w:val="16"/>
          <w:b w:val="1"/>
          <w:bCs w:val="1"/>
          <w:color w:val="auto"/>
        </w:rPr>
        <w:t>SIGNATURE</w:t>
      </w:r>
    </w:p>
    <w:p>
      <w:pPr>
        <w:spacing w:after="0" w:line="209"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Hartford, State of Connecticut on the 21st day of October, 2021.</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 Kathy L. Mitchell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Kathy L.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-116205</wp:posOffset>
            </wp:positionV>
            <wp:extent cx="33528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3352800" cy="762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Vice President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1456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20"/>
          </w:cols>
          <w:pgMar w:left="320" w:top="829"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5"/>
          <w:szCs w:val="15"/>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147955</wp:posOffset>
            </wp:positionV>
            <wp:extent cx="7184390" cy="5639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84390" cy="563943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29210</wp:posOffset>
            </wp:positionV>
            <wp:extent cx="71456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5"/>
          <w:szCs w:val="15"/>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147955</wp:posOffset>
            </wp:positionV>
            <wp:extent cx="7202805" cy="5801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02805" cy="580199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29210</wp:posOffset>
            </wp:positionV>
            <wp:extent cx="71456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6"/>
          <w:szCs w:val="16"/>
          <w:b w:val="1"/>
          <w:bCs w:val="1"/>
          <w:u w:val="single" w:color="auto"/>
          <w:color w:val="auto"/>
        </w:rPr>
        <w:t>Exhibit 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w:t>
      </w:r>
    </w:p>
    <w:p>
      <w:pPr>
        <w:spacing w:after="0" w:line="209"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Dated: October 21, 2021</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 Kathy L. Mitchell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Kathy L.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-116205</wp:posOffset>
            </wp:positionV>
            <wp:extent cx="33528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3352800" cy="762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Vice President</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1456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0" w:type="dxa"/>
            <w:vAlign w:val="bottom"/>
            <w:gridSpan w:val="3"/>
          </w:tcPr>
          <w:p>
            <w:pPr>
              <w:jc w:val="center"/>
              <w:ind w:right="4084"/>
              <w:spacing w:after="0"/>
              <w:rPr>
                <w:sz w:val="20"/>
                <w:szCs w:val="20"/>
                <w:color w:val="auto"/>
              </w:rPr>
            </w:pPr>
            <w:r>
              <w:rPr>
                <w:rFonts w:ascii="Arial" w:cs="Arial" w:eastAsia="Arial" w:hAnsi="Arial"/>
                <w:sz w:val="16"/>
                <w:szCs w:val="16"/>
                <w:b w:val="1"/>
                <w:bCs w:val="1"/>
                <w:color w:val="auto"/>
                <w:w w:val="95"/>
              </w:rPr>
              <w:t>Exhibit 7</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040" w:type="dxa"/>
            <w:vAlign w:val="bottom"/>
          </w:tcPr>
          <w:p>
            <w:pPr>
              <w:spacing w:after="0"/>
              <w:rPr>
                <w:sz w:val="16"/>
                <w:szCs w:val="16"/>
                <w:color w:val="auto"/>
              </w:rPr>
            </w:pPr>
          </w:p>
        </w:tc>
        <w:tc>
          <w:tcPr>
            <w:tcW w:w="6060" w:type="dxa"/>
            <w:vAlign w:val="bottom"/>
            <w:gridSpan w:val="4"/>
          </w:tcPr>
          <w:p>
            <w:pPr>
              <w:jc w:val="center"/>
              <w:ind w:right="2824"/>
              <w:spacing w:after="0"/>
              <w:rPr>
                <w:sz w:val="20"/>
                <w:szCs w:val="20"/>
                <w:color w:val="auto"/>
              </w:rPr>
            </w:pPr>
            <w:r>
              <w:rPr>
                <w:rFonts w:ascii="Arial" w:cs="Arial" w:eastAsia="Arial" w:hAnsi="Arial"/>
                <w:sz w:val="16"/>
                <w:szCs w:val="16"/>
                <w:b w:val="1"/>
                <w:bCs w:val="1"/>
                <w:color w:val="auto"/>
                <w:w w:val="90"/>
              </w:rPr>
              <w:t>U.S. Bank National Association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040" w:type="dxa"/>
            <w:vAlign w:val="bottom"/>
          </w:tcPr>
          <w:p>
            <w:pPr>
              <w:spacing w:after="0"/>
              <w:rPr>
                <w:sz w:val="16"/>
                <w:szCs w:val="16"/>
                <w:color w:val="auto"/>
              </w:rPr>
            </w:pPr>
          </w:p>
        </w:tc>
        <w:tc>
          <w:tcPr>
            <w:tcW w:w="6060" w:type="dxa"/>
            <w:vAlign w:val="bottom"/>
            <w:gridSpan w:val="4"/>
          </w:tcPr>
          <w:p>
            <w:pPr>
              <w:jc w:val="center"/>
              <w:ind w:right="2804"/>
              <w:spacing w:after="0"/>
              <w:rPr>
                <w:sz w:val="20"/>
                <w:szCs w:val="20"/>
                <w:color w:val="auto"/>
              </w:rPr>
            </w:pPr>
            <w:r>
              <w:rPr>
                <w:rFonts w:ascii="Arial" w:cs="Arial" w:eastAsia="Arial" w:hAnsi="Arial"/>
                <w:sz w:val="16"/>
                <w:szCs w:val="16"/>
                <w:b w:val="1"/>
                <w:bCs w:val="1"/>
                <w:color w:val="auto"/>
                <w:w w:val="92"/>
              </w:rPr>
              <w:t>Statement of Financial Condition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4040" w:type="dxa"/>
            <w:vAlign w:val="bottom"/>
          </w:tcPr>
          <w:p>
            <w:pPr>
              <w:spacing w:after="0"/>
              <w:rPr>
                <w:sz w:val="18"/>
                <w:szCs w:val="18"/>
                <w:color w:val="auto"/>
              </w:rPr>
            </w:pPr>
          </w:p>
        </w:tc>
        <w:tc>
          <w:tcPr>
            <w:tcW w:w="6060" w:type="dxa"/>
            <w:vAlign w:val="bottom"/>
            <w:gridSpan w:val="4"/>
          </w:tcPr>
          <w:p>
            <w:pPr>
              <w:jc w:val="center"/>
              <w:ind w:right="2804"/>
              <w:spacing w:after="0"/>
              <w:rPr>
                <w:sz w:val="20"/>
                <w:szCs w:val="20"/>
                <w:color w:val="auto"/>
              </w:rPr>
            </w:pPr>
            <w:r>
              <w:rPr>
                <w:rFonts w:ascii="Arial" w:cs="Arial" w:eastAsia="Arial" w:hAnsi="Arial"/>
                <w:sz w:val="16"/>
                <w:szCs w:val="16"/>
                <w:b w:val="1"/>
                <w:bCs w:val="1"/>
                <w:color w:val="auto"/>
                <w:w w:val="91"/>
              </w:rPr>
              <w:t>As of 6/30/2021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9"/>
        </w:trPr>
        <w:tc>
          <w:tcPr>
            <w:tcW w:w="4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gridSpan w:val="3"/>
          </w:tcPr>
          <w:p>
            <w:pPr>
              <w:jc w:val="center"/>
              <w:ind w:right="4064"/>
              <w:spacing w:after="0"/>
              <w:rPr>
                <w:sz w:val="20"/>
                <w:szCs w:val="20"/>
                <w:color w:val="auto"/>
              </w:rPr>
            </w:pPr>
            <w:r>
              <w:rPr>
                <w:rFonts w:ascii="Arial" w:cs="Arial" w:eastAsia="Arial" w:hAnsi="Arial"/>
                <w:sz w:val="16"/>
                <w:szCs w:val="16"/>
                <w:b w:val="1"/>
                <w:bCs w:val="1"/>
                <w:color w:val="auto"/>
                <w:w w:val="90"/>
              </w:rPr>
              <w:t>($000’s)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40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3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6/30/2021</w:t>
            </w:r>
          </w:p>
        </w:tc>
        <w:tc>
          <w:tcPr>
            <w:tcW w:w="120" w:type="dxa"/>
            <w:vAlign w:val="bottom"/>
            <w:tcBorders>
              <w:bottom w:val="single" w:sz="8" w:color="CCEEFF"/>
            </w:tcBorders>
          </w:tcPr>
          <w:p>
            <w:pPr>
              <w:spacing w:after="0"/>
              <w:rPr>
                <w:sz w:val="24"/>
                <w:szCs w:val="24"/>
                <w:color w:val="auto"/>
              </w:rPr>
            </w:pPr>
          </w:p>
        </w:tc>
      </w:tr>
      <w:tr>
        <w:trPr>
          <w:trHeight w:val="187"/>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Cash and Balances Due From Depository Institutions</w:t>
            </w:r>
          </w:p>
        </w:tc>
        <w:tc>
          <w:tcPr>
            <w:tcW w:w="6060" w:type="dxa"/>
            <w:vAlign w:val="bottom"/>
            <w:gridSpan w:val="4"/>
          </w:tcPr>
          <w:p>
            <w:pPr>
              <w:jc w:val="right"/>
              <w:ind w:right="24"/>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44,435,957</w:t>
            </w: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158,894,854</w:t>
            </w: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Federal Funds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2,376</w:t>
            </w: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&amp; Lease Financing Receivables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296,741,901</w:t>
            </w: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Fixed Assets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6,294,698</w:t>
            </w: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13,278,545</w:t>
            </w:r>
          </w:p>
        </w:tc>
      </w:tr>
      <w:tr>
        <w:trPr>
          <w:trHeight w:val="207"/>
        </w:trPr>
        <w:tc>
          <w:tcPr>
            <w:tcW w:w="40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28,204,350</w:t>
            </w:r>
          </w:p>
        </w:tc>
      </w:tr>
      <w:tr>
        <w:trPr>
          <w:trHeight w:val="187"/>
        </w:trPr>
        <w:tc>
          <w:tcPr>
            <w:tcW w:w="4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Assets</w:t>
            </w:r>
          </w:p>
        </w:tc>
        <w:tc>
          <w:tcPr>
            <w:tcW w:w="1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547,852,681</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4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6060" w:type="dxa"/>
            <w:vAlign w:val="bottom"/>
            <w:gridSpan w:val="4"/>
          </w:tcPr>
          <w:p>
            <w:pPr>
              <w:jc w:val="right"/>
              <w:ind w:right="24"/>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442,902,823</w:t>
            </w: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 Funds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1,412,092</w:t>
            </w: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Treasury Demand Notes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Trading Liabilities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1,119,485</w:t>
            </w: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Other Borrowed Money</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31,883,676</w:t>
            </w: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Acceptances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Subordinated Notes and Debentures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3,600,000</w:t>
            </w:r>
          </w:p>
        </w:tc>
      </w:tr>
      <w:tr>
        <w:trPr>
          <w:trHeight w:val="207"/>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14,222,155</w:t>
            </w:r>
          </w:p>
        </w:tc>
      </w:tr>
      <w:tr>
        <w:trPr>
          <w:trHeight w:val="187"/>
        </w:trPr>
        <w:tc>
          <w:tcPr>
            <w:tcW w:w="4040" w:type="dxa"/>
            <w:vAlign w:val="bottom"/>
          </w:tcPr>
          <w:p>
            <w:pPr>
              <w:ind w:left="140"/>
              <w:spacing w:after="0"/>
              <w:rPr>
                <w:sz w:val="20"/>
                <w:szCs w:val="20"/>
                <w:color w:val="auto"/>
              </w:rPr>
            </w:pPr>
            <w:r>
              <w:rPr>
                <w:rFonts w:ascii="Arial" w:cs="Arial" w:eastAsia="Arial" w:hAnsi="Arial"/>
                <w:sz w:val="16"/>
                <w:szCs w:val="16"/>
                <w:b w:val="1"/>
                <w:bCs w:val="1"/>
                <w:color w:val="auto"/>
              </w:rPr>
              <w:t>Total Liabilities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495,140,231</w:t>
            </w:r>
          </w:p>
        </w:tc>
        <w:tc>
          <w:tcPr>
            <w:tcW w:w="120" w:type="dxa"/>
            <w:vAlign w:val="bottom"/>
          </w:tcPr>
          <w:p>
            <w:pPr>
              <w:spacing w:after="0"/>
              <w:rPr>
                <w:sz w:val="16"/>
                <w:szCs w:val="16"/>
                <w:color w:val="auto"/>
              </w:rPr>
            </w:pPr>
          </w:p>
        </w:tc>
      </w:tr>
      <w:tr>
        <w:trPr>
          <w:trHeight w:val="195"/>
        </w:trPr>
        <w:tc>
          <w:tcPr>
            <w:tcW w:w="40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and Preferred Stock</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18,200</w:t>
            </w:r>
          </w:p>
        </w:tc>
      </w:tr>
      <w:tr>
        <w:trPr>
          <w:trHeight w:val="195"/>
        </w:trPr>
        <w:tc>
          <w:tcPr>
            <w:tcW w:w="4040" w:type="dxa"/>
            <w:vAlign w:val="bottom"/>
          </w:tcPr>
          <w:p>
            <w:pPr>
              <w:ind w:left="140"/>
              <w:spacing w:after="0"/>
              <w:rPr>
                <w:sz w:val="20"/>
                <w:szCs w:val="20"/>
                <w:color w:val="auto"/>
              </w:rPr>
            </w:pPr>
            <w:r>
              <w:rPr>
                <w:rFonts w:ascii="Arial" w:cs="Arial" w:eastAsia="Arial" w:hAnsi="Arial"/>
                <w:sz w:val="16"/>
                <w:szCs w:val="16"/>
                <w:color w:val="auto"/>
              </w:rPr>
              <w:t>Surplus</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14,266,915</w:t>
            </w:r>
          </w:p>
        </w:tc>
      </w:tr>
      <w:tr>
        <w:trPr>
          <w:trHeight w:val="195"/>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Undivided Profits</w:t>
            </w: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37,622,248</w:t>
            </w:r>
          </w:p>
        </w:tc>
      </w:tr>
      <w:tr>
        <w:trPr>
          <w:trHeight w:val="207"/>
        </w:trPr>
        <w:tc>
          <w:tcPr>
            <w:tcW w:w="4040" w:type="dxa"/>
            <w:vAlign w:val="bottom"/>
          </w:tcPr>
          <w:p>
            <w:pPr>
              <w:ind w:left="140"/>
              <w:spacing w:after="0"/>
              <w:rPr>
                <w:sz w:val="20"/>
                <w:szCs w:val="20"/>
                <w:color w:val="auto"/>
              </w:rPr>
            </w:pPr>
            <w:r>
              <w:rPr>
                <w:rFonts w:ascii="Arial" w:cs="Arial" w:eastAsia="Arial" w:hAnsi="Arial"/>
                <w:sz w:val="16"/>
                <w:szCs w:val="16"/>
                <w:color w:val="auto"/>
              </w:rPr>
              <w:t>Minority Interest in Subsidiaries</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805,087</w:t>
            </w:r>
          </w:p>
        </w:tc>
      </w:tr>
      <w:tr>
        <w:trPr>
          <w:trHeight w:val="187"/>
        </w:trPr>
        <w:tc>
          <w:tcPr>
            <w:tcW w:w="40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Equity Capital</w:t>
            </w:r>
          </w:p>
        </w:tc>
        <w:tc>
          <w:tcPr>
            <w:tcW w:w="1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52,712,450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4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 Capital</w:t>
            </w:r>
          </w:p>
        </w:tc>
        <w:tc>
          <w:tcPr>
            <w:tcW w:w="6060" w:type="dxa"/>
            <w:vAlign w:val="bottom"/>
            <w:gridSpan w:val="4"/>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547,852,681</w:t>
            </w:r>
          </w:p>
        </w:tc>
      </w:tr>
      <w:tr>
        <w:trPr>
          <w:trHeight w:val="608"/>
        </w:trPr>
        <w:tc>
          <w:tcPr>
            <w:tcW w:w="4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7</w:t>
            </w:r>
          </w:p>
        </w:tc>
        <w:tc>
          <w:tcPr>
            <w:tcW w:w="3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8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decimal"/>
      <w:start w:val="2"/>
    </w:lvl>
    <w:lvl w:ilvl="1">
      <w:lvlJc w:val="left"/>
      <w:lvlText w:val="%2."/>
      <w:numFmt w:val="upperLetter"/>
      <w:start w:val="1"/>
    </w:lvl>
  </w:abstractNum>
  <w:abstractNum w:abstractNumId="25">
    <w:nsid w:val="3006C83E"/>
    <w:multiLevelType w:val="hybridMultilevel"/>
    <w:lvl w:ilvl="0">
      <w:lvlJc w:val="left"/>
      <w:lvlText w:val="(%1)"/>
      <w:numFmt w:val="decimal"/>
      <w:start w:val="5"/>
    </w:lvl>
    <w:lvl w:ilvl="1">
      <w:lvlJc w:val="left"/>
      <w:lvlText w:val="(%2)"/>
      <w:numFmt w:val="lowerRoman"/>
      <w:start w:val="1"/>
    </w:lvl>
  </w:abstractNum>
  <w:abstractNum w:abstractNumId="26">
    <w:nsid w:val="614FD4A1"/>
    <w:multiLevelType w:val="hybridMultilevel"/>
    <w:lvl w:ilvl="0">
      <w:lvlJc w:val="left"/>
      <w:lvlText w:val="(%1)"/>
      <w:numFmt w:val="upperLetter"/>
      <w:start w:val="2"/>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Roman"/>
      <w:start w:val="4"/>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lvl w:ilvl="1">
      <w:lvlJc w:val="left"/>
      <w:lvlText w:val="%2."/>
      <w:numFmt w:val="decimal"/>
      <w:start w:val="1"/>
    </w:lvl>
  </w:abstractNum>
  <w:abstractNum w:abstractNumId="31">
    <w:nsid w:val="3804823E"/>
    <w:multiLevelType w:val="hybridMultilevel"/>
    <w:lvl w:ilvl="0">
      <w:lvlJc w:val="left"/>
      <w:lvlText w:val="(%1)"/>
      <w:numFmt w:val="lowerLetter"/>
      <w:start w:val="4"/>
    </w:lvl>
    <w:lvl w:ilvl="1">
      <w:lvlJc w:val="left"/>
      <w:lvlText w:val="%2"/>
      <w:numFmt w:val="decimal"/>
      <w:start w:val="1"/>
    </w:lvl>
  </w:abstractNum>
  <w:abstractNum w:abstractNumId="32">
    <w:nsid w:val="77465F01"/>
    <w:multiLevelType w:val="hybridMultilevel"/>
    <w:lvl w:ilvl="0">
      <w:lvlJc w:val="left"/>
      <w:lvlText w:val="%1"/>
      <w:numFmt w:val="lowerLetter"/>
      <w:start w:val="1"/>
    </w:lvl>
    <w:lvl w:ilvl="1">
      <w:lvlJc w:val="left"/>
      <w:lvlText w:val="%2."/>
      <w:numFmt w:val="decimal"/>
      <w:start w:val="3"/>
    </w:lvl>
  </w:abstractNum>
  <w:abstractNum w:abstractNumId="33">
    <w:nsid w:val="7724C67E"/>
    <w:multiLevelType w:val="hybridMultilevel"/>
    <w:lvl w:ilvl="0">
      <w:lvlJc w:val="left"/>
      <w:lvlText w:val="(%1)"/>
      <w:numFmt w:val="lowerLetter"/>
      <w:start w:val="2"/>
    </w:lvl>
    <w:lvl w:ilvl="1">
      <w:lvlJc w:val="left"/>
      <w:lvlText w:val="%2"/>
      <w:numFmt w:val="decimal"/>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6"/>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2"/>
    </w:lvl>
  </w:abstractNum>
  <w:abstractNum w:abstractNumId="39">
    <w:nsid w:val="580BD78F"/>
    <w:multiLevelType w:val="hybridMultilevel"/>
    <w:lvl w:ilvl="0">
      <w:lvlJc w:val="left"/>
      <w:lvlText w:val="*"/>
      <w:numFmt w:val="bullet"/>
      <w:start w:val="1"/>
    </w:lvl>
    <w:lvl w:ilvl="1">
      <w:lvlJc w:val="left"/>
      <w:lvlText w:val="%2."/>
      <w:numFmt w:val="decimal"/>
      <w:start w:val="1"/>
    </w:lvl>
  </w:abstractNum>
  <w:abstractNum w:abstractNumId="40">
    <w:nsid w:val="153EA43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jpeg"/><Relationship Id="rId85" Type="http://schemas.openxmlformats.org/officeDocument/2006/relationships/image" Target="media/image64.png"/><Relationship Id="rId86" Type="http://schemas.openxmlformats.org/officeDocument/2006/relationships/image" Target="media/image65.jpe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44" Type="http://schemas.openxmlformats.org/officeDocument/2006/relationships/hyperlink" Target="http://www.sec.gov/ix?doc=/Archives/edgar/data/872589/000180422021000008/regn-20201231.htm" TargetMode="External"/><Relationship Id="rId46" Type="http://schemas.openxmlformats.org/officeDocument/2006/relationships/hyperlink" Target="http://www.sec.gov/Archives/edgar/data/872589/000093041321000869/c101011_def14a.htm" TargetMode="External"/><Relationship Id="rId47" Type="http://schemas.openxmlformats.org/officeDocument/2006/relationships/hyperlink" Target="http://www.sec.gov/ix?doc=/Archives/edgar/data/872589/000180422021000017/regn-20210331.htm" TargetMode="External"/><Relationship Id="rId48" Type="http://schemas.openxmlformats.org/officeDocument/2006/relationships/hyperlink" Target="http://www.sec.gov/ix?doc=/Archives/edgar/data/872589/000180422021000025/regn-20210630.htm" TargetMode="External"/><Relationship Id="rId49" Type="http://schemas.openxmlformats.org/officeDocument/2006/relationships/hyperlink" Target="https://www.sec.gov/ix?doc=/Archives/edgar/data/0000872589/000180422021000033/regn-20210930.htm" TargetMode="External"/><Relationship Id="rId50" Type="http://schemas.openxmlformats.org/officeDocument/2006/relationships/hyperlink" Target="http://www.sec.gov/ix?doc=/Archives/edgar/data/872589/000110465921000538/tm211603d1_8k.htm" TargetMode="External"/><Relationship Id="rId51" Type="http://schemas.openxmlformats.org/officeDocument/2006/relationships/hyperlink" Target="http://www.sec.gov/ix?doc=/Archives/edgar/data/872589/000110465921004699/tm211603d3_8k.htm" TargetMode="External"/><Relationship Id="rId52" Type="http://schemas.openxmlformats.org/officeDocument/2006/relationships/hyperlink" Target="http://www.sec.gov/ix?doc=/Archives/edgar/data/872589/000110465921082035/tm2119804d1_8k.htm" TargetMode="External"/><Relationship Id="rId53" Type="http://schemas.openxmlformats.org/officeDocument/2006/relationships/hyperlink" Target="http://www.sec.gov/ix?doc=/Archives/edgar/data/872589/000110465921116352/tm2127757d1_8k.htm" TargetMode="External"/><Relationship Id="rId54" Type="http://schemas.openxmlformats.org/officeDocument/2006/relationships/hyperlink" Target="https://www.sec.gov/Archives/edgar/data/872589/0000950172-96-000641.txt" TargetMode="External"/><Relationship Id="rId59" Type="http://schemas.openxmlformats.org/officeDocument/2006/relationships/hyperlink" Target="http://www.sec.gov/Archives/edgar/data/872589/000153217615000029/regn-ex_31x06302015x10q.htm" TargetMode="External"/><Relationship Id="rId60" Type="http://schemas.openxmlformats.org/officeDocument/2006/relationships/hyperlink" Target="http://www.sec.gov/Archives/edgar/data/872589/000110465916163216/a16-23471_1ex3d2.htm" TargetMode="External"/><Relationship Id="rId61" Type="http://schemas.openxmlformats.org/officeDocument/2006/relationships/hyperlink" Target="http://www.sec.gov/Archives/edgar/data/872589/000095012305001401/y69426a1exv4w16.txt" TargetMode="External"/><Relationship Id="rId62" Type="http://schemas.openxmlformats.org/officeDocument/2006/relationships/hyperlink" Target="http://www.sec.gov/Archives/edgar/data/872589/000110465920093924/tm2027319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2021-11-04T15:37:08Z</dcterms:created>
  <dcterms:modified xsi:type="dcterms:W3CDTF">2021-11-04T15:37:08Z</dcterms:modified>
</cp:coreProperties>
</file>