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#75886F107</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639,403</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6,223,092</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6,223,092</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6.092%</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#75886F107</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6,223,092</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6,223,092</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6.092%</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REGENERON PHARMACEUTICALS INC</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777 Old Saw Mill River Road</w:t>
            </w: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Tarrytown, NY 10591-6707</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6,223,092</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6.092%</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639,403</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6,223,092</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238" w:lineRule="auto"/>
        <w:rPr>
          <w:sz w:val="20"/>
          <w:szCs w:val="20"/>
          <w:color w:val="auto"/>
        </w:rPr>
      </w:pPr>
      <w:r>
        <w:rPr>
          <w:rFonts w:ascii="Courier New" w:cs="Courier New" w:eastAsia="Courier New" w:hAnsi="Courier New"/>
          <w:sz w:val="18"/>
          <w:szCs w:val="18"/>
          <w:color w:val="auto"/>
        </w:rPr>
        <w:t>FIDELITY INSTITUTIONAL ASSET MANAGEMENT TRUST COMPANY (formerly known as</w:t>
      </w:r>
    </w:p>
    <w:p>
      <w:pPr>
        <w:ind w:left="860"/>
        <w:spacing w:after="0"/>
        <w:tabs>
          <w:tab w:leader="none" w:pos="5040" w:val="left"/>
        </w:tabs>
        <w:rPr>
          <w:sz w:val="20"/>
          <w:szCs w:val="20"/>
          <w:color w:val="auto"/>
        </w:rPr>
      </w:pPr>
      <w:r>
        <w:rPr>
          <w:rFonts w:ascii="Courier New" w:cs="Courier New" w:eastAsia="Courier New" w:hAnsi="Courier New"/>
          <w:sz w:val="18"/>
          <w:szCs w:val="18"/>
          <w:color w:val="auto"/>
        </w:rPr>
        <w:t>PYRAMIS GLOBAL ADVISORS TRUST COMPANY)</w:t>
        <w:tab/>
        <w:t>BK</w:t>
      </w:r>
    </w:p>
    <w:p>
      <w:pPr>
        <w:spacing w:after="0" w:line="3"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FIDELITY MANAGEMENT TRUST COMPANY, INC. BK FMR CO., INC * IA</w:t>
      </w:r>
    </w:p>
    <w:p>
      <w:pPr>
        <w:spacing w:after="0"/>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REGENERON PHARMACEUTICALS INC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ectPr>
          <w:pgSz w:w="11900" w:h="16838" w:orient="portrait"/>
          <w:cols w:equalWidth="0" w:num="1">
            <w:col w:w="10219"/>
          </w:cols>
          <w:pgMar w:left="240" w:top="136" w:right="1440" w:bottom="134"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2019-12-16T03:35:38Z</dcterms:created>
  <dcterms:modified xsi:type="dcterms:W3CDTF">2019-12-16T03:35:38Z</dcterms:modified>
</cp:coreProperties>
</file>