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8</w:t>
      </w:r>
    </w:p>
    <w:p>
      <w:pPr>
        <w:spacing w:after="0" w:line="238" w:lineRule="auto"/>
        <w:rPr>
          <w:sz w:val="20"/>
          <w:szCs w:val="20"/>
          <w:color w:val="auto"/>
        </w:rPr>
      </w:pPr>
      <w:r>
        <w:rPr>
          <w:rFonts w:ascii="Courier New" w:cs="Courier New" w:eastAsia="Courier New" w:hAnsi="Courier New"/>
          <w:sz w:val="18"/>
          <w:szCs w:val="18"/>
          <w:color w:val="auto"/>
        </w:rPr>
        <w:t>Regeneron Pharmaceuticals Incorporated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#75886F107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#75886F107</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6,722,996</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6,722,996</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8.687%</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#75886F107</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6,722,996</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6,722,996</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2"/>
              </w:rPr>
              <w:t>8.687%</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Regeneron Pharmaceuticals</w:t>
      </w:r>
    </w:p>
    <w:p>
      <w:pPr>
        <w:spacing w:after="0" w:line="238" w:lineRule="auto"/>
        <w:rPr>
          <w:sz w:val="20"/>
          <w:szCs w:val="20"/>
          <w:color w:val="auto"/>
        </w:rPr>
      </w:pPr>
      <w:r>
        <w:rPr>
          <w:rFonts w:ascii="Courier New" w:cs="Courier New" w:eastAsia="Courier New" w:hAnsi="Courier New"/>
          <w:sz w:val="18"/>
          <w:szCs w:val="18"/>
          <w:color w:val="auto"/>
        </w:rPr>
        <w:t>Incorporated</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777 Old Saw Mill River Road</w:t>
      </w:r>
    </w:p>
    <w:p>
      <w:pPr>
        <w:ind w:left="1700"/>
        <w:spacing w:after="0"/>
        <w:tabs>
          <w:tab w:leader="none" w:pos="3260" w:val="left"/>
        </w:tabs>
        <w:rPr>
          <w:sz w:val="20"/>
          <w:szCs w:val="20"/>
          <w:color w:val="auto"/>
        </w:rPr>
      </w:pPr>
      <w:r>
        <w:rPr>
          <w:rFonts w:ascii="Courier New" w:cs="Courier New" w:eastAsia="Courier New" w:hAnsi="Courier New"/>
          <w:sz w:val="18"/>
          <w:szCs w:val="18"/>
          <w:color w:val="auto"/>
        </w:rPr>
        <w:t>Tarrytown, NY</w:t>
      </w:r>
      <w:r>
        <w:rPr>
          <w:sz w:val="20"/>
          <w:szCs w:val="20"/>
          <w:color w:val="auto"/>
        </w:rPr>
        <w:tab/>
      </w:r>
      <w:r>
        <w:rPr>
          <w:rFonts w:ascii="Courier New" w:cs="Courier New" w:eastAsia="Courier New" w:hAnsi="Courier New"/>
          <w:sz w:val="16"/>
          <w:szCs w:val="16"/>
          <w:color w:val="auto"/>
        </w:rPr>
        <w:t>10591-6707</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75886F107</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6,722,996</w:t>
      </w:r>
    </w:p>
    <w:p>
      <w:pPr>
        <w:sectPr>
          <w:pgSz w:w="11900" w:h="16855" w:orient="portrait"/>
          <w:cols w:equalWidth="0" w:num="1">
            <w:col w:w="10219"/>
          </w:cols>
          <w:pgMar w:left="240" w:top="244" w:right="1440" w:bottom="0" w:gutter="0" w:footer="0" w:header="0"/>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8.687%</w:t>
      </w:r>
    </w:p>
    <w:p>
      <w:pPr>
        <w:spacing w:after="0" w:line="207"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339"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ectPr>
          <w:pgSz w:w="11900" w:h="16838" w:orient="portrait"/>
          <w:cols w:equalWidth="0" w:num="2">
            <w:col w:w="1160" w:space="540"/>
            <w:col w:w="8519"/>
          </w:cols>
          <w:pgMar w:left="240" w:top="339"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6,722,996</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Regeneron Pharmaceuticals Incorporated. The interest of one person, Fidelity Growth Company Fund, an investment company registered under the Investment Company Act of 1940, in the Common Stock of Regeneron Pharmaceuticals Incorporated, amounted to</w:t>
      </w:r>
    </w:p>
    <w:p>
      <w:pPr>
        <w:spacing w:after="0" w:line="9"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5,138,948 shares or 6.640% of the total outstanding Common Stock at December 31, 2008.</w:t>
      </w:r>
    </w:p>
    <w:p>
      <w:pPr>
        <w:spacing w:after="0" w:line="208"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16, 2009</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Scott C. Goebel</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 C. Goebel</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effective as of June 1, 2008 by and on behalf of FMR LLC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ectPr>
          <w:pgSz w:w="11900" w:h="16838" w:orient="portrait"/>
          <w:cols w:equalWidth="0" w:num="1">
            <w:col w:w="10219"/>
          </w:cols>
          <w:pgMar w:left="240" w:top="339"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STATEMENTS</w:t>
      </w:r>
    </w:p>
    <w:p>
      <w:pPr>
        <w:ind w:left="860"/>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LLC and an investment adviser registered under Section 203 of the Investment Advisers Act</w:t>
      </w:r>
    </w:p>
    <w:p>
      <w:pPr>
        <w:spacing w:after="0" w:line="6"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of 1940, is the beneficial owner of 6,722,996 shares or 8.687% of the Common Stock outstanding of Regeneron Pharmaceuticals Incorporated ("the Company") as a result of acting as investment adviser to various investment companies registered under Section 8 of the Investment Company Act of 1940.</w:t>
      </w:r>
    </w:p>
    <w:p>
      <w:pPr>
        <w:spacing w:after="0" w:line="210" w:lineRule="exact"/>
        <w:rPr>
          <w:sz w:val="20"/>
          <w:szCs w:val="20"/>
          <w:color w:val="auto"/>
        </w:rPr>
      </w:pPr>
    </w:p>
    <w:p>
      <w:pPr>
        <w:ind w:right="4199" w:firstLine="843"/>
        <w:spacing w:after="0" w:line="268" w:lineRule="auto"/>
        <w:rPr>
          <w:sz w:val="20"/>
          <w:szCs w:val="20"/>
          <w:color w:val="auto"/>
        </w:rPr>
      </w:pPr>
      <w:r>
        <w:rPr>
          <w:rFonts w:ascii="Courier New" w:cs="Courier New" w:eastAsia="Courier New" w:hAnsi="Courier New"/>
          <w:sz w:val="16"/>
          <w:szCs w:val="16"/>
          <w:color w:val="auto"/>
        </w:rPr>
        <w:t>The ownership of one investment company, Fidelity Growth Company Fund, amounted to 5,138,948 shares or</w:t>
      </w:r>
    </w:p>
    <w:p>
      <w:pPr>
        <w:ind w:right="4419"/>
        <w:spacing w:after="0" w:line="236" w:lineRule="auto"/>
        <w:rPr>
          <w:sz w:val="20"/>
          <w:szCs w:val="20"/>
          <w:color w:val="auto"/>
        </w:rPr>
      </w:pPr>
      <w:r>
        <w:rPr>
          <w:rFonts w:ascii="Courier New" w:cs="Courier New" w:eastAsia="Courier New" w:hAnsi="Courier New"/>
          <w:sz w:val="18"/>
          <w:szCs w:val="18"/>
          <w:color w:val="auto"/>
        </w:rPr>
        <w:t>6.640% of the Common Stock outstanding. Fidelity Growth Company Fund has its principal business office at 82 Devonshire Street, Boston, Massachusetts 02109.</w:t>
      </w:r>
    </w:p>
    <w:p>
      <w:pPr>
        <w:spacing w:after="0" w:line="209"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LLC, through its control of Fidelity, and the funds each has sole power to dispose of the 6,722,996 shares owned by the Funds.</w:t>
      </w:r>
    </w:p>
    <w:p>
      <w:pPr>
        <w:spacing w:after="0" w:line="209"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8"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275"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200" w:lineRule="exact"/>
        <w:rPr>
          <w:sz w:val="20"/>
          <w:szCs w:val="20"/>
          <w:color w:val="auto"/>
        </w:rPr>
      </w:pPr>
    </w:p>
    <w:p>
      <w:pPr>
        <w:spacing w:after="0" w:line="38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16, 2009, agree and consent to the joint filing on their behalf of this Schedule 13G in connection with their beneficial ownership of the Common Stock of Regeneron Pharmaceuticals Incorporated at December 31, 2008.</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June 1, 2008, by and on behalf of Edward C. Johnson 3d</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ind w:left="860"/>
        <w:spacing w:after="0"/>
        <w:rPr>
          <w:sz w:val="20"/>
          <w:szCs w:val="20"/>
          <w:color w:val="auto"/>
        </w:rPr>
      </w:pPr>
      <w:r>
        <w:rPr>
          <w:rFonts w:ascii="Courier New" w:cs="Courier New" w:eastAsia="Courier New" w:hAnsi="Courier New"/>
          <w:sz w:val="18"/>
          <w:szCs w:val="18"/>
          <w:color w:val="auto"/>
        </w:rPr>
        <w:t>Senior V.P. and General Counsel</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Fidelity Growth Company Fund</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Scott C. Goebel</w:t>
      </w:r>
    </w:p>
    <w:p>
      <w:pPr>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rPr>
          <w:sz w:val="20"/>
          <w:szCs w:val="20"/>
          <w:color w:val="auto"/>
        </w:rPr>
      </w:pPr>
      <w:r>
        <w:rPr>
          <w:rFonts w:ascii="Courier New" w:cs="Courier New" w:eastAsia="Courier New" w:hAnsi="Courier New"/>
          <w:sz w:val="18"/>
          <w:szCs w:val="18"/>
          <w:color w:val="auto"/>
        </w:rPr>
        <w:t>Secretary</w:t>
      </w:r>
    </w:p>
    <w:sectPr>
      <w:pgSz w:w="11900" w:h="16838" w:orient="portrait"/>
      <w:cols w:equalWidth="0" w:num="1">
        <w:col w:w="9359"/>
      </w:cols>
      <w:pgMar w:left="110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2019-12-10T09:39:10Z</dcterms:created>
  <dcterms:modified xsi:type="dcterms:W3CDTF">2019-12-10T09:39:10Z</dcterms:modified>
</cp:coreProperties>
</file>