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2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229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SCHLEIFER LEONARD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0000FF"/>
              </w:rPr>
              <w:t>X</w:t>
            </w:r>
          </w:p>
        </w:tc>
        <w:tc>
          <w:tcPr>
            <w:tcW w:w="126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680" w:type="dxa"/>
            <w:vAlign w:val="bottom"/>
          </w:tcPr>
          <w:p>
            <w:pPr>
              <w:spacing w:after="0"/>
              <w:rPr>
                <w:sz w:val="4"/>
                <w:szCs w:val="4"/>
                <w:color w:val="auto"/>
              </w:rPr>
            </w:pP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color w:val="0000FF"/>
              </w:rPr>
              <w:t>President &amp; CEO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4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03/21/2019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160" w:type="dxa"/>
            <w:vAlign w:val="bottom"/>
            <w:tcBorders>
              <w:bottom w:val="single" w:sz="8" w:color="2C2C2C"/>
            </w:tcBorders>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9"/>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21"/>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5"/>
          </w:tcPr>
          <w:p>
            <w:pPr>
              <w:ind w:left="880"/>
              <w:spacing w:after="0"/>
              <w:rPr>
                <w:sz w:val="20"/>
                <w:szCs w:val="20"/>
                <w:color w:val="auto"/>
              </w:rPr>
            </w:pPr>
            <w:r>
              <w:rPr>
                <w:rFonts w:ascii="Arial" w:cs="Arial" w:eastAsia="Arial" w:hAnsi="Arial"/>
                <w:sz w:val="18"/>
                <w:szCs w:val="18"/>
                <w:color w:val="0000FF"/>
                <w:w w:val="99"/>
              </w:rPr>
              <w:t>03/21/2019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100</w:t>
            </w:r>
          </w:p>
        </w:tc>
        <w:tc>
          <w:tcPr>
            <w:tcW w:w="680" w:type="dxa"/>
            <w:vAlign w:val="bottom"/>
            <w:gridSpan w:val="2"/>
          </w:tcPr>
          <w:p>
            <w:pPr>
              <w:ind w:left="440"/>
              <w:spacing w:after="0"/>
              <w:rPr>
                <w:sz w:val="20"/>
                <w:szCs w:val="20"/>
                <w:color w:val="auto"/>
              </w:rPr>
            </w:pPr>
            <w:r>
              <w:rPr>
                <w:rFonts w:ascii="Arial" w:cs="Arial" w:eastAsia="Arial" w:hAnsi="Arial"/>
                <w:sz w:val="18"/>
                <w:szCs w:val="18"/>
                <w:color w:val="0000FF"/>
              </w:rPr>
              <w:t>A</w:t>
            </w:r>
          </w:p>
        </w:tc>
        <w:tc>
          <w:tcPr>
            <w:tcW w:w="760" w:type="dxa"/>
            <w:vAlign w:val="bottom"/>
            <w:gridSpan w:val="4"/>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21.25</w:t>
            </w:r>
          </w:p>
        </w:tc>
        <w:tc>
          <w:tcPr>
            <w:tcW w:w="1260" w:type="dxa"/>
            <w:vAlign w:val="bottom"/>
            <w:gridSpan w:val="2"/>
          </w:tcPr>
          <w:p>
            <w:pPr>
              <w:jc w:val="right"/>
              <w:ind w:right="316"/>
              <w:spacing w:after="0"/>
              <w:rPr>
                <w:sz w:val="20"/>
                <w:szCs w:val="20"/>
                <w:color w:val="auto"/>
              </w:rPr>
            </w:pPr>
            <w:r>
              <w:rPr>
                <w:rFonts w:ascii="Arial" w:cs="Arial" w:eastAsia="Arial" w:hAnsi="Arial"/>
                <w:sz w:val="18"/>
                <w:szCs w:val="18"/>
                <w:color w:val="0000FF"/>
              </w:rPr>
              <w:t>424,062</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96"/>
              <w:spacing w:after="0"/>
              <w:rPr>
                <w:sz w:val="20"/>
                <w:szCs w:val="20"/>
                <w:color w:val="auto"/>
              </w:rPr>
            </w:pPr>
            <w:r>
              <w:rPr>
                <w:rFonts w:ascii="Arial" w:cs="Arial" w:eastAsia="Arial" w:hAnsi="Arial"/>
                <w:sz w:val="18"/>
                <w:szCs w:val="18"/>
                <w:color w:val="0000FF"/>
              </w:rPr>
              <w:t>5,786</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ind w:left="6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6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980" w:type="dxa"/>
            <w:vAlign w:val="bottom"/>
            <w:vMerge w:val="restart"/>
          </w:tcPr>
          <w:p>
            <w:pPr>
              <w:ind w:left="260"/>
              <w:spacing w:after="0"/>
              <w:rPr>
                <w:sz w:val="20"/>
                <w:szCs w:val="20"/>
                <w:color w:val="auto"/>
              </w:rPr>
            </w:pPr>
            <w:r>
              <w:rPr>
                <w:rFonts w:ascii="Arial" w:cs="Arial" w:eastAsia="Arial" w:hAnsi="Arial"/>
                <w:sz w:val="14"/>
                <w:szCs w:val="14"/>
                <w:color w:val="0000FF"/>
                <w:w w:val="99"/>
              </w:rPr>
              <w:t>03/21/2019</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color w:val="0000FF"/>
              </w:rPr>
              <w:t>100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color w:val="0000FF"/>
                <w:w w:val="99"/>
              </w:rPr>
              <w:t>12/18/2019</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20"/>
              <w:spacing w:after="0"/>
              <w:rPr>
                <w:sz w:val="20"/>
                <w:szCs w:val="20"/>
                <w:color w:val="auto"/>
              </w:rPr>
            </w:pPr>
            <w:r>
              <w:rPr>
                <w:rFonts w:ascii="Arial" w:cs="Arial" w:eastAsia="Arial" w:hAnsi="Arial"/>
                <w:sz w:val="18"/>
                <w:szCs w:val="18"/>
                <w:color w:val="0000FF"/>
              </w:rPr>
              <w:t>100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80" w:type="dxa"/>
            <w:vAlign w:val="bottom"/>
            <w:vMerge w:val="restart"/>
          </w:tcPr>
          <w:p>
            <w:pPr>
              <w:ind w:left="200"/>
              <w:spacing w:after="0"/>
              <w:rPr>
                <w:sz w:val="20"/>
                <w:szCs w:val="20"/>
                <w:color w:val="auto"/>
              </w:rPr>
            </w:pPr>
            <w:r>
              <w:rPr>
                <w:rFonts w:ascii="Arial" w:cs="Arial" w:eastAsia="Arial" w:hAnsi="Arial"/>
                <w:sz w:val="14"/>
                <w:szCs w:val="14"/>
                <w:color w:val="0000FF"/>
                <w:w w:val="90"/>
              </w:rPr>
              <w:t>312,400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 respect to 187,500 underlying shares, the option became exercisable on December 31, 2012, based upon the satisfaction by the company of certain performance criteria during the period ended December 31, 2012. With respect to 125,000 underlying shares, the stock option award vested in four equal annual installments, commencing one year after the date of grant.</w:t>
      </w:r>
    </w:p>
    <w:tbl>
      <w:tblPr>
        <w:tblLayout w:type="fixed"/>
        <w:tblInd w:w="6860" w:type="dxa"/>
        <w:tblCellMar>
          <w:top w:w="0" w:type="dxa"/>
          <w:left w:w="0" w:type="dxa"/>
          <w:bottom w:w="0" w:type="dxa"/>
          <w:right w:w="0" w:type="dxa"/>
        </w:tblCellMar>
      </w:tblP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0000FF"/>
                <w:w w:val="90"/>
              </w:rPr>
              <w:t>/s/**Leonard S. Schleifer</w:t>
            </w:r>
          </w:p>
        </w:tc>
        <w:tc>
          <w:tcPr>
            <w:tcW w:w="32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03/22/2019</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2019-12-24T09:23:48Z</dcterms:created>
  <dcterms:modified xsi:type="dcterms:W3CDTF">2019-12-24T09:23:48Z</dcterms:modified>
</cp:coreProperties>
</file>