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361315</wp:posOffset>
            </wp:positionV>
            <wp:extent cx="7267575" cy="21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jc w:val="center"/>
        <w:ind w:right="-23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_____________________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8-K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 PURSUANT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TO SECTION 13 OR 15 (D) OF THE</w:t>
      </w: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Date of Report (Date of earliest event reported): December 27, 2010 (December 23, 2010)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4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___________________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REGENERON PHARMACEUTICALS,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(Exact name of registrant as specified in its charter)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New York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(State or other jurisdiction of incorporation)</w:t>
      </w:r>
    </w:p>
    <w:p>
      <w:pPr>
        <w:sectPr>
          <w:pgSz w:w="11900" w:h="16838" w:orient="portrait"/>
          <w:cols w:equalWidth="0" w:num="1">
            <w:col w:w="11200"/>
          </w:cols>
          <w:pgMar w:left="240" w:top="927" w:right="4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000-19034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(Commission File No.)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13-3444607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IRS Employer Identification No.)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6420" w:space="720"/>
            <w:col w:w="4060"/>
          </w:cols>
          <w:pgMar w:left="240" w:top="927" w:right="459" w:bottom="1440" w:gutter="0" w:footer="0" w:header="0"/>
          <w:type w:val="continuous"/>
        </w:sectPr>
      </w:pP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jc w:val="center"/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777 Old Saw Mill River Road, Tarrytown, New York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10591-6707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(Zip Code)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980" w:space="720"/>
            <w:col w:w="2500"/>
          </w:cols>
          <w:pgMar w:left="240" w:top="927" w:right="459" w:bottom="1440" w:gutter="0" w:footer="0" w:header="0"/>
          <w:type w:val="continuous"/>
        </w:sect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(914) 347-7000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(Registrant's telephone number, including area code)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354330</wp:posOffset>
            </wp:positionV>
            <wp:extent cx="7267575" cy="21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140" w:hanging="132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]  Written communications pursuant to Rule 425 under the Securities Act (17 CFR 230.425)</w:t>
      </w:r>
    </w:p>
    <w:p>
      <w:pPr>
        <w:spacing w:after="0" w:line="233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140" w:hanging="132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]  Soliciting material pursuant to Rule 14a-12 under the Exchange Act (17 CFR 240.14a-12)</w:t>
      </w:r>
    </w:p>
    <w:p>
      <w:pPr>
        <w:spacing w:after="0" w:line="233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140" w:hanging="132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  Pre-commencement communications pursuant to Rule 14d-2(b) under the Exchange Act (17 CFR 240.14d-2 (b))</w:t>
      </w:r>
    </w:p>
    <w:p>
      <w:pPr>
        <w:spacing w:after="0" w:line="244" w:lineRule="exact"/>
        <w:rPr>
          <w:rFonts w:ascii="Arial" w:cs="Arial" w:eastAsia="Arial" w:hAnsi="Arial"/>
          <w:sz w:val="21"/>
          <w:szCs w:val="21"/>
          <w:color w:val="auto"/>
        </w:rPr>
      </w:pPr>
    </w:p>
    <w:p>
      <w:pPr>
        <w:ind w:left="140" w:hanging="132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  Pre-commencement communications pursuant to Rule 13e-4(c) under the Exchange Act (17 CFR 240.13e-4 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578485</wp:posOffset>
            </wp:positionV>
            <wp:extent cx="725043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00"/>
          </w:cols>
          <w:pgMar w:left="240" w:top="927" w:right="4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Item 8.01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 xml:space="preserve">  Other Events.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Late last week, Regeneron Pharmaceuticals, Inc. (“Regeneron”) and sanofi-aventis were informed by the U.S. Food and Drug Administration (“FDA”) that a case confirmed as avascular necrosis of a joint was seen in another company’s anti-nerve growth factor (“NGF”) program. The FDA believes this additional case provides evidence to suggest a class-effect and has placed REGN475/SAR164877, an NGF inhibitor being developed by Regeneron and sanofi-aventis, on clinical hold. There are currently no ongoing trials with REGN475/SAR164877 that are either enrolling or treating patients.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862965</wp:posOffset>
            </wp:positionV>
            <wp:extent cx="7250430" cy="2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240" w:top="747" w:right="419" w:bottom="1440" w:gutter="0" w:footer="0" w:header="0"/>
        </w:sectPr>
      </w:pPr>
    </w:p>
    <w:bookmarkStart w:id="2" w:name="page3"/>
    <w:bookmarkEnd w:id="2"/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SIGNATURE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540" w:type="dxa"/>
            <w:vAlign w:val="bottom"/>
            <w:gridSpan w:val="3"/>
          </w:tcPr>
          <w:p>
            <w:pPr>
              <w:ind w:left="1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4"/>
              </w:rPr>
              <w:t>REGENERON PHARMACEUTICALS, INC.</w:t>
            </w:r>
          </w:p>
        </w:tc>
      </w:tr>
      <w:tr>
        <w:trPr>
          <w:trHeight w:val="449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 xml:space="preserve">Date: 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27, 2010</w:t>
            </w:r>
          </w:p>
        </w:tc>
        <w:tc>
          <w:tcPr>
            <w:tcW w:w="5540" w:type="dxa"/>
            <w:vAlign w:val="bottom"/>
            <w:gridSpan w:val="3"/>
          </w:tcPr>
          <w:p>
            <w:pPr>
              <w:ind w:left="1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By: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/s/ Murray A. Goldberg</w:t>
            </w:r>
          </w:p>
        </w:tc>
      </w:tr>
      <w:tr>
        <w:trPr>
          <w:trHeight w:val="209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auto"/>
            </w:tcBorders>
          </w:tcPr>
          <w:p>
            <w:pPr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Name: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Murray A. Goldberg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49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2"/>
          </w:tcPr>
          <w:p>
            <w:pPr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0"/>
              </w:rPr>
              <w:t xml:space="preserve">Title: 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Senior Vice President, Finance and</w:t>
            </w:r>
          </w:p>
        </w:tc>
      </w:tr>
      <w:tr>
        <w:trPr>
          <w:trHeight w:val="243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2"/>
          </w:tcPr>
          <w:p>
            <w:pPr>
              <w:ind w:left="62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Administration, Chief Financial</w:t>
            </w:r>
          </w:p>
        </w:tc>
      </w:tr>
      <w:tr>
        <w:trPr>
          <w:trHeight w:val="243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2"/>
          </w:tcPr>
          <w:p>
            <w:pPr>
              <w:ind w:left="62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Officer, Treasurer, and Assistant</w:t>
            </w:r>
          </w:p>
        </w:tc>
      </w:tr>
      <w:tr>
        <w:trPr>
          <w:trHeight w:val="275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Secretary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160"/>
      </w:cols>
      <w:pgMar w:left="240" w:top="747" w:right="4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2019-12-10T09:51:48Z</dcterms:created>
  <dcterms:modified xsi:type="dcterms:W3CDTF">2019-12-10T09:51:48Z</dcterms:modified>
</cp:coreProperties>
</file>