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#75886F107</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10,677,607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11,096,984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11,096,984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10.362%</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11,096,984</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11,096,984</w:t>
      </w:r>
    </w:p>
    <w:p>
      <w:pPr>
        <w:spacing w:after="0"/>
        <w:rPr>
          <w:sz w:val="20"/>
          <w:szCs w:val="20"/>
          <w:color w:val="auto"/>
        </w:rPr>
      </w:pPr>
      <w:r>
        <w:rPr>
          <w:rFonts w:ascii="Courier New" w:cs="Courier New" w:eastAsia="Courier New" w:hAnsi="Courier New"/>
          <w:sz w:val="18"/>
          <w:szCs w:val="18"/>
          <w:color w:val="auto"/>
        </w:rPr>
        <w:t>Item 11: 10.362%</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Tarrytown, NY 10591-6707</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11,096,984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10.362%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11,096,984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REGENERON PHARMACEUTICALS INC. No one other person's interest in the COMMON STOCK of REGENERON PHARMACEUTICALS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9"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Fidelity Diversifying Solutions LLC</w:t>
        <w:tab/>
        <w:t>IA</w:t>
      </w: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9"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REGENERON PHARMACEUTICALS INC at December 30,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2023-02-09T11:38:27Z</dcterms:created>
  <dcterms:modified xsi:type="dcterms:W3CDTF">2023-02-09T11:38:27Z</dcterms:modified>
</cp:coreProperties>
</file>