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20" w:hanging="212"/>
        <w:spacing w:after="0"/>
        <w:tabs>
          <w:tab w:leader="none" w:pos="22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580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Page 1 of 4</w:t>
      </w:r>
    </w:p>
    <w:p>
      <w:pPr>
        <w:spacing w:after="0" w:line="207" w:lineRule="exact"/>
        <w:rPr>
          <w:sz w:val="24"/>
          <w:szCs w:val="24"/>
          <w:color w:val="auto"/>
        </w:rPr>
      </w:pPr>
    </w:p>
    <w:p>
      <w:pPr>
        <w:jc w:val="center"/>
        <w:ind w:right="8939"/>
        <w:spacing w:after="0"/>
        <w:rPr>
          <w:sz w:val="20"/>
          <w:szCs w:val="20"/>
          <w:color w:val="auto"/>
        </w:rPr>
      </w:pPr>
      <w:r>
        <w:rPr>
          <w:rFonts w:ascii="Courier New" w:cs="Courier New" w:eastAsia="Courier New" w:hAnsi="Courier New"/>
          <w:sz w:val="16"/>
          <w:szCs w:val="16"/>
          <w:color w:val="auto"/>
        </w:rPr>
        <w:t>SCHEDULE 13G</w:t>
      </w:r>
    </w:p>
    <w:p>
      <w:pPr>
        <w:spacing w:after="0" w:line="16" w:lineRule="exact"/>
        <w:rPr>
          <w:sz w:val="24"/>
          <w:szCs w:val="24"/>
          <w:color w:val="auto"/>
        </w:rPr>
      </w:pPr>
    </w:p>
    <w:p>
      <w:pPr>
        <w:jc w:val="center"/>
        <w:ind w:right="8939"/>
        <w:spacing w:after="0"/>
        <w:rPr>
          <w:sz w:val="20"/>
          <w:szCs w:val="20"/>
          <w:color w:val="auto"/>
        </w:rPr>
      </w:pPr>
      <w:r>
        <w:rPr>
          <w:rFonts w:ascii="Courier New" w:cs="Courier New" w:eastAsia="Courier New" w:hAnsi="Courier New"/>
          <w:sz w:val="18"/>
          <w:szCs w:val="18"/>
          <w:color w:val="auto"/>
        </w:rPr>
        <w:t>(12/31/98)</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REGENERON PHARMACEUT</w:t>
      </w:r>
    </w:p>
    <w:p>
      <w:pPr>
        <w:spacing w:after="0" w:line="238" w:lineRule="auto"/>
        <w:rPr>
          <w:sz w:val="20"/>
          <w:szCs w:val="20"/>
          <w:color w:val="auto"/>
        </w:rPr>
      </w:pPr>
      <w:r>
        <w:rPr>
          <w:rFonts w:ascii="Courier New" w:cs="Courier New" w:eastAsia="Courier New" w:hAnsi="Courier New"/>
          <w:sz w:val="18"/>
          <w:szCs w:val="18"/>
          <w:color w:val="auto"/>
        </w:rPr>
        <w:t>Cusip # 75886F107</w:t>
      </w:r>
    </w:p>
    <w:p>
      <w:pPr>
        <w:spacing w:after="0"/>
        <w:rPr>
          <w:sz w:val="20"/>
          <w:szCs w:val="20"/>
          <w:color w:val="auto"/>
        </w:rPr>
      </w:pPr>
      <w:r>
        <w:rPr>
          <w:rFonts w:ascii="Courier New" w:cs="Courier New" w:eastAsia="Courier New" w:hAnsi="Courier New"/>
          <w:sz w:val="18"/>
          <w:szCs w:val="18"/>
          <w:color w:val="auto"/>
        </w:rPr>
        <w:t>NEW FILING</w:t>
      </w:r>
    </w:p>
    <w:p>
      <w:pPr>
        <w:spacing w:after="0" w:line="200" w:lineRule="exact"/>
        <w:rPr>
          <w:sz w:val="24"/>
          <w:szCs w:val="24"/>
          <w:color w:val="auto"/>
        </w:rPr>
      </w:pPr>
    </w:p>
    <w:p>
      <w:pPr>
        <w:ind w:left="220" w:hanging="212"/>
        <w:spacing w:after="0"/>
        <w:tabs>
          <w:tab w:leader="none" w:pos="2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590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Page 2 of 4</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Cusip # 75886F107</w:t>
      </w:r>
    </w:p>
    <w:p>
      <w:pPr>
        <w:spacing w:after="0" w:line="201" w:lineRule="exact"/>
        <w:rPr>
          <w:sz w:val="24"/>
          <w:szCs w:val="24"/>
          <w:color w:val="auto"/>
        </w:rPr>
      </w:pPr>
    </w:p>
    <w:tbl>
      <w:tblPr>
        <w:tblLayout w:type="fixed"/>
        <w:tblInd w:w="0" w:type="dxa"/>
        <w:tblCellMar>
          <w:top w:w="0" w:type="dxa"/>
          <w:left w:w="0" w:type="dxa"/>
          <w:bottom w:w="0" w:type="dxa"/>
          <w:right w:w="0" w:type="dxa"/>
        </w:tblCellMar>
      </w:tblPr>
      <w:tr>
        <w:trPr>
          <w:trHeight w:val="204"/>
        </w:trPr>
        <w:tc>
          <w:tcPr>
            <w:tcW w:w="540" w:type="dxa"/>
            <w:vAlign w:val="bottom"/>
          </w:tcPr>
          <w:p>
            <w:pPr>
              <w:spacing w:after="0"/>
              <w:rPr>
                <w:sz w:val="20"/>
                <w:szCs w:val="20"/>
                <w:color w:val="auto"/>
              </w:rPr>
            </w:pPr>
            <w:r>
              <w:rPr>
                <w:rFonts w:ascii="Courier New" w:cs="Courier New" w:eastAsia="Courier New" w:hAnsi="Courier New"/>
                <w:sz w:val="18"/>
                <w:szCs w:val="18"/>
                <w:color w:val="auto"/>
              </w:rPr>
              <w:t>Item</w:t>
            </w:r>
          </w:p>
        </w:tc>
        <w:tc>
          <w:tcPr>
            <w:tcW w:w="52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1:</w:t>
            </w:r>
          </w:p>
        </w:tc>
        <w:tc>
          <w:tcPr>
            <w:tcW w:w="2060" w:type="dxa"/>
            <w:vAlign w:val="bottom"/>
          </w:tcPr>
          <w:p>
            <w:pPr>
              <w:ind w:left="220"/>
              <w:spacing w:after="0"/>
              <w:rPr>
                <w:sz w:val="20"/>
                <w:szCs w:val="20"/>
                <w:color w:val="auto"/>
              </w:rPr>
            </w:pPr>
            <w:r>
              <w:rPr>
                <w:rFonts w:ascii="Courier New" w:cs="Courier New" w:eastAsia="Courier New" w:hAnsi="Courier New"/>
                <w:sz w:val="18"/>
                <w:szCs w:val="18"/>
                <w:color w:val="auto"/>
                <w:w w:val="99"/>
              </w:rPr>
              <w:t>REPORTING PERSONS</w:t>
            </w:r>
          </w:p>
        </w:tc>
        <w:tc>
          <w:tcPr>
            <w:tcW w:w="3520" w:type="dxa"/>
            <w:vAlign w:val="bottom"/>
          </w:tcPr>
          <w:p>
            <w:pPr>
              <w:spacing w:after="0"/>
              <w:rPr>
                <w:sz w:val="17"/>
                <w:szCs w:val="17"/>
                <w:color w:val="auto"/>
              </w:rPr>
            </w:pPr>
          </w:p>
        </w:tc>
      </w:tr>
      <w:tr>
        <w:trPr>
          <w:trHeight w:val="203"/>
        </w:trPr>
        <w:tc>
          <w:tcPr>
            <w:tcW w:w="5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558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w w:val="96"/>
              </w:rPr>
              <w:t>Dimensional Fund Advisors Inc. (Tax ID: 22-2370029)</w:t>
            </w:r>
          </w:p>
        </w:tc>
      </w:tr>
      <w:tr>
        <w:trPr>
          <w:trHeight w:val="405"/>
        </w:trPr>
        <w:tc>
          <w:tcPr>
            <w:tcW w:w="540" w:type="dxa"/>
            <w:vAlign w:val="bottom"/>
          </w:tcPr>
          <w:p>
            <w:pPr>
              <w:spacing w:after="0"/>
              <w:rPr>
                <w:sz w:val="20"/>
                <w:szCs w:val="20"/>
                <w:color w:val="auto"/>
              </w:rPr>
            </w:pPr>
            <w:r>
              <w:rPr>
                <w:rFonts w:ascii="Courier New" w:cs="Courier New" w:eastAsia="Courier New" w:hAnsi="Courier New"/>
                <w:sz w:val="18"/>
                <w:szCs w:val="18"/>
                <w:color w:val="auto"/>
              </w:rPr>
              <w:t>Item</w:t>
            </w:r>
          </w:p>
        </w:tc>
        <w:tc>
          <w:tcPr>
            <w:tcW w:w="52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4:</w:t>
            </w:r>
          </w:p>
        </w:tc>
        <w:tc>
          <w:tcPr>
            <w:tcW w:w="2060" w:type="dxa"/>
            <w:vAlign w:val="bottom"/>
          </w:tcPr>
          <w:p>
            <w:pPr>
              <w:ind w:left="220"/>
              <w:spacing w:after="0"/>
              <w:rPr>
                <w:sz w:val="20"/>
                <w:szCs w:val="20"/>
                <w:color w:val="auto"/>
              </w:rPr>
            </w:pPr>
            <w:r>
              <w:rPr>
                <w:rFonts w:ascii="Courier New" w:cs="Courier New" w:eastAsia="Courier New" w:hAnsi="Courier New"/>
                <w:sz w:val="18"/>
                <w:szCs w:val="18"/>
                <w:color w:val="auto"/>
              </w:rPr>
              <w:t>CITIZENSHIP</w:t>
            </w:r>
          </w:p>
        </w:tc>
        <w:tc>
          <w:tcPr>
            <w:tcW w:w="3520" w:type="dxa"/>
            <w:vAlign w:val="bottom"/>
          </w:tcPr>
          <w:p>
            <w:pPr>
              <w:spacing w:after="0"/>
              <w:rPr>
                <w:sz w:val="24"/>
                <w:szCs w:val="24"/>
                <w:color w:val="auto"/>
              </w:rPr>
            </w:pPr>
          </w:p>
        </w:tc>
      </w:tr>
      <w:tr>
        <w:trPr>
          <w:trHeight w:val="203"/>
        </w:trPr>
        <w:tc>
          <w:tcPr>
            <w:tcW w:w="5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558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rPr>
              <w:t>Delaware Corporation</w:t>
            </w:r>
          </w:p>
        </w:tc>
      </w:tr>
      <w:tr>
        <w:trPr>
          <w:trHeight w:val="405"/>
        </w:trPr>
        <w:tc>
          <w:tcPr>
            <w:tcW w:w="540" w:type="dxa"/>
            <w:vAlign w:val="bottom"/>
          </w:tcPr>
          <w:p>
            <w:pPr>
              <w:spacing w:after="0"/>
              <w:rPr>
                <w:sz w:val="20"/>
                <w:szCs w:val="20"/>
                <w:color w:val="auto"/>
              </w:rPr>
            </w:pPr>
            <w:r>
              <w:rPr>
                <w:rFonts w:ascii="Courier New" w:cs="Courier New" w:eastAsia="Courier New" w:hAnsi="Courier New"/>
                <w:sz w:val="18"/>
                <w:szCs w:val="18"/>
                <w:color w:val="auto"/>
              </w:rPr>
              <w:t>Item</w:t>
            </w:r>
          </w:p>
        </w:tc>
        <w:tc>
          <w:tcPr>
            <w:tcW w:w="52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5:</w:t>
            </w:r>
          </w:p>
        </w:tc>
        <w:tc>
          <w:tcPr>
            <w:tcW w:w="2060" w:type="dxa"/>
            <w:vAlign w:val="bottom"/>
          </w:tcPr>
          <w:p>
            <w:pPr>
              <w:ind w:left="220"/>
              <w:spacing w:after="0"/>
              <w:rPr>
                <w:sz w:val="20"/>
                <w:szCs w:val="20"/>
                <w:color w:val="auto"/>
              </w:rPr>
            </w:pPr>
            <w:r>
              <w:rPr>
                <w:rFonts w:ascii="Courier New" w:cs="Courier New" w:eastAsia="Courier New" w:hAnsi="Courier New"/>
                <w:sz w:val="18"/>
                <w:szCs w:val="18"/>
                <w:color w:val="auto"/>
                <w:w w:val="99"/>
              </w:rPr>
              <w:t>SOLE VOTING POWER</w:t>
            </w:r>
          </w:p>
        </w:tc>
        <w:tc>
          <w:tcPr>
            <w:tcW w:w="3520" w:type="dxa"/>
            <w:vAlign w:val="bottom"/>
          </w:tcPr>
          <w:p>
            <w:pPr>
              <w:spacing w:after="0"/>
              <w:rPr>
                <w:sz w:val="24"/>
                <w:szCs w:val="24"/>
                <w:color w:val="auto"/>
              </w:rPr>
            </w:pPr>
          </w:p>
        </w:tc>
      </w:tr>
      <w:tr>
        <w:trPr>
          <w:trHeight w:val="203"/>
        </w:trPr>
        <w:tc>
          <w:tcPr>
            <w:tcW w:w="5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0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1,779,100</w:t>
            </w:r>
          </w:p>
        </w:tc>
        <w:tc>
          <w:tcPr>
            <w:tcW w:w="35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 see Note 1 **</w:t>
            </w:r>
          </w:p>
        </w:tc>
      </w:tr>
      <w:tr>
        <w:trPr>
          <w:trHeight w:val="405"/>
        </w:trPr>
        <w:tc>
          <w:tcPr>
            <w:tcW w:w="540" w:type="dxa"/>
            <w:vAlign w:val="bottom"/>
          </w:tcPr>
          <w:p>
            <w:pPr>
              <w:spacing w:after="0"/>
              <w:rPr>
                <w:sz w:val="20"/>
                <w:szCs w:val="20"/>
                <w:color w:val="auto"/>
              </w:rPr>
            </w:pPr>
            <w:r>
              <w:rPr>
                <w:rFonts w:ascii="Courier New" w:cs="Courier New" w:eastAsia="Courier New" w:hAnsi="Courier New"/>
                <w:sz w:val="18"/>
                <w:szCs w:val="18"/>
                <w:color w:val="auto"/>
              </w:rPr>
              <w:t>Item</w:t>
            </w:r>
          </w:p>
        </w:tc>
        <w:tc>
          <w:tcPr>
            <w:tcW w:w="52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6:</w:t>
            </w:r>
          </w:p>
        </w:tc>
        <w:tc>
          <w:tcPr>
            <w:tcW w:w="5580" w:type="dxa"/>
            <w:vAlign w:val="bottom"/>
            <w:gridSpan w:val="2"/>
          </w:tcPr>
          <w:p>
            <w:pPr>
              <w:ind w:left="220"/>
              <w:spacing w:after="0"/>
              <w:rPr>
                <w:sz w:val="20"/>
                <w:szCs w:val="20"/>
                <w:color w:val="auto"/>
              </w:rPr>
            </w:pPr>
            <w:r>
              <w:rPr>
                <w:rFonts w:ascii="Courier New" w:cs="Courier New" w:eastAsia="Courier New" w:hAnsi="Courier New"/>
                <w:sz w:val="18"/>
                <w:szCs w:val="18"/>
                <w:color w:val="auto"/>
              </w:rPr>
              <w:t>SHARED VOTING POWER --</w:t>
            </w:r>
          </w:p>
        </w:tc>
      </w:tr>
      <w:tr>
        <w:trPr>
          <w:trHeight w:val="203"/>
        </w:trPr>
        <w:tc>
          <w:tcPr>
            <w:tcW w:w="5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0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None</w:t>
            </w:r>
          </w:p>
        </w:tc>
        <w:tc>
          <w:tcPr>
            <w:tcW w:w="3520" w:type="dxa"/>
            <w:vAlign w:val="bottom"/>
          </w:tcPr>
          <w:p>
            <w:pPr>
              <w:spacing w:after="0"/>
              <w:rPr>
                <w:sz w:val="17"/>
                <w:szCs w:val="17"/>
                <w:color w:val="auto"/>
              </w:rPr>
            </w:pPr>
          </w:p>
        </w:tc>
      </w:tr>
      <w:tr>
        <w:trPr>
          <w:trHeight w:val="405"/>
        </w:trPr>
        <w:tc>
          <w:tcPr>
            <w:tcW w:w="540" w:type="dxa"/>
            <w:vAlign w:val="bottom"/>
          </w:tcPr>
          <w:p>
            <w:pPr>
              <w:spacing w:after="0"/>
              <w:rPr>
                <w:sz w:val="20"/>
                <w:szCs w:val="20"/>
                <w:color w:val="auto"/>
              </w:rPr>
            </w:pPr>
            <w:r>
              <w:rPr>
                <w:rFonts w:ascii="Courier New" w:cs="Courier New" w:eastAsia="Courier New" w:hAnsi="Courier New"/>
                <w:sz w:val="18"/>
                <w:szCs w:val="18"/>
                <w:color w:val="auto"/>
              </w:rPr>
              <w:t>Item</w:t>
            </w:r>
          </w:p>
        </w:tc>
        <w:tc>
          <w:tcPr>
            <w:tcW w:w="52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7:</w:t>
            </w:r>
          </w:p>
        </w:tc>
        <w:tc>
          <w:tcPr>
            <w:tcW w:w="5580" w:type="dxa"/>
            <w:vAlign w:val="bottom"/>
            <w:gridSpan w:val="2"/>
          </w:tcPr>
          <w:p>
            <w:pPr>
              <w:ind w:left="220"/>
              <w:spacing w:after="0"/>
              <w:rPr>
                <w:sz w:val="20"/>
                <w:szCs w:val="20"/>
                <w:color w:val="auto"/>
              </w:rPr>
            </w:pPr>
            <w:r>
              <w:rPr>
                <w:rFonts w:ascii="Courier New" w:cs="Courier New" w:eastAsia="Courier New" w:hAnsi="Courier New"/>
                <w:sz w:val="18"/>
                <w:szCs w:val="18"/>
                <w:color w:val="auto"/>
              </w:rPr>
              <w:t>SOLE DISPOSITIVE POWER --</w:t>
            </w:r>
          </w:p>
        </w:tc>
      </w:tr>
      <w:tr>
        <w:trPr>
          <w:trHeight w:val="203"/>
        </w:trPr>
        <w:tc>
          <w:tcPr>
            <w:tcW w:w="5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0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1,779,100</w:t>
            </w:r>
          </w:p>
        </w:tc>
        <w:tc>
          <w:tcPr>
            <w:tcW w:w="35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 see Note 1 **</w:t>
            </w:r>
          </w:p>
        </w:tc>
      </w:tr>
      <w:tr>
        <w:trPr>
          <w:trHeight w:val="405"/>
        </w:trPr>
        <w:tc>
          <w:tcPr>
            <w:tcW w:w="540" w:type="dxa"/>
            <w:vAlign w:val="bottom"/>
          </w:tcPr>
          <w:p>
            <w:pPr>
              <w:spacing w:after="0"/>
              <w:rPr>
                <w:sz w:val="20"/>
                <w:szCs w:val="20"/>
                <w:color w:val="auto"/>
              </w:rPr>
            </w:pPr>
            <w:r>
              <w:rPr>
                <w:rFonts w:ascii="Courier New" w:cs="Courier New" w:eastAsia="Courier New" w:hAnsi="Courier New"/>
                <w:sz w:val="18"/>
                <w:szCs w:val="18"/>
                <w:color w:val="auto"/>
              </w:rPr>
              <w:t>Item</w:t>
            </w:r>
          </w:p>
        </w:tc>
        <w:tc>
          <w:tcPr>
            <w:tcW w:w="52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8:</w:t>
            </w:r>
          </w:p>
        </w:tc>
        <w:tc>
          <w:tcPr>
            <w:tcW w:w="5580" w:type="dxa"/>
            <w:vAlign w:val="bottom"/>
            <w:gridSpan w:val="2"/>
          </w:tcPr>
          <w:p>
            <w:pPr>
              <w:ind w:left="220"/>
              <w:spacing w:after="0"/>
              <w:rPr>
                <w:sz w:val="20"/>
                <w:szCs w:val="20"/>
                <w:color w:val="auto"/>
              </w:rPr>
            </w:pPr>
            <w:r>
              <w:rPr>
                <w:rFonts w:ascii="Courier New" w:cs="Courier New" w:eastAsia="Courier New" w:hAnsi="Courier New"/>
                <w:sz w:val="18"/>
                <w:szCs w:val="18"/>
                <w:color w:val="auto"/>
              </w:rPr>
              <w:t>SHARED DISPOSITIVE POWER --</w:t>
            </w:r>
          </w:p>
        </w:tc>
      </w:tr>
      <w:tr>
        <w:trPr>
          <w:trHeight w:val="203"/>
        </w:trPr>
        <w:tc>
          <w:tcPr>
            <w:tcW w:w="5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0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0</w:t>
            </w:r>
          </w:p>
        </w:tc>
        <w:tc>
          <w:tcPr>
            <w:tcW w:w="3520" w:type="dxa"/>
            <w:vAlign w:val="bottom"/>
          </w:tcPr>
          <w:p>
            <w:pPr>
              <w:spacing w:after="0"/>
              <w:rPr>
                <w:sz w:val="17"/>
                <w:szCs w:val="17"/>
                <w:color w:val="auto"/>
              </w:rPr>
            </w:pPr>
          </w:p>
        </w:tc>
      </w:tr>
      <w:tr>
        <w:trPr>
          <w:trHeight w:val="405"/>
        </w:trPr>
        <w:tc>
          <w:tcPr>
            <w:tcW w:w="540" w:type="dxa"/>
            <w:vAlign w:val="bottom"/>
          </w:tcPr>
          <w:p>
            <w:pPr>
              <w:spacing w:after="0"/>
              <w:rPr>
                <w:sz w:val="20"/>
                <w:szCs w:val="20"/>
                <w:color w:val="auto"/>
              </w:rPr>
            </w:pPr>
            <w:r>
              <w:rPr>
                <w:rFonts w:ascii="Courier New" w:cs="Courier New" w:eastAsia="Courier New" w:hAnsi="Courier New"/>
                <w:sz w:val="18"/>
                <w:szCs w:val="18"/>
                <w:color w:val="auto"/>
              </w:rPr>
              <w:t>Item</w:t>
            </w:r>
          </w:p>
        </w:tc>
        <w:tc>
          <w:tcPr>
            <w:tcW w:w="52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9:</w:t>
            </w:r>
          </w:p>
        </w:tc>
        <w:tc>
          <w:tcPr>
            <w:tcW w:w="5580" w:type="dxa"/>
            <w:vAlign w:val="bottom"/>
            <w:gridSpan w:val="2"/>
          </w:tcPr>
          <w:p>
            <w:pPr>
              <w:ind w:left="220"/>
              <w:spacing w:after="0"/>
              <w:rPr>
                <w:sz w:val="20"/>
                <w:szCs w:val="20"/>
                <w:color w:val="auto"/>
              </w:rPr>
            </w:pPr>
            <w:r>
              <w:rPr>
                <w:rFonts w:ascii="Courier New" w:cs="Courier New" w:eastAsia="Courier New" w:hAnsi="Courier New"/>
                <w:sz w:val="18"/>
                <w:szCs w:val="18"/>
                <w:color w:val="auto"/>
              </w:rPr>
              <w:t>AGGREGATE AMOUNT BENEFICIALLY OWNED --</w:t>
            </w:r>
          </w:p>
        </w:tc>
      </w:tr>
      <w:tr>
        <w:trPr>
          <w:trHeight w:val="203"/>
        </w:trPr>
        <w:tc>
          <w:tcPr>
            <w:tcW w:w="5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0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1,779,100</w:t>
            </w:r>
          </w:p>
        </w:tc>
        <w:tc>
          <w:tcPr>
            <w:tcW w:w="35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 see Note 1 **</w:t>
            </w:r>
          </w:p>
        </w:tc>
      </w:tr>
      <w:tr>
        <w:trPr>
          <w:trHeight w:val="405"/>
        </w:trPr>
        <w:tc>
          <w:tcPr>
            <w:tcW w:w="1060" w:type="dxa"/>
            <w:vAlign w:val="bottom"/>
            <w:gridSpan w:val="2"/>
          </w:tcPr>
          <w:p>
            <w:pPr>
              <w:spacing w:after="0"/>
              <w:rPr>
                <w:sz w:val="20"/>
                <w:szCs w:val="20"/>
                <w:color w:val="auto"/>
              </w:rPr>
            </w:pPr>
            <w:r>
              <w:rPr>
                <w:rFonts w:ascii="Courier New" w:cs="Courier New" w:eastAsia="Courier New" w:hAnsi="Courier New"/>
                <w:sz w:val="18"/>
                <w:szCs w:val="18"/>
                <w:color w:val="auto"/>
              </w:rPr>
              <w:t>Item 11:</w:t>
            </w:r>
          </w:p>
        </w:tc>
        <w:tc>
          <w:tcPr>
            <w:tcW w:w="5580" w:type="dxa"/>
            <w:vAlign w:val="bottom"/>
            <w:gridSpan w:val="2"/>
          </w:tcPr>
          <w:p>
            <w:pPr>
              <w:ind w:left="220"/>
              <w:spacing w:after="0"/>
              <w:rPr>
                <w:sz w:val="20"/>
                <w:szCs w:val="20"/>
                <w:color w:val="auto"/>
              </w:rPr>
            </w:pPr>
            <w:r>
              <w:rPr>
                <w:rFonts w:ascii="Courier New" w:cs="Courier New" w:eastAsia="Courier New" w:hAnsi="Courier New"/>
                <w:sz w:val="18"/>
                <w:szCs w:val="18"/>
                <w:color w:val="auto"/>
              </w:rPr>
              <w:t>PERCENT OF CLASS REPRESENTED BY LINE 9 --</w:t>
            </w:r>
          </w:p>
        </w:tc>
      </w:tr>
      <w:tr>
        <w:trPr>
          <w:trHeight w:val="203"/>
        </w:trPr>
        <w:tc>
          <w:tcPr>
            <w:tcW w:w="5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0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6.50</w:t>
            </w:r>
          </w:p>
        </w:tc>
        <w:tc>
          <w:tcPr>
            <w:tcW w:w="3520" w:type="dxa"/>
            <w:vAlign w:val="bottom"/>
          </w:tcPr>
          <w:p>
            <w:pPr>
              <w:spacing w:after="0"/>
              <w:rPr>
                <w:sz w:val="17"/>
                <w:szCs w:val="17"/>
                <w:color w:val="auto"/>
              </w:rPr>
            </w:pPr>
          </w:p>
        </w:tc>
      </w:tr>
      <w:tr>
        <w:trPr>
          <w:trHeight w:val="405"/>
        </w:trPr>
        <w:tc>
          <w:tcPr>
            <w:tcW w:w="1060" w:type="dxa"/>
            <w:vAlign w:val="bottom"/>
            <w:gridSpan w:val="2"/>
          </w:tcPr>
          <w:p>
            <w:pPr>
              <w:spacing w:after="0"/>
              <w:rPr>
                <w:sz w:val="20"/>
                <w:szCs w:val="20"/>
                <w:color w:val="auto"/>
              </w:rPr>
            </w:pPr>
            <w:r>
              <w:rPr>
                <w:rFonts w:ascii="Courier New" w:cs="Courier New" w:eastAsia="Courier New" w:hAnsi="Courier New"/>
                <w:sz w:val="18"/>
                <w:szCs w:val="18"/>
                <w:color w:val="auto"/>
              </w:rPr>
              <w:t>Item 12:</w:t>
            </w:r>
          </w:p>
        </w:tc>
        <w:tc>
          <w:tcPr>
            <w:tcW w:w="5580" w:type="dxa"/>
            <w:vAlign w:val="bottom"/>
            <w:gridSpan w:val="2"/>
          </w:tcPr>
          <w:p>
            <w:pPr>
              <w:ind w:left="220"/>
              <w:spacing w:after="0"/>
              <w:rPr>
                <w:sz w:val="20"/>
                <w:szCs w:val="20"/>
                <w:color w:val="auto"/>
              </w:rPr>
            </w:pPr>
            <w:r>
              <w:rPr>
                <w:rFonts w:ascii="Courier New" w:cs="Courier New" w:eastAsia="Courier New" w:hAnsi="Courier New"/>
                <w:sz w:val="18"/>
                <w:szCs w:val="18"/>
                <w:color w:val="auto"/>
              </w:rPr>
              <w:t>TYPE OF REPORTING PERSON --</w:t>
            </w:r>
          </w:p>
        </w:tc>
      </w:tr>
      <w:tr>
        <w:trPr>
          <w:trHeight w:val="203"/>
        </w:trPr>
        <w:tc>
          <w:tcPr>
            <w:tcW w:w="5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0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IA</w:t>
            </w:r>
          </w:p>
        </w:tc>
        <w:tc>
          <w:tcPr>
            <w:tcW w:w="3520" w:type="dxa"/>
            <w:vAlign w:val="bottom"/>
          </w:tcPr>
          <w:p>
            <w:pPr>
              <w:spacing w:after="0"/>
              <w:rPr>
                <w:sz w:val="17"/>
                <w:szCs w:val="17"/>
                <w:color w:val="auto"/>
              </w:rPr>
            </w:pPr>
          </w:p>
        </w:tc>
      </w:tr>
    </w:tbl>
    <w:p>
      <w:pPr>
        <w:spacing w:after="0" w:line="207" w:lineRule="exact"/>
        <w:rPr>
          <w:sz w:val="24"/>
          <w:szCs w:val="24"/>
          <w:color w:val="auto"/>
        </w:rPr>
      </w:pPr>
    </w:p>
    <w:p>
      <w:pPr>
        <w:ind w:left="220" w:hanging="212"/>
        <w:spacing w:after="0"/>
        <w:tabs>
          <w:tab w:leader="none" w:pos="22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54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Page 3 of 4</w:t>
      </w:r>
    </w:p>
    <w:p>
      <w:pPr>
        <w:spacing w:after="0" w:line="202" w:lineRule="exact"/>
        <w:rPr>
          <w:sz w:val="24"/>
          <w:szCs w:val="24"/>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1(A).</w:t>
      </w:r>
      <w:r>
        <w:rPr>
          <w:sz w:val="20"/>
          <w:szCs w:val="20"/>
          <w:color w:val="auto"/>
        </w:rPr>
        <w:tab/>
      </w:r>
      <w:r>
        <w:rPr>
          <w:rFonts w:ascii="Courier New" w:cs="Courier New" w:eastAsia="Courier New" w:hAnsi="Courier New"/>
          <w:sz w:val="16"/>
          <w:szCs w:val="16"/>
          <w:color w:val="auto"/>
        </w:rPr>
        <w:t>NAME OF ISSUER</w:t>
      </w:r>
    </w:p>
    <w:p>
      <w:pPr>
        <w:spacing w:after="0" w:line="201" w:lineRule="exact"/>
        <w:rPr>
          <w:sz w:val="24"/>
          <w:szCs w:val="24"/>
          <w:color w:val="auto"/>
        </w:rPr>
      </w:pPr>
    </w:p>
    <w:p>
      <w:pPr>
        <w:ind w:left="1280"/>
        <w:spacing w:after="0"/>
        <w:rPr>
          <w:sz w:val="20"/>
          <w:szCs w:val="20"/>
          <w:color w:val="auto"/>
        </w:rPr>
      </w:pPr>
      <w:r>
        <w:rPr>
          <w:rFonts w:ascii="Courier New" w:cs="Courier New" w:eastAsia="Courier New" w:hAnsi="Courier New"/>
          <w:sz w:val="18"/>
          <w:szCs w:val="18"/>
          <w:color w:val="auto"/>
        </w:rPr>
        <w:t>REGENERON PHARMACEUT</w:t>
      </w:r>
    </w:p>
    <w:p>
      <w:pPr>
        <w:spacing w:after="0" w:line="201" w:lineRule="exact"/>
        <w:rPr>
          <w:sz w:val="24"/>
          <w:szCs w:val="24"/>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1(B).</w:t>
      </w:r>
      <w:r>
        <w:rPr>
          <w:sz w:val="20"/>
          <w:szCs w:val="20"/>
          <w:color w:val="auto"/>
        </w:rPr>
        <w:tab/>
      </w:r>
      <w:r>
        <w:rPr>
          <w:rFonts w:ascii="Courier New" w:cs="Courier New" w:eastAsia="Courier New" w:hAnsi="Courier New"/>
          <w:sz w:val="16"/>
          <w:szCs w:val="16"/>
          <w:color w:val="auto"/>
        </w:rPr>
        <w:t>ADDRESS OF ISSUER</w:t>
      </w:r>
    </w:p>
    <w:p>
      <w:pPr>
        <w:spacing w:after="0" w:line="201" w:lineRule="exact"/>
        <w:rPr>
          <w:sz w:val="24"/>
          <w:szCs w:val="24"/>
          <w:color w:val="auto"/>
        </w:rPr>
      </w:pPr>
    </w:p>
    <w:p>
      <w:pPr>
        <w:ind w:left="1280"/>
        <w:spacing w:after="0"/>
        <w:rPr>
          <w:sz w:val="20"/>
          <w:szCs w:val="20"/>
          <w:color w:val="auto"/>
        </w:rPr>
      </w:pPr>
      <w:r>
        <w:rPr>
          <w:rFonts w:ascii="Courier New" w:cs="Courier New" w:eastAsia="Courier New" w:hAnsi="Courier New"/>
          <w:sz w:val="18"/>
          <w:szCs w:val="18"/>
          <w:color w:val="auto"/>
        </w:rPr>
        <w:t>777 Old Saw Mill River Road</w:t>
      </w:r>
    </w:p>
    <w:p>
      <w:pPr>
        <w:ind w:left="1280"/>
        <w:spacing w:after="0"/>
        <w:tabs>
          <w:tab w:leader="none" w:pos="2840" w:val="left"/>
        </w:tabs>
        <w:rPr>
          <w:sz w:val="20"/>
          <w:szCs w:val="20"/>
          <w:color w:val="auto"/>
        </w:rPr>
      </w:pPr>
      <w:r>
        <w:rPr>
          <w:rFonts w:ascii="Courier New" w:cs="Courier New" w:eastAsia="Courier New" w:hAnsi="Courier New"/>
          <w:sz w:val="18"/>
          <w:szCs w:val="18"/>
          <w:color w:val="auto"/>
        </w:rPr>
        <w:t>Tarrytown, NY</w:t>
      </w:r>
      <w:r>
        <w:rPr>
          <w:sz w:val="20"/>
          <w:szCs w:val="20"/>
          <w:color w:val="auto"/>
        </w:rPr>
        <w:tab/>
      </w:r>
      <w:r>
        <w:rPr>
          <w:rFonts w:ascii="Courier New" w:cs="Courier New" w:eastAsia="Courier New" w:hAnsi="Courier New"/>
          <w:sz w:val="16"/>
          <w:szCs w:val="16"/>
          <w:color w:val="auto"/>
        </w:rPr>
        <w:t>10591</w:t>
      </w:r>
    </w:p>
    <w:p>
      <w:pPr>
        <w:ind w:left="1280"/>
        <w:spacing w:after="0"/>
        <w:tabs>
          <w:tab w:leader="none" w:pos="2840" w:val="left"/>
        </w:tabs>
        <w:rPr>
          <w:sz w:val="20"/>
          <w:szCs w:val="20"/>
          <w:color w:val="auto"/>
        </w:rPr>
      </w:pPr>
      <w:r>
        <w:rPr>
          <w:rFonts w:ascii="Courier New" w:cs="Courier New" w:eastAsia="Courier New" w:hAnsi="Courier New"/>
          <w:sz w:val="18"/>
          <w:szCs w:val="18"/>
          <w:color w:val="auto"/>
        </w:rPr>
        <w:t>Tarrytown, NY</w:t>
      </w:r>
      <w:r>
        <w:rPr>
          <w:sz w:val="20"/>
          <w:szCs w:val="20"/>
          <w:color w:val="auto"/>
        </w:rPr>
        <w:tab/>
      </w:r>
      <w:r>
        <w:rPr>
          <w:rFonts w:ascii="Courier New" w:cs="Courier New" w:eastAsia="Courier New" w:hAnsi="Courier New"/>
          <w:sz w:val="16"/>
          <w:szCs w:val="16"/>
          <w:color w:val="auto"/>
        </w:rPr>
        <w:t>10591</w:t>
      </w:r>
    </w:p>
    <w:p>
      <w:pPr>
        <w:spacing w:after="0" w:line="200" w:lineRule="exact"/>
        <w:rPr>
          <w:sz w:val="24"/>
          <w:szCs w:val="24"/>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2(A).</w:t>
      </w:r>
      <w:r>
        <w:rPr>
          <w:sz w:val="20"/>
          <w:szCs w:val="20"/>
          <w:color w:val="auto"/>
        </w:rPr>
        <w:tab/>
      </w:r>
      <w:r>
        <w:rPr>
          <w:rFonts w:ascii="Courier New" w:cs="Courier New" w:eastAsia="Courier New" w:hAnsi="Courier New"/>
          <w:sz w:val="16"/>
          <w:szCs w:val="16"/>
          <w:color w:val="auto"/>
        </w:rPr>
        <w:t>NAME OF PERSON FILING</w:t>
      </w:r>
    </w:p>
    <w:p>
      <w:pPr>
        <w:spacing w:after="0" w:line="201" w:lineRule="exact"/>
        <w:rPr>
          <w:sz w:val="24"/>
          <w:szCs w:val="24"/>
          <w:color w:val="auto"/>
        </w:rPr>
      </w:pPr>
    </w:p>
    <w:p>
      <w:pPr>
        <w:jc w:val="center"/>
        <w:ind w:right="5039"/>
        <w:spacing w:after="0"/>
        <w:rPr>
          <w:sz w:val="20"/>
          <w:szCs w:val="20"/>
          <w:color w:val="auto"/>
        </w:rPr>
      </w:pPr>
      <w:r>
        <w:rPr>
          <w:rFonts w:ascii="Courier New" w:cs="Courier New" w:eastAsia="Courier New" w:hAnsi="Courier New"/>
          <w:sz w:val="18"/>
          <w:szCs w:val="18"/>
          <w:color w:val="auto"/>
        </w:rPr>
        <w:t>Dimensional Fund Advisors</w:t>
      </w:r>
    </w:p>
    <w:p>
      <w:pPr>
        <w:spacing w:after="0" w:line="201" w:lineRule="exact"/>
        <w:rPr>
          <w:sz w:val="24"/>
          <w:szCs w:val="24"/>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2(B).</w:t>
      </w:r>
      <w:r>
        <w:rPr>
          <w:sz w:val="20"/>
          <w:szCs w:val="20"/>
          <w:color w:val="auto"/>
        </w:rPr>
        <w:tab/>
      </w:r>
      <w:r>
        <w:rPr>
          <w:rFonts w:ascii="Courier New" w:cs="Courier New" w:eastAsia="Courier New" w:hAnsi="Courier New"/>
          <w:sz w:val="16"/>
          <w:szCs w:val="16"/>
          <w:color w:val="auto"/>
        </w:rPr>
        <w:t>ADDRESS OF PRINCIPAL BUSINESS OFFICE</w:t>
      </w:r>
    </w:p>
    <w:p>
      <w:pPr>
        <w:spacing w:after="0" w:line="201" w:lineRule="exact"/>
        <w:rPr>
          <w:sz w:val="24"/>
          <w:szCs w:val="24"/>
          <w:color w:val="auto"/>
        </w:rPr>
      </w:pPr>
    </w:p>
    <w:p>
      <w:pPr>
        <w:ind w:left="1280"/>
        <w:spacing w:after="0"/>
        <w:tabs>
          <w:tab w:leader="none" w:pos="6420" w:val="left"/>
        </w:tabs>
        <w:rPr>
          <w:sz w:val="20"/>
          <w:szCs w:val="20"/>
          <w:color w:val="auto"/>
        </w:rPr>
      </w:pPr>
      <w:r>
        <w:rPr>
          <w:rFonts w:ascii="Courier New" w:cs="Courier New" w:eastAsia="Courier New" w:hAnsi="Courier New"/>
          <w:sz w:val="18"/>
          <w:szCs w:val="18"/>
          <w:color w:val="auto"/>
        </w:rPr>
        <w:t>1299 Ocean Avenue, 11th Floor, Santa Monica, CA</w:t>
      </w:r>
      <w:r>
        <w:rPr>
          <w:sz w:val="20"/>
          <w:szCs w:val="20"/>
          <w:color w:val="auto"/>
        </w:rPr>
        <w:tab/>
      </w:r>
      <w:r>
        <w:rPr>
          <w:rFonts w:ascii="Courier New" w:cs="Courier New" w:eastAsia="Courier New" w:hAnsi="Courier New"/>
          <w:sz w:val="16"/>
          <w:szCs w:val="16"/>
          <w:color w:val="auto"/>
        </w:rPr>
        <w:t>90401</w:t>
      </w:r>
    </w:p>
    <w:p>
      <w:pPr>
        <w:spacing w:after="0" w:line="201" w:lineRule="exact"/>
        <w:rPr>
          <w:sz w:val="24"/>
          <w:szCs w:val="24"/>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2(C).</w:t>
      </w:r>
      <w:r>
        <w:rPr>
          <w:sz w:val="20"/>
          <w:szCs w:val="20"/>
          <w:color w:val="auto"/>
        </w:rPr>
        <w:tab/>
      </w:r>
      <w:r>
        <w:rPr>
          <w:rFonts w:ascii="Courier New" w:cs="Courier New" w:eastAsia="Courier New" w:hAnsi="Courier New"/>
          <w:sz w:val="16"/>
          <w:szCs w:val="16"/>
          <w:color w:val="auto"/>
        </w:rPr>
        <w:t>CITIZENSHIP</w:t>
      </w:r>
    </w:p>
    <w:p>
      <w:pPr>
        <w:spacing w:after="0" w:line="201" w:lineRule="exact"/>
        <w:rPr>
          <w:sz w:val="24"/>
          <w:szCs w:val="24"/>
          <w:color w:val="auto"/>
        </w:rPr>
      </w:pPr>
    </w:p>
    <w:p>
      <w:pPr>
        <w:ind w:left="1280"/>
        <w:spacing w:after="0"/>
        <w:rPr>
          <w:sz w:val="20"/>
          <w:szCs w:val="20"/>
          <w:color w:val="auto"/>
        </w:rPr>
      </w:pPr>
      <w:r>
        <w:rPr>
          <w:rFonts w:ascii="Courier New" w:cs="Courier New" w:eastAsia="Courier New" w:hAnsi="Courier New"/>
          <w:sz w:val="18"/>
          <w:szCs w:val="18"/>
          <w:color w:val="auto"/>
        </w:rPr>
        <w:t>A Delaware Corporation</w:t>
      </w:r>
    </w:p>
    <w:p>
      <w:pPr>
        <w:spacing w:after="0" w:line="201" w:lineRule="exact"/>
        <w:rPr>
          <w:sz w:val="24"/>
          <w:szCs w:val="24"/>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2(D).</w:t>
      </w:r>
      <w:r>
        <w:rPr>
          <w:sz w:val="20"/>
          <w:szCs w:val="20"/>
          <w:color w:val="auto"/>
        </w:rPr>
        <w:tab/>
      </w:r>
      <w:r>
        <w:rPr>
          <w:rFonts w:ascii="Courier New" w:cs="Courier New" w:eastAsia="Courier New" w:hAnsi="Courier New"/>
          <w:sz w:val="16"/>
          <w:szCs w:val="16"/>
          <w:color w:val="auto"/>
        </w:rPr>
        <w:t>TITLE OF CLASS OF SECURITIES</w:t>
      </w:r>
    </w:p>
    <w:p>
      <w:pPr>
        <w:spacing w:after="0" w:line="201" w:lineRule="exact"/>
        <w:rPr>
          <w:sz w:val="24"/>
          <w:szCs w:val="24"/>
          <w:color w:val="auto"/>
        </w:rPr>
      </w:pPr>
    </w:p>
    <w:p>
      <w:pPr>
        <w:ind w:left="1280"/>
        <w:spacing w:after="0"/>
        <w:rPr>
          <w:sz w:val="20"/>
          <w:szCs w:val="20"/>
          <w:color w:val="auto"/>
        </w:rPr>
      </w:pPr>
      <w:r>
        <w:rPr>
          <w:rFonts w:ascii="Courier New" w:cs="Courier New" w:eastAsia="Courier New" w:hAnsi="Courier New"/>
          <w:sz w:val="18"/>
          <w:szCs w:val="18"/>
          <w:color w:val="auto"/>
        </w:rPr>
        <w:t>Common Stock</w:t>
      </w:r>
    </w:p>
    <w:p>
      <w:pPr>
        <w:spacing w:after="0" w:line="201" w:lineRule="exact"/>
        <w:rPr>
          <w:sz w:val="24"/>
          <w:szCs w:val="24"/>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2(E).</w:t>
      </w:r>
      <w:r>
        <w:rPr>
          <w:sz w:val="20"/>
          <w:szCs w:val="20"/>
          <w:color w:val="auto"/>
        </w:rPr>
        <w:tab/>
      </w:r>
      <w:r>
        <w:rPr>
          <w:rFonts w:ascii="Courier New" w:cs="Courier New" w:eastAsia="Courier New" w:hAnsi="Courier New"/>
          <w:sz w:val="16"/>
          <w:szCs w:val="16"/>
          <w:color w:val="auto"/>
        </w:rPr>
        <w:t>CUSIP NUMBER</w:t>
      </w:r>
    </w:p>
    <w:p>
      <w:pPr>
        <w:spacing w:after="0" w:line="201" w:lineRule="exact"/>
        <w:rPr>
          <w:sz w:val="24"/>
          <w:szCs w:val="24"/>
          <w:color w:val="auto"/>
        </w:rPr>
      </w:pPr>
    </w:p>
    <w:p>
      <w:pPr>
        <w:ind w:left="1280"/>
        <w:spacing w:after="0"/>
        <w:rPr>
          <w:sz w:val="20"/>
          <w:szCs w:val="20"/>
          <w:color w:val="auto"/>
        </w:rPr>
      </w:pPr>
      <w:r>
        <w:rPr>
          <w:rFonts w:ascii="Courier New" w:cs="Courier New" w:eastAsia="Courier New" w:hAnsi="Courier New"/>
          <w:sz w:val="18"/>
          <w:szCs w:val="18"/>
          <w:color w:val="auto"/>
        </w:rPr>
        <w:t>75886F107</w:t>
      </w:r>
    </w:p>
    <w:p>
      <w:pPr>
        <w:spacing w:after="0" w:line="207" w:lineRule="exact"/>
        <w:rPr>
          <w:sz w:val="24"/>
          <w:szCs w:val="24"/>
          <w:color w:val="auto"/>
        </w:rPr>
      </w:pPr>
    </w:p>
    <w:p>
      <w:pPr>
        <w:ind w:left="1280" w:right="3039" w:hanging="1263"/>
        <w:spacing w:after="0" w:line="237" w:lineRule="auto"/>
        <w:tabs>
          <w:tab w:leader="none" w:pos="1260" w:val="left"/>
        </w:tabs>
        <w:rPr>
          <w:sz w:val="20"/>
          <w:szCs w:val="20"/>
          <w:color w:val="auto"/>
        </w:rPr>
      </w:pPr>
      <w:r>
        <w:rPr>
          <w:rFonts w:ascii="Courier New" w:cs="Courier New" w:eastAsia="Courier New" w:hAnsi="Courier New"/>
          <w:sz w:val="18"/>
          <w:szCs w:val="18"/>
          <w:color w:val="auto"/>
        </w:rPr>
        <w:t>ITEM 3.</w:t>
      </w:r>
      <w:r>
        <w:rPr>
          <w:sz w:val="20"/>
          <w:szCs w:val="20"/>
          <w:color w:val="auto"/>
        </w:rPr>
        <w:tab/>
      </w:r>
      <w:r>
        <w:rPr>
          <w:rFonts w:ascii="Courier New" w:cs="Courier New" w:eastAsia="Courier New" w:hAnsi="Courier New"/>
          <w:sz w:val="18"/>
          <w:szCs w:val="18"/>
          <w:color w:val="auto"/>
        </w:rPr>
        <w:t>This statement is filed pursuant to Rule 13d-1 (b), or 13d-2 (b) and the person filing is an investment advisor registered under section 203 of the Investment Advisors Act of 1940.</w:t>
      </w:r>
    </w:p>
    <w:p>
      <w:pPr>
        <w:sectPr>
          <w:pgSz w:w="11900" w:h="16838" w:orient="portrait"/>
          <w:cols w:equalWidth="0" w:num="1">
            <w:col w:w="10219"/>
          </w:cols>
          <w:pgMar w:left="240" w:top="447" w:right="1440" w:bottom="0" w:gutter="0" w:footer="0" w:header="0"/>
        </w:sectPr>
      </w:pPr>
    </w:p>
    <w:bookmarkStart w:id="1" w:name="page2"/>
    <w:bookmarkEnd w:id="1"/>
    <w:p>
      <w:pPr>
        <w:ind w:left="220" w:hanging="212"/>
        <w:spacing w:after="0"/>
        <w:tabs>
          <w:tab w:leader="none" w:pos="2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51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Page 4 of 4</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220" w:type="dxa"/>
            <w:vAlign w:val="bottom"/>
          </w:tcPr>
          <w:p>
            <w:pPr>
              <w:jc w:val="right"/>
              <w:ind w:right="392"/>
              <w:spacing w:after="0"/>
              <w:rPr>
                <w:sz w:val="20"/>
                <w:szCs w:val="20"/>
                <w:color w:val="auto"/>
              </w:rPr>
            </w:pPr>
            <w:r>
              <w:rPr>
                <w:rFonts w:ascii="Courier New" w:cs="Courier New" w:eastAsia="Courier New" w:hAnsi="Courier New"/>
                <w:sz w:val="18"/>
                <w:szCs w:val="18"/>
                <w:color w:val="auto"/>
                <w:w w:val="95"/>
              </w:rPr>
              <w:t>ITEM 4.</w:t>
            </w:r>
          </w:p>
        </w:tc>
        <w:tc>
          <w:tcPr>
            <w:tcW w:w="2000" w:type="dxa"/>
            <w:vAlign w:val="bottom"/>
          </w:tcPr>
          <w:p>
            <w:pPr>
              <w:ind w:left="60"/>
              <w:spacing w:after="0"/>
              <w:rPr>
                <w:sz w:val="20"/>
                <w:szCs w:val="20"/>
                <w:color w:val="auto"/>
              </w:rPr>
            </w:pPr>
            <w:r>
              <w:rPr>
                <w:rFonts w:ascii="Courier New" w:cs="Courier New" w:eastAsia="Courier New" w:hAnsi="Courier New"/>
                <w:sz w:val="18"/>
                <w:szCs w:val="18"/>
                <w:color w:val="auto"/>
              </w:rPr>
              <w:t>OWNERSHIP</w:t>
            </w:r>
          </w:p>
        </w:tc>
        <w:tc>
          <w:tcPr>
            <w:tcW w:w="3740" w:type="dxa"/>
            <w:vAlign w:val="bottom"/>
          </w:tcPr>
          <w:p>
            <w:pPr>
              <w:spacing w:after="0"/>
              <w:rPr>
                <w:sz w:val="17"/>
                <w:szCs w:val="17"/>
                <w:color w:val="auto"/>
              </w:rPr>
            </w:pPr>
          </w:p>
        </w:tc>
      </w:tr>
      <w:tr>
        <w:trPr>
          <w:trHeight w:val="203"/>
        </w:trPr>
        <w:tc>
          <w:tcPr>
            <w:tcW w:w="12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6"/>
              </w:rPr>
              <w:t>ITEM 4(a).</w:t>
            </w:r>
          </w:p>
        </w:tc>
        <w:tc>
          <w:tcPr>
            <w:tcW w:w="574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AMOUNT BENEFICIALLY OWNED</w:t>
            </w:r>
          </w:p>
        </w:tc>
      </w:tr>
      <w:tr>
        <w:trPr>
          <w:trHeight w:val="203"/>
        </w:trPr>
        <w:tc>
          <w:tcPr>
            <w:tcW w:w="1220" w:type="dxa"/>
            <w:vAlign w:val="bottom"/>
          </w:tcPr>
          <w:p>
            <w:pPr>
              <w:spacing w:after="0"/>
              <w:rPr>
                <w:sz w:val="17"/>
                <w:szCs w:val="17"/>
                <w:color w:val="auto"/>
              </w:rPr>
            </w:pPr>
          </w:p>
        </w:tc>
        <w:tc>
          <w:tcPr>
            <w:tcW w:w="20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1,779,100</w:t>
            </w:r>
          </w:p>
        </w:tc>
        <w:tc>
          <w:tcPr>
            <w:tcW w:w="374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 see Note 1 **</w:t>
            </w:r>
          </w:p>
        </w:tc>
      </w:tr>
      <w:tr>
        <w:trPr>
          <w:trHeight w:val="203"/>
        </w:trPr>
        <w:tc>
          <w:tcPr>
            <w:tcW w:w="12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6"/>
              </w:rPr>
              <w:t>ITEM 4(b).</w:t>
            </w:r>
          </w:p>
        </w:tc>
        <w:tc>
          <w:tcPr>
            <w:tcW w:w="20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PERCENT OF CLASS</w:t>
            </w:r>
          </w:p>
        </w:tc>
        <w:tc>
          <w:tcPr>
            <w:tcW w:w="3740" w:type="dxa"/>
            <w:vAlign w:val="bottom"/>
          </w:tcPr>
          <w:p>
            <w:pPr>
              <w:spacing w:after="0"/>
              <w:rPr>
                <w:sz w:val="17"/>
                <w:szCs w:val="17"/>
                <w:color w:val="auto"/>
              </w:rPr>
            </w:pPr>
          </w:p>
        </w:tc>
      </w:tr>
      <w:tr>
        <w:trPr>
          <w:trHeight w:val="203"/>
        </w:trPr>
        <w:tc>
          <w:tcPr>
            <w:tcW w:w="1220" w:type="dxa"/>
            <w:vAlign w:val="bottom"/>
          </w:tcPr>
          <w:p>
            <w:pPr>
              <w:spacing w:after="0"/>
              <w:rPr>
                <w:sz w:val="17"/>
                <w:szCs w:val="17"/>
                <w:color w:val="auto"/>
              </w:rPr>
            </w:pPr>
          </w:p>
        </w:tc>
        <w:tc>
          <w:tcPr>
            <w:tcW w:w="20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6.50</w:t>
            </w:r>
          </w:p>
        </w:tc>
        <w:tc>
          <w:tcPr>
            <w:tcW w:w="3740" w:type="dxa"/>
            <w:vAlign w:val="bottom"/>
          </w:tcPr>
          <w:p>
            <w:pPr>
              <w:spacing w:after="0"/>
              <w:rPr>
                <w:sz w:val="17"/>
                <w:szCs w:val="17"/>
                <w:color w:val="auto"/>
              </w:rPr>
            </w:pPr>
          </w:p>
        </w:tc>
      </w:tr>
      <w:tr>
        <w:trPr>
          <w:trHeight w:val="203"/>
        </w:trPr>
        <w:tc>
          <w:tcPr>
            <w:tcW w:w="12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6"/>
              </w:rPr>
              <w:t>ITEM 4(c).</w:t>
            </w:r>
          </w:p>
        </w:tc>
        <w:tc>
          <w:tcPr>
            <w:tcW w:w="574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NUMBER OF SHARE AS TO WHICH SUCH PERSON HAS:</w:t>
            </w:r>
          </w:p>
        </w:tc>
      </w:tr>
      <w:tr>
        <w:trPr>
          <w:trHeight w:val="203"/>
        </w:trPr>
        <w:tc>
          <w:tcPr>
            <w:tcW w:w="12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(i).</w:t>
            </w:r>
          </w:p>
        </w:tc>
        <w:tc>
          <w:tcPr>
            <w:tcW w:w="574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SOLE POWER TO VOTE OR DIRECT THE VOTE --</w:t>
            </w:r>
          </w:p>
        </w:tc>
      </w:tr>
      <w:tr>
        <w:trPr>
          <w:trHeight w:val="203"/>
        </w:trPr>
        <w:tc>
          <w:tcPr>
            <w:tcW w:w="1220" w:type="dxa"/>
            <w:vAlign w:val="bottom"/>
          </w:tcPr>
          <w:p>
            <w:pPr>
              <w:spacing w:after="0"/>
              <w:rPr>
                <w:sz w:val="17"/>
                <w:szCs w:val="17"/>
                <w:color w:val="auto"/>
              </w:rPr>
            </w:pPr>
          </w:p>
        </w:tc>
        <w:tc>
          <w:tcPr>
            <w:tcW w:w="20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1,779,100</w:t>
            </w:r>
          </w:p>
        </w:tc>
        <w:tc>
          <w:tcPr>
            <w:tcW w:w="374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 see Note 1 **</w:t>
            </w:r>
          </w:p>
        </w:tc>
      </w:tr>
      <w:tr>
        <w:trPr>
          <w:trHeight w:val="203"/>
        </w:trPr>
        <w:tc>
          <w:tcPr>
            <w:tcW w:w="12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(ii).</w:t>
            </w:r>
          </w:p>
        </w:tc>
        <w:tc>
          <w:tcPr>
            <w:tcW w:w="574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SHARED POWER TO VOTE OR TO DIRECT THE VOTE --</w:t>
            </w:r>
          </w:p>
        </w:tc>
      </w:tr>
      <w:tr>
        <w:trPr>
          <w:trHeight w:val="203"/>
        </w:trPr>
        <w:tc>
          <w:tcPr>
            <w:tcW w:w="1220" w:type="dxa"/>
            <w:vAlign w:val="bottom"/>
          </w:tcPr>
          <w:p>
            <w:pPr>
              <w:spacing w:after="0"/>
              <w:rPr>
                <w:sz w:val="17"/>
                <w:szCs w:val="17"/>
                <w:color w:val="auto"/>
              </w:rPr>
            </w:pPr>
          </w:p>
        </w:tc>
        <w:tc>
          <w:tcPr>
            <w:tcW w:w="20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None</w:t>
            </w:r>
          </w:p>
        </w:tc>
        <w:tc>
          <w:tcPr>
            <w:tcW w:w="3740" w:type="dxa"/>
            <w:vAlign w:val="bottom"/>
          </w:tcPr>
          <w:p>
            <w:pPr>
              <w:spacing w:after="0"/>
              <w:rPr>
                <w:sz w:val="17"/>
                <w:szCs w:val="17"/>
                <w:color w:val="auto"/>
              </w:rPr>
            </w:pPr>
          </w:p>
        </w:tc>
      </w:tr>
      <w:tr>
        <w:trPr>
          <w:trHeight w:val="203"/>
        </w:trPr>
        <w:tc>
          <w:tcPr>
            <w:tcW w:w="12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(iii).</w:t>
            </w:r>
          </w:p>
        </w:tc>
        <w:tc>
          <w:tcPr>
            <w:tcW w:w="574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SOLE POWER TO DISPOSE OR TO DIRECT DISPOSITION OF --</w:t>
            </w:r>
          </w:p>
        </w:tc>
      </w:tr>
      <w:tr>
        <w:trPr>
          <w:trHeight w:val="203"/>
        </w:trPr>
        <w:tc>
          <w:tcPr>
            <w:tcW w:w="1220" w:type="dxa"/>
            <w:vAlign w:val="bottom"/>
          </w:tcPr>
          <w:p>
            <w:pPr>
              <w:spacing w:after="0"/>
              <w:rPr>
                <w:sz w:val="17"/>
                <w:szCs w:val="17"/>
                <w:color w:val="auto"/>
              </w:rPr>
            </w:pPr>
          </w:p>
        </w:tc>
        <w:tc>
          <w:tcPr>
            <w:tcW w:w="20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1,779,100</w:t>
            </w:r>
          </w:p>
        </w:tc>
        <w:tc>
          <w:tcPr>
            <w:tcW w:w="374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 see Note 1 **</w:t>
            </w:r>
          </w:p>
        </w:tc>
      </w:tr>
      <w:tr>
        <w:trPr>
          <w:trHeight w:val="203"/>
        </w:trPr>
        <w:tc>
          <w:tcPr>
            <w:tcW w:w="12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(iv).</w:t>
            </w:r>
          </w:p>
        </w:tc>
        <w:tc>
          <w:tcPr>
            <w:tcW w:w="574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w w:val="97"/>
              </w:rPr>
              <w:t>SHARE POWER TO DISPOSE OR TO DIRECT DISPOSISTION OF --</w:t>
            </w:r>
          </w:p>
        </w:tc>
      </w:tr>
      <w:tr>
        <w:trPr>
          <w:trHeight w:val="203"/>
        </w:trPr>
        <w:tc>
          <w:tcPr>
            <w:tcW w:w="1220" w:type="dxa"/>
            <w:vAlign w:val="bottom"/>
          </w:tcPr>
          <w:p>
            <w:pPr>
              <w:spacing w:after="0"/>
              <w:rPr>
                <w:sz w:val="17"/>
                <w:szCs w:val="17"/>
                <w:color w:val="auto"/>
              </w:rPr>
            </w:pPr>
          </w:p>
        </w:tc>
        <w:tc>
          <w:tcPr>
            <w:tcW w:w="20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None</w:t>
            </w:r>
          </w:p>
        </w:tc>
        <w:tc>
          <w:tcPr>
            <w:tcW w:w="3740" w:type="dxa"/>
            <w:vAlign w:val="bottom"/>
          </w:tcPr>
          <w:p>
            <w:pPr>
              <w:spacing w:after="0"/>
              <w:rPr>
                <w:sz w:val="17"/>
                <w:szCs w:val="17"/>
                <w:color w:val="auto"/>
              </w:rPr>
            </w:pPr>
          </w:p>
        </w:tc>
      </w:tr>
      <w:tr>
        <w:trPr>
          <w:trHeight w:val="405"/>
        </w:trPr>
        <w:tc>
          <w:tcPr>
            <w:tcW w:w="1220" w:type="dxa"/>
            <w:vAlign w:val="bottom"/>
          </w:tcPr>
          <w:p>
            <w:pPr>
              <w:ind w:left="420"/>
              <w:spacing w:after="0"/>
              <w:rPr>
                <w:sz w:val="20"/>
                <w:szCs w:val="20"/>
                <w:color w:val="auto"/>
              </w:rPr>
            </w:pPr>
            <w:r>
              <w:rPr>
                <w:rFonts w:ascii="Courier New" w:cs="Courier New" w:eastAsia="Courier New" w:hAnsi="Courier New"/>
                <w:sz w:val="18"/>
                <w:szCs w:val="18"/>
                <w:color w:val="auto"/>
              </w:rPr>
              <w:t>** Note</w:t>
            </w:r>
          </w:p>
        </w:tc>
        <w:tc>
          <w:tcPr>
            <w:tcW w:w="2000" w:type="dxa"/>
            <w:vAlign w:val="bottom"/>
          </w:tcPr>
          <w:p>
            <w:pPr>
              <w:ind w:left="60"/>
              <w:spacing w:after="0"/>
              <w:rPr>
                <w:sz w:val="20"/>
                <w:szCs w:val="20"/>
                <w:color w:val="auto"/>
              </w:rPr>
            </w:pPr>
            <w:r>
              <w:rPr>
                <w:rFonts w:ascii="Courier New" w:cs="Courier New" w:eastAsia="Courier New" w:hAnsi="Courier New"/>
                <w:sz w:val="18"/>
                <w:szCs w:val="18"/>
                <w:color w:val="auto"/>
              </w:rPr>
              <w:t>1 **</w:t>
            </w:r>
          </w:p>
        </w:tc>
        <w:tc>
          <w:tcPr>
            <w:tcW w:w="3740" w:type="dxa"/>
            <w:vAlign w:val="bottom"/>
          </w:tcPr>
          <w:p>
            <w:pPr>
              <w:spacing w:after="0"/>
              <w:rPr>
                <w:sz w:val="24"/>
                <w:szCs w:val="24"/>
                <w:color w:val="auto"/>
              </w:rPr>
            </w:pPr>
          </w:p>
        </w:tc>
      </w:tr>
      <w:tr>
        <w:trPr>
          <w:trHeight w:val="203"/>
        </w:trPr>
        <w:tc>
          <w:tcPr>
            <w:tcW w:w="6960" w:type="dxa"/>
            <w:vAlign w:val="bottom"/>
            <w:gridSpan w:val="3"/>
          </w:tcPr>
          <w:p>
            <w:pPr>
              <w:ind w:left="420"/>
              <w:spacing w:after="0" w:line="203" w:lineRule="exact"/>
              <w:rPr>
                <w:sz w:val="20"/>
                <w:szCs w:val="20"/>
                <w:color w:val="auto"/>
              </w:rPr>
            </w:pPr>
            <w:r>
              <w:rPr>
                <w:rFonts w:ascii="Courier New" w:cs="Courier New" w:eastAsia="Courier New" w:hAnsi="Courier New"/>
                <w:sz w:val="18"/>
                <w:szCs w:val="18"/>
                <w:color w:val="auto"/>
                <w:w w:val="98"/>
              </w:rPr>
              <w:t>Dimensional Fund Advisors Inc. ("Dimensional"), an investment</w:t>
            </w:r>
          </w:p>
        </w:tc>
      </w:tr>
      <w:tr>
        <w:trPr>
          <w:trHeight w:val="203"/>
        </w:trPr>
        <w:tc>
          <w:tcPr>
            <w:tcW w:w="122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advisor</w:t>
            </w:r>
          </w:p>
        </w:tc>
        <w:tc>
          <w:tcPr>
            <w:tcW w:w="574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w w:val="98"/>
              </w:rPr>
              <w:t>registered under the Investment Advisors Act of 1940,</w:t>
            </w:r>
          </w:p>
        </w:tc>
      </w:tr>
      <w:tr>
        <w:trPr>
          <w:trHeight w:val="203"/>
        </w:trPr>
        <w:tc>
          <w:tcPr>
            <w:tcW w:w="6960" w:type="dxa"/>
            <w:vAlign w:val="bottom"/>
            <w:gridSpan w:val="3"/>
          </w:tcPr>
          <w:p>
            <w:pPr>
              <w:ind w:left="420"/>
              <w:spacing w:after="0" w:line="203" w:lineRule="exact"/>
              <w:rPr>
                <w:sz w:val="20"/>
                <w:szCs w:val="20"/>
                <w:color w:val="auto"/>
              </w:rPr>
            </w:pPr>
            <w:r>
              <w:rPr>
                <w:rFonts w:ascii="Courier New" w:cs="Courier New" w:eastAsia="Courier New" w:hAnsi="Courier New"/>
                <w:sz w:val="18"/>
                <w:szCs w:val="18"/>
                <w:color w:val="auto"/>
              </w:rPr>
              <w:t>furnishes investment advice to four investment companies</w:t>
            </w:r>
          </w:p>
        </w:tc>
      </w:tr>
      <w:tr>
        <w:trPr>
          <w:trHeight w:val="203"/>
        </w:trPr>
        <w:tc>
          <w:tcPr>
            <w:tcW w:w="6960" w:type="dxa"/>
            <w:vAlign w:val="bottom"/>
            <w:gridSpan w:val="3"/>
          </w:tcPr>
          <w:p>
            <w:pPr>
              <w:ind w:left="420"/>
              <w:spacing w:after="0" w:line="203" w:lineRule="exact"/>
              <w:rPr>
                <w:sz w:val="20"/>
                <w:szCs w:val="20"/>
                <w:color w:val="auto"/>
              </w:rPr>
            </w:pPr>
            <w:r>
              <w:rPr>
                <w:rFonts w:ascii="Courier New" w:cs="Courier New" w:eastAsia="Courier New" w:hAnsi="Courier New"/>
                <w:sz w:val="18"/>
                <w:szCs w:val="18"/>
                <w:color w:val="auto"/>
                <w:w w:val="97"/>
              </w:rPr>
              <w:t>registered under Investment Company Act of 1940, and serves as</w:t>
            </w:r>
          </w:p>
        </w:tc>
      </w:tr>
    </w:tbl>
    <w:p>
      <w:pPr>
        <w:spacing w:after="0" w:line="4" w:lineRule="exact"/>
        <w:rPr>
          <w:sz w:val="20"/>
          <w:szCs w:val="20"/>
          <w:color w:val="auto"/>
        </w:rPr>
      </w:pPr>
    </w:p>
    <w:p>
      <w:pPr>
        <w:ind w:left="420" w:right="2839"/>
        <w:spacing w:after="0" w:line="271" w:lineRule="auto"/>
        <w:rPr>
          <w:sz w:val="20"/>
          <w:szCs w:val="20"/>
          <w:color w:val="auto"/>
        </w:rPr>
      </w:pPr>
      <w:r>
        <w:rPr>
          <w:rFonts w:ascii="Courier New" w:cs="Courier New" w:eastAsia="Courier New" w:hAnsi="Courier New"/>
          <w:sz w:val="16"/>
          <w:szCs w:val="16"/>
          <w:color w:val="auto"/>
        </w:rPr>
        <w:t>investment manager to certain other investment vehicles, including commingled group trusts. (These investment companies and investment vehicles are the "Portfolios"). In its role as investment advisor and investment manager, Dimensional possesses both voting and investment power over the securities of the Issuer described in this schedule that are owned by the Portfolios. All securities reported in this schedule are owned by the Portfolios, and Dimensional disclaims beneficial ownership of such securities.</w:t>
      </w:r>
    </w:p>
    <w:p>
      <w:pPr>
        <w:spacing w:after="0" w:line="180"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5.</w:t>
      </w:r>
      <w:r>
        <w:rPr>
          <w:sz w:val="20"/>
          <w:szCs w:val="20"/>
          <w:color w:val="auto"/>
        </w:rPr>
        <w:tab/>
      </w:r>
      <w:r>
        <w:rPr>
          <w:rFonts w:ascii="Courier New" w:cs="Courier New" w:eastAsia="Courier New" w:hAnsi="Courier New"/>
          <w:sz w:val="16"/>
          <w:szCs w:val="16"/>
          <w:color w:val="auto"/>
        </w:rPr>
        <w:t>OWNERSHIP OF FIVE PERCENT OR LESS OF A CLASS</w:t>
      </w:r>
    </w:p>
    <w:p>
      <w:pPr>
        <w:spacing w:after="0" w:line="4" w:lineRule="exact"/>
        <w:rPr>
          <w:sz w:val="20"/>
          <w:szCs w:val="20"/>
          <w:color w:val="auto"/>
        </w:rPr>
      </w:pPr>
    </w:p>
    <w:p>
      <w:pPr>
        <w:ind w:left="1280" w:right="3039"/>
        <w:spacing w:after="0" w:line="237" w:lineRule="auto"/>
        <w:rPr>
          <w:sz w:val="20"/>
          <w:szCs w:val="20"/>
          <w:color w:val="auto"/>
        </w:rPr>
      </w:pPr>
      <w:r>
        <w:rPr>
          <w:rFonts w:ascii="Courier New" w:cs="Courier New" w:eastAsia="Courier New" w:hAnsi="Courier New"/>
          <w:sz w:val="18"/>
          <w:szCs w:val="18"/>
          <w:color w:val="auto"/>
        </w:rPr>
        <w:t>If this statement is being filed to report the fact that as of 12/31/98 the reporting person has ceased to be the beneficial owner of more than five percent of the class of securities, check the following: [ ]</w:t>
      </w:r>
    </w:p>
    <w:p>
      <w:pPr>
        <w:spacing w:after="0" w:line="207" w:lineRule="exact"/>
        <w:rPr>
          <w:sz w:val="20"/>
          <w:szCs w:val="20"/>
          <w:color w:val="auto"/>
        </w:rPr>
      </w:pPr>
    </w:p>
    <w:p>
      <w:pPr>
        <w:ind w:left="1280" w:right="3899" w:hanging="1263"/>
        <w:spacing w:after="0" w:line="235" w:lineRule="auto"/>
        <w:tabs>
          <w:tab w:leader="none" w:pos="1260" w:val="left"/>
        </w:tabs>
        <w:rPr>
          <w:sz w:val="20"/>
          <w:szCs w:val="20"/>
          <w:color w:val="auto"/>
        </w:rPr>
      </w:pPr>
      <w:r>
        <w:rPr>
          <w:rFonts w:ascii="Courier New" w:cs="Courier New" w:eastAsia="Courier New" w:hAnsi="Courier New"/>
          <w:sz w:val="18"/>
          <w:szCs w:val="18"/>
          <w:color w:val="auto"/>
        </w:rPr>
        <w:t>ITEM 6.</w:t>
      </w:r>
      <w:r>
        <w:rPr>
          <w:sz w:val="20"/>
          <w:szCs w:val="20"/>
          <w:color w:val="auto"/>
        </w:rPr>
        <w:tab/>
      </w:r>
      <w:r>
        <w:rPr>
          <w:rFonts w:ascii="Courier New" w:cs="Courier New" w:eastAsia="Courier New" w:hAnsi="Courier New"/>
          <w:sz w:val="18"/>
          <w:szCs w:val="18"/>
          <w:color w:val="auto"/>
        </w:rPr>
        <w:t>OWNERSHIP OF MORE THAN FIVE PERCENT ON BEHALF OF ANOTHER PERSON</w:t>
      </w:r>
    </w:p>
    <w:p>
      <w:pPr>
        <w:spacing w:after="0" w:line="6" w:lineRule="exact"/>
        <w:rPr>
          <w:sz w:val="20"/>
          <w:szCs w:val="20"/>
          <w:color w:val="auto"/>
        </w:rPr>
      </w:pPr>
    </w:p>
    <w:p>
      <w:pPr>
        <w:ind w:left="1280" w:right="2739"/>
        <w:spacing w:after="0" w:line="273" w:lineRule="auto"/>
        <w:rPr>
          <w:sz w:val="20"/>
          <w:szCs w:val="20"/>
          <w:color w:val="auto"/>
        </w:rPr>
      </w:pPr>
      <w:r>
        <w:rPr>
          <w:rFonts w:ascii="Courier New" w:cs="Courier New" w:eastAsia="Courier New" w:hAnsi="Courier New"/>
          <w:sz w:val="16"/>
          <w:szCs w:val="16"/>
          <w:color w:val="auto"/>
        </w:rPr>
        <w:t>All Securities reported in this schedule are onwed by advisory clients of Dimensional Fund Advisors Inc., no one of which to the knowledge of Dimensional Fund Advisors Inc. owns more than 5% of the class. Dimensional Fund Advisors Inc disclaims beneficial ownership of all such securities.</w:t>
      </w:r>
    </w:p>
    <w:p>
      <w:pPr>
        <w:spacing w:after="0" w:line="185" w:lineRule="exact"/>
        <w:rPr>
          <w:sz w:val="20"/>
          <w:szCs w:val="20"/>
          <w:color w:val="auto"/>
        </w:rPr>
      </w:pPr>
    </w:p>
    <w:p>
      <w:pPr>
        <w:ind w:left="1280" w:right="2519" w:hanging="1263"/>
        <w:spacing w:after="0" w:line="236" w:lineRule="auto"/>
        <w:tabs>
          <w:tab w:leader="none" w:pos="1260" w:val="left"/>
        </w:tabs>
        <w:rPr>
          <w:sz w:val="20"/>
          <w:szCs w:val="20"/>
          <w:color w:val="auto"/>
        </w:rPr>
      </w:pPr>
      <w:r>
        <w:rPr>
          <w:rFonts w:ascii="Courier New" w:cs="Courier New" w:eastAsia="Courier New" w:hAnsi="Courier New"/>
          <w:sz w:val="18"/>
          <w:szCs w:val="18"/>
          <w:color w:val="auto"/>
        </w:rPr>
        <w:t>ITEM 7.</w:t>
      </w:r>
      <w:r>
        <w:rPr>
          <w:sz w:val="20"/>
          <w:szCs w:val="20"/>
          <w:color w:val="auto"/>
        </w:rPr>
        <w:tab/>
      </w:r>
      <w:r>
        <w:rPr>
          <w:rFonts w:ascii="Courier New" w:cs="Courier New" w:eastAsia="Courier New" w:hAnsi="Courier New"/>
          <w:sz w:val="18"/>
          <w:szCs w:val="18"/>
          <w:color w:val="auto"/>
        </w:rPr>
        <w:t>IDENTIFICATION AND CLASSIFICATION OF THE SUBSIDIARY WHICH ACQUIRED THE SECURITY BEING REPORTED ON BY THE PARENT HOLDING COMPANY:</w:t>
      </w:r>
    </w:p>
    <w:p>
      <w:pPr>
        <w:spacing w:after="0" w:line="1"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Not Applicable</w:t>
      </w:r>
    </w:p>
    <w:p>
      <w:pPr>
        <w:spacing w:after="0" w:line="207" w:lineRule="exact"/>
        <w:rPr>
          <w:sz w:val="20"/>
          <w:szCs w:val="20"/>
          <w:color w:val="auto"/>
        </w:rPr>
      </w:pPr>
    </w:p>
    <w:p>
      <w:pPr>
        <w:ind w:left="1280" w:right="2939" w:hanging="1263"/>
        <w:spacing w:after="0" w:line="235" w:lineRule="auto"/>
        <w:tabs>
          <w:tab w:leader="none" w:pos="1260" w:val="left"/>
        </w:tabs>
        <w:rPr>
          <w:sz w:val="20"/>
          <w:szCs w:val="20"/>
          <w:color w:val="auto"/>
        </w:rPr>
      </w:pPr>
      <w:r>
        <w:rPr>
          <w:rFonts w:ascii="Courier New" w:cs="Courier New" w:eastAsia="Courier New" w:hAnsi="Courier New"/>
          <w:sz w:val="18"/>
          <w:szCs w:val="18"/>
          <w:color w:val="auto"/>
        </w:rPr>
        <w:t>ITEM 8.</w:t>
      </w:r>
      <w:r>
        <w:rPr>
          <w:sz w:val="20"/>
          <w:szCs w:val="20"/>
          <w:color w:val="auto"/>
        </w:rPr>
        <w:tab/>
      </w:r>
      <w:r>
        <w:rPr>
          <w:rFonts w:ascii="Courier New" w:cs="Courier New" w:eastAsia="Courier New" w:hAnsi="Courier New"/>
          <w:sz w:val="18"/>
          <w:szCs w:val="18"/>
          <w:color w:val="auto"/>
        </w:rPr>
        <w:t>IDENTIFICATION AND CLASSIFICATION OF MEMBERS OF THE GROUP Not Applicable</w:t>
      </w:r>
    </w:p>
    <w:p>
      <w:pPr>
        <w:spacing w:after="0" w:line="203"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9.</w:t>
      </w:r>
      <w:r>
        <w:rPr>
          <w:sz w:val="20"/>
          <w:szCs w:val="20"/>
          <w:color w:val="auto"/>
        </w:rPr>
        <w:tab/>
      </w:r>
      <w:r>
        <w:rPr>
          <w:rFonts w:ascii="Courier New" w:cs="Courier New" w:eastAsia="Courier New" w:hAnsi="Courier New"/>
          <w:sz w:val="16"/>
          <w:szCs w:val="16"/>
          <w:color w:val="auto"/>
        </w:rPr>
        <w:t>NOTICE OF DISSOLUTION OF GROUP</w:t>
      </w:r>
    </w:p>
    <w:p>
      <w:pPr>
        <w:ind w:left="1280"/>
        <w:spacing w:after="0" w:line="238" w:lineRule="auto"/>
        <w:rPr>
          <w:sz w:val="20"/>
          <w:szCs w:val="20"/>
          <w:color w:val="auto"/>
        </w:rPr>
      </w:pPr>
      <w:r>
        <w:rPr>
          <w:rFonts w:ascii="Courier New" w:cs="Courier New" w:eastAsia="Courier New" w:hAnsi="Courier New"/>
          <w:sz w:val="18"/>
          <w:szCs w:val="18"/>
          <w:color w:val="auto"/>
        </w:rPr>
        <w:t>Not Applicable</w:t>
      </w:r>
    </w:p>
    <w:p>
      <w:pPr>
        <w:spacing w:after="0" w:line="202"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10.</w:t>
      </w:r>
      <w:r>
        <w:rPr>
          <w:sz w:val="20"/>
          <w:szCs w:val="20"/>
          <w:color w:val="auto"/>
        </w:rPr>
        <w:tab/>
      </w:r>
      <w:r>
        <w:rPr>
          <w:rFonts w:ascii="Courier New" w:cs="Courier New" w:eastAsia="Courier New" w:hAnsi="Courier New"/>
          <w:sz w:val="16"/>
          <w:szCs w:val="16"/>
          <w:color w:val="auto"/>
        </w:rPr>
        <w:t>CERTIFICATION</w:t>
      </w:r>
    </w:p>
    <w:p>
      <w:pPr>
        <w:spacing w:after="0" w:line="4" w:lineRule="exact"/>
        <w:rPr>
          <w:sz w:val="20"/>
          <w:szCs w:val="20"/>
          <w:color w:val="auto"/>
        </w:rPr>
      </w:pPr>
    </w:p>
    <w:p>
      <w:pPr>
        <w:ind w:left="1280"/>
        <w:spacing w:after="0"/>
        <w:rPr>
          <w:sz w:val="20"/>
          <w:szCs w:val="20"/>
          <w:color w:val="auto"/>
        </w:rPr>
      </w:pPr>
      <w:r>
        <w:rPr>
          <w:rFonts w:ascii="Courier New" w:cs="Courier New" w:eastAsia="Courier New" w:hAnsi="Courier New"/>
          <w:sz w:val="16"/>
          <w:szCs w:val="16"/>
          <w:color w:val="auto"/>
        </w:rPr>
        <w:t>By signing below I certify that, to the best of my knowledge</w:t>
      </w:r>
    </w:p>
    <w:p>
      <w:pPr>
        <w:spacing w:after="0" w:line="16"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and belief, the securities referred to above were acquired</w:t>
      </w:r>
    </w:p>
    <w:p>
      <w:pPr>
        <w:spacing w:after="0" w:line="4" w:lineRule="exact"/>
        <w:rPr>
          <w:sz w:val="20"/>
          <w:szCs w:val="20"/>
          <w:color w:val="auto"/>
        </w:rPr>
      </w:pPr>
    </w:p>
    <w:p>
      <w:pPr>
        <w:ind w:left="1280"/>
        <w:spacing w:after="0"/>
        <w:rPr>
          <w:sz w:val="20"/>
          <w:szCs w:val="20"/>
          <w:color w:val="auto"/>
        </w:rPr>
      </w:pPr>
      <w:r>
        <w:rPr>
          <w:rFonts w:ascii="Courier New" w:cs="Courier New" w:eastAsia="Courier New" w:hAnsi="Courier New"/>
          <w:sz w:val="16"/>
          <w:szCs w:val="16"/>
          <w:color w:val="auto"/>
        </w:rPr>
        <w:t>in the ordinary course of business and were not acquired for</w:t>
      </w:r>
    </w:p>
    <w:p>
      <w:pPr>
        <w:spacing w:after="0" w:line="16"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the purpose of and do not have the effect of changing or</w:t>
      </w:r>
    </w:p>
    <w:p>
      <w:pPr>
        <w:ind w:left="1280"/>
        <w:spacing w:after="0" w:line="238" w:lineRule="auto"/>
        <w:rPr>
          <w:sz w:val="20"/>
          <w:szCs w:val="20"/>
          <w:color w:val="auto"/>
        </w:rPr>
      </w:pPr>
      <w:r>
        <w:rPr>
          <w:rFonts w:ascii="Courier New" w:cs="Courier New" w:eastAsia="Courier New" w:hAnsi="Courier New"/>
          <w:sz w:val="18"/>
          <w:szCs w:val="18"/>
          <w:color w:val="auto"/>
        </w:rPr>
        <w:t>influencing the control of the issuer of such securities</w:t>
      </w:r>
    </w:p>
    <w:p>
      <w:pPr>
        <w:spacing w:after="0" w:line="5" w:lineRule="exact"/>
        <w:rPr>
          <w:sz w:val="20"/>
          <w:szCs w:val="20"/>
          <w:color w:val="auto"/>
        </w:rPr>
      </w:pPr>
    </w:p>
    <w:p>
      <w:pPr>
        <w:ind w:left="1280"/>
        <w:spacing w:after="0"/>
        <w:rPr>
          <w:sz w:val="20"/>
          <w:szCs w:val="20"/>
          <w:color w:val="auto"/>
        </w:rPr>
      </w:pPr>
      <w:r>
        <w:rPr>
          <w:rFonts w:ascii="Courier New" w:cs="Courier New" w:eastAsia="Courier New" w:hAnsi="Courier New"/>
          <w:sz w:val="16"/>
          <w:szCs w:val="16"/>
          <w:color w:val="auto"/>
        </w:rPr>
        <w:t>and were not acquired in connection with or as a participant</w:t>
      </w:r>
    </w:p>
    <w:p>
      <w:pPr>
        <w:spacing w:after="0" w:line="16"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in any transaction having such purposes or effect.</w:t>
      </w:r>
    </w:p>
    <w:p>
      <w:pPr>
        <w:spacing w:after="0" w:line="207" w:lineRule="exact"/>
        <w:rPr>
          <w:sz w:val="20"/>
          <w:szCs w:val="20"/>
          <w:color w:val="auto"/>
        </w:rPr>
      </w:pPr>
    </w:p>
    <w:p>
      <w:pPr>
        <w:ind w:right="2839"/>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are correct.</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1"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Friday, February 12, 1999</w:t>
      </w:r>
    </w:p>
    <w:p>
      <w:pPr>
        <w:spacing w:after="0" w:line="201"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Michael T. Scardina</w:t>
      </w:r>
    </w:p>
    <w:p>
      <w:pPr>
        <w:ind w:left="320"/>
        <w:spacing w:after="0" w:line="238" w:lineRule="auto"/>
        <w:rPr>
          <w:sz w:val="20"/>
          <w:szCs w:val="20"/>
          <w:color w:val="auto"/>
        </w:rPr>
      </w:pPr>
      <w:r>
        <w:rPr>
          <w:rFonts w:ascii="Courier New" w:cs="Courier New" w:eastAsia="Courier New" w:hAnsi="Courier New"/>
          <w:sz w:val="18"/>
          <w:szCs w:val="18"/>
          <w:color w:val="auto"/>
        </w:rPr>
        <w:t>Vice President and Chief Finacial Officer</w:t>
      </w:r>
    </w:p>
    <w:sectPr>
      <w:pgSz w:w="11900" w:h="16838" w:orient="portrait"/>
      <w:cols w:equalWidth="0" w:num="1">
        <w:col w:w="10219"/>
      </w:cols>
      <w:pgMar w:left="240" w:top="136" w:right="1440" w:bottom="7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
      <w:numFmt w:val="bullet"/>
      <w:start w:val="1"/>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2019-12-19T21:43:03Z</dcterms:created>
  <dcterms:modified xsi:type="dcterms:W3CDTF">2019-12-19T21:43:03Z</dcterms:modified>
</cp:coreProperties>
</file>