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77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773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432"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MICHAEL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80" w:type="dxa"/>
            <w:vAlign w:val="bottom"/>
          </w:tcPr>
          <w:p>
            <w:pPr>
              <w:spacing w:after="0"/>
              <w:rPr>
                <w:sz w:val="9"/>
                <w:szCs w:val="9"/>
                <w:color w:val="auto"/>
              </w:rPr>
            </w:pPr>
          </w:p>
        </w:tc>
        <w:tc>
          <w:tcPr>
            <w:tcW w:w="1700" w:type="dxa"/>
            <w:vAlign w:val="bottom"/>
            <w:gridSpan w:val="6"/>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0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X</w:t>
            </w:r>
          </w:p>
        </w:tc>
        <w:tc>
          <w:tcPr>
            <w:tcW w:w="600" w:type="dxa"/>
            <w:vAlign w:val="bottom"/>
            <w:gridSpan w:val="2"/>
            <w:vMerge w:val="restart"/>
          </w:tcPr>
          <w:p>
            <w:pPr>
              <w:ind w:left="120"/>
              <w:spacing w:after="0"/>
              <w:rPr>
                <w:sz w:val="20"/>
                <w:szCs w:val="20"/>
                <w:color w:val="auto"/>
              </w:rPr>
            </w:pPr>
            <w:r>
              <w:rPr>
                <w:rFonts w:ascii="Arial" w:cs="Arial" w:eastAsia="Arial" w:hAnsi="Arial"/>
                <w:sz w:val="14"/>
                <w:szCs w:val="14"/>
                <w:color w:val="auto"/>
                <w:w w:val="93"/>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gridSpan w:val="3"/>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continue"/>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gridSpan w:val="3"/>
            <w:vMerge w:val="continue"/>
          </w:tcPr>
          <w:p>
            <w:pPr>
              <w:spacing w:after="0"/>
              <w:rPr>
                <w:sz w:val="5"/>
                <w:szCs w:val="5"/>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7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0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ind w:left="120"/>
              <w:spacing w:after="0" w:line="115"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660" w:type="dxa"/>
            <w:vAlign w:val="bottom"/>
            <w:gridSpan w:val="7"/>
          </w:tcPr>
          <w:p>
            <w:pPr>
              <w:ind w:left="240"/>
              <w:spacing w:after="0"/>
              <w:rPr>
                <w:sz w:val="20"/>
                <w:szCs w:val="20"/>
                <w:color w:val="auto"/>
              </w:rPr>
            </w:pPr>
            <w:r>
              <w:rPr>
                <w:rFonts w:ascii="Arial" w:cs="Arial" w:eastAsia="Arial" w:hAnsi="Arial"/>
                <w:sz w:val="18"/>
                <w:szCs w:val="18"/>
                <w:color w:val="0000FF"/>
              </w:rPr>
              <w:t>12/13/2019</w:t>
            </w: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gridSpan w:val="2"/>
          </w:tcPr>
          <w:p>
            <w:pPr>
              <w:spacing w:after="0"/>
              <w:rPr>
                <w:sz w:val="9"/>
                <w:szCs w:val="9"/>
                <w:color w:val="auto"/>
              </w:rPr>
            </w:pPr>
          </w:p>
        </w:tc>
        <w:tc>
          <w:tcPr>
            <w:tcW w:w="3100" w:type="dxa"/>
            <w:vAlign w:val="bottom"/>
            <w:tcBorders>
              <w:bottom w:val="single" w:sz="8" w:color="2C2C2C"/>
            </w:tcBorders>
            <w:gridSpan w:val="5"/>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8"/>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vMerge w:val="restart"/>
          </w:tcPr>
          <w:p>
            <w:pPr>
              <w:spacing w:after="0"/>
              <w:rPr>
                <w:sz w:val="7"/>
                <w:szCs w:val="7"/>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20" w:type="dxa"/>
            <w:vAlign w:val="bottom"/>
            <w:gridSpan w:val="8"/>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3"/>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540" w:type="dxa"/>
            <w:vAlign w:val="bottom"/>
            <w:gridSpan w:val="11"/>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40" w:type="dxa"/>
            <w:vAlign w:val="bottom"/>
            <w:gridSpan w:val="8"/>
          </w:tcPr>
          <w:p>
            <w:pPr>
              <w:ind w:left="14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gridSpan w:val="2"/>
          </w:tcPr>
          <w:p>
            <w:pPr>
              <w:ind w:left="14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3100" w:type="dxa"/>
            <w:vAlign w:val="bottom"/>
            <w:tcBorders>
              <w:bottom w:val="single" w:sz="8" w:color="2C2C2C"/>
            </w:tcBorders>
            <w:gridSpan w:val="5"/>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940" w:type="dxa"/>
            <w:vAlign w:val="bottom"/>
            <w:tcBorders>
              <w:top w:val="single" w:sz="8" w:color="2C2C2C"/>
            </w:tcBorders>
            <w:gridSpan w:val="19"/>
          </w:tcPr>
          <w:p>
            <w:pPr>
              <w:jc w:val="center"/>
              <w:ind w:left="11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80" w:type="dxa"/>
            <w:vAlign w:val="bottom"/>
            <w:gridSpan w:val="5"/>
          </w:tcPr>
          <w:p>
            <w:pPr>
              <w:jc w:val="center"/>
              <w:ind w:left="528"/>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jc w:val="center"/>
              <w:ind w:right="20"/>
              <w:spacing w:after="0" w:line="135"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12/13/2019</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7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4,000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9"/>
              </w:rPr>
              <w:t>A</w:t>
            </w:r>
          </w:p>
        </w:tc>
        <w:tc>
          <w:tcPr>
            <w:tcW w:w="6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273.67</w:t>
            </w:r>
          </w:p>
        </w:tc>
        <w:tc>
          <w:tcPr>
            <w:tcW w:w="1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19"/>
              <w:spacing w:after="0"/>
              <w:rPr>
                <w:sz w:val="20"/>
                <w:szCs w:val="20"/>
                <w:color w:val="auto"/>
              </w:rPr>
            </w:pPr>
            <w:r>
              <w:rPr>
                <w:rFonts w:ascii="Arial" w:cs="Arial" w:eastAsia="Arial" w:hAnsi="Arial"/>
                <w:sz w:val="18"/>
                <w:szCs w:val="18"/>
                <w:color w:val="0000FF"/>
                <w:w w:val="88"/>
              </w:rPr>
              <w:t>4,323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8"/>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12/13/2019</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1,015</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372.75</w:t>
            </w:r>
            <w:r>
              <w:rPr>
                <w:rFonts w:ascii="Arial" w:cs="Arial" w:eastAsia="Arial" w:hAnsi="Arial"/>
                <w:sz w:val="22"/>
                <w:szCs w:val="22"/>
                <w:color w:val="008000"/>
                <w:w w:val="84"/>
                <w:vertAlign w:val="superscript"/>
              </w:rPr>
              <w:t>(2)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19"/>
              <w:spacing w:after="0"/>
              <w:rPr>
                <w:sz w:val="20"/>
                <w:szCs w:val="20"/>
                <w:color w:val="auto"/>
              </w:rPr>
            </w:pPr>
            <w:r>
              <w:rPr>
                <w:rFonts w:ascii="Arial" w:cs="Arial" w:eastAsia="Arial" w:hAnsi="Arial"/>
                <w:sz w:val="18"/>
                <w:szCs w:val="18"/>
                <w:color w:val="0000FF"/>
                <w:w w:val="88"/>
              </w:rPr>
              <w:t>3,308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8"/>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12/13/2019</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1,400</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373.91</w:t>
            </w:r>
            <w:r>
              <w:rPr>
                <w:rFonts w:ascii="Arial" w:cs="Arial" w:eastAsia="Arial" w:hAnsi="Arial"/>
                <w:sz w:val="22"/>
                <w:szCs w:val="22"/>
                <w:color w:val="008000"/>
                <w:w w:val="84"/>
                <w:vertAlign w:val="superscript"/>
              </w:rPr>
              <w:t>(3)</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319"/>
              <w:spacing w:after="0"/>
              <w:rPr>
                <w:sz w:val="20"/>
                <w:szCs w:val="20"/>
                <w:color w:val="auto"/>
              </w:rPr>
            </w:pPr>
            <w:r>
              <w:rPr>
                <w:rFonts w:ascii="Arial" w:cs="Arial" w:eastAsia="Arial" w:hAnsi="Arial"/>
                <w:sz w:val="18"/>
                <w:szCs w:val="18"/>
                <w:color w:val="0000FF"/>
                <w:w w:val="88"/>
              </w:rPr>
              <w:t>1,908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8"/>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jc w:val="center"/>
              <w:ind w:left="528"/>
              <w:spacing w:after="0"/>
              <w:rPr>
                <w:sz w:val="20"/>
                <w:szCs w:val="20"/>
                <w:color w:val="auto"/>
              </w:rPr>
            </w:pPr>
            <w:r>
              <w:rPr>
                <w:rFonts w:ascii="Arial" w:cs="Arial" w:eastAsia="Arial" w:hAnsi="Arial"/>
                <w:sz w:val="18"/>
                <w:szCs w:val="18"/>
                <w:color w:val="0000FF"/>
                <w:w w:val="88"/>
              </w:rPr>
              <w:t>12/13/2019</w:t>
            </w:r>
          </w:p>
        </w:tc>
        <w:tc>
          <w:tcPr>
            <w:tcW w:w="1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60" w:type="dxa"/>
            <w:vAlign w:val="bottom"/>
            <w:tcBorders>
              <w:bottom w:val="single" w:sz="8" w:color="2C2C2C"/>
            </w:tcBorders>
          </w:tcPr>
          <w:p>
            <w:pPr>
              <w:jc w:val="right"/>
              <w:ind w:right="48"/>
              <w:spacing w:after="0"/>
              <w:rPr>
                <w:sz w:val="20"/>
                <w:szCs w:val="20"/>
                <w:color w:val="auto"/>
              </w:rPr>
            </w:pPr>
            <w:r>
              <w:rPr>
                <w:rFonts w:ascii="Arial" w:cs="Arial" w:eastAsia="Arial" w:hAnsi="Arial"/>
                <w:sz w:val="18"/>
                <w:szCs w:val="18"/>
                <w:color w:val="0000FF"/>
              </w:rPr>
              <w:t>1,585</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gridSpan w:val="4"/>
          </w:tcPr>
          <w:p>
            <w:pPr>
              <w:jc w:val="center"/>
              <w:ind w:right="19"/>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374.86</w:t>
            </w:r>
            <w:r>
              <w:rPr>
                <w:rFonts w:ascii="Arial" w:cs="Arial" w:eastAsia="Arial" w:hAnsi="Arial"/>
                <w:sz w:val="22"/>
                <w:szCs w:val="22"/>
                <w:color w:val="008000"/>
                <w:w w:val="84"/>
                <w:vertAlign w:val="superscript"/>
              </w:rPr>
              <w:t>(4)</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299"/>
              <w:spacing w:after="0"/>
              <w:rPr>
                <w:sz w:val="20"/>
                <w:szCs w:val="20"/>
                <w:color w:val="auto"/>
              </w:rPr>
            </w:pPr>
            <w:r>
              <w:rPr>
                <w:rFonts w:ascii="Arial" w:cs="Arial" w:eastAsia="Arial" w:hAnsi="Arial"/>
                <w:sz w:val="18"/>
                <w:szCs w:val="18"/>
                <w:color w:val="0000FF"/>
                <w:w w:val="86"/>
              </w:rPr>
              <w:t>323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8"/>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gridSpan w:val="2"/>
            <w:vMerge w:val="restart"/>
          </w:tcPr>
          <w:p>
            <w:pPr>
              <w:jc w:val="center"/>
              <w:ind w:right="319"/>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22"/>
                <w:szCs w:val="22"/>
                <w:color w:val="auto"/>
              </w:rPr>
            </w:pPr>
          </w:p>
        </w:tc>
        <w:tc>
          <w:tcPr>
            <w:tcW w:w="700" w:type="dxa"/>
            <w:vAlign w:val="bottom"/>
            <w:vMerge w:val="restart"/>
          </w:tcPr>
          <w:p>
            <w:pPr>
              <w:jc w:val="center"/>
              <w:ind w:right="328"/>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SLAT</w:t>
            </w:r>
            <w:r>
              <w:rPr>
                <w:rFonts w:ascii="Arial" w:cs="Arial" w:eastAsia="Arial" w:hAnsi="Arial"/>
                <w:sz w:val="22"/>
                <w:szCs w:val="22"/>
                <w:color w:val="008000"/>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60" w:type="dxa"/>
            <w:vAlign w:val="bottom"/>
            <w:gridSpan w:val="2"/>
          </w:tcPr>
          <w:p>
            <w:pPr>
              <w:jc w:val="center"/>
              <w:ind w:right="319"/>
              <w:spacing w:after="0"/>
              <w:rPr>
                <w:sz w:val="20"/>
                <w:szCs w:val="20"/>
                <w:color w:val="auto"/>
              </w:rPr>
            </w:pPr>
            <w:r>
              <w:rPr>
                <w:rFonts w:ascii="Arial" w:cs="Arial" w:eastAsia="Arial" w:hAnsi="Arial"/>
                <w:sz w:val="18"/>
                <w:szCs w:val="18"/>
                <w:color w:val="0000FF"/>
                <w:w w:val="87"/>
              </w:rPr>
              <w:t>11,349</w:t>
            </w:r>
          </w:p>
        </w:tc>
        <w:tc>
          <w:tcPr>
            <w:tcW w:w="300" w:type="dxa"/>
            <w:vAlign w:val="bottom"/>
          </w:tcPr>
          <w:p>
            <w:pPr>
              <w:spacing w:after="0"/>
              <w:rPr>
                <w:sz w:val="23"/>
                <w:szCs w:val="23"/>
                <w:color w:val="auto"/>
              </w:rPr>
            </w:pPr>
          </w:p>
        </w:tc>
        <w:tc>
          <w:tcPr>
            <w:tcW w:w="700" w:type="dxa"/>
            <w:vAlign w:val="bottom"/>
          </w:tcPr>
          <w:p>
            <w:pPr>
              <w:jc w:val="center"/>
              <w:ind w:right="328"/>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420" w:type="dxa"/>
            <w:vAlign w:val="bottom"/>
            <w:tcBorders>
              <w:bottom w:val="single" w:sz="8" w:color="2C2C2C"/>
            </w:tcBorders>
            <w:gridSpan w:val="2"/>
          </w:tcPr>
          <w:p>
            <w:pPr>
              <w:spacing w:after="0"/>
              <w:rPr>
                <w:sz w:val="8"/>
                <w:szCs w:val="8"/>
                <w:color w:val="auto"/>
              </w:rPr>
            </w:pPr>
          </w:p>
        </w:tc>
        <w:tc>
          <w:tcPr>
            <w:tcW w:w="3100" w:type="dxa"/>
            <w:vAlign w:val="bottom"/>
            <w:tcBorders>
              <w:bottom w:val="single" w:sz="8" w:color="2C2C2C"/>
            </w:tcBorders>
            <w:gridSpan w:val="5"/>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800" w:type="dxa"/>
            <w:vAlign w:val="bottom"/>
            <w:tcBorders>
              <w:bottom w:val="single" w:sz="8" w:color="2C2C2C"/>
            </w:tcBorders>
            <w:gridSpan w:val="4"/>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940" w:type="dxa"/>
            <w:vAlign w:val="bottom"/>
            <w:tcBorders>
              <w:top w:val="single" w:sz="8" w:color="2C2C2C"/>
            </w:tcBorders>
            <w:gridSpan w:val="19"/>
          </w:tcPr>
          <w:p>
            <w:pPr>
              <w:ind w:left="4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70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8"/>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Security</w:t>
            </w:r>
          </w:p>
        </w:tc>
        <w:tc>
          <w:tcPr>
            <w:tcW w:w="2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7"/>
              </w:rPr>
              <w:t>(Instr. 5)</w:t>
            </w:r>
          </w:p>
        </w:tc>
        <w:tc>
          <w:tcPr>
            <w:tcW w:w="2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273.67</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12/13/2019</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Arial" w:cs="Arial" w:eastAsia="Arial" w:hAnsi="Arial"/>
                <w:sz w:val="14"/>
                <w:szCs w:val="14"/>
                <w:color w:val="0000FF"/>
              </w:rPr>
              <w:t>4,000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60" w:type="dxa"/>
            <w:vAlign w:val="bottom"/>
          </w:tcPr>
          <w:p>
            <w:pPr>
              <w:ind w:left="60"/>
              <w:spacing w:after="0"/>
              <w:rPr>
                <w:sz w:val="20"/>
                <w:szCs w:val="20"/>
                <w:color w:val="auto"/>
              </w:rPr>
            </w:pPr>
            <w:r>
              <w:rPr>
                <w:rFonts w:ascii="Arial" w:cs="Arial" w:eastAsia="Arial" w:hAnsi="Arial"/>
                <w:sz w:val="14"/>
                <w:szCs w:val="14"/>
                <w:color w:val="0000FF"/>
                <w:w w:val="96"/>
              </w:rPr>
              <w:t>01/02/2024</w:t>
            </w:r>
          </w:p>
        </w:tc>
        <w:tc>
          <w:tcPr>
            <w:tcW w:w="66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80" w:type="dxa"/>
            <w:vAlign w:val="bottom"/>
            <w:gridSpan w:val="2"/>
          </w:tcPr>
          <w:p>
            <w:pPr>
              <w:ind w:left="80"/>
              <w:spacing w:after="0" w:line="200" w:lineRule="exact"/>
              <w:rPr>
                <w:sz w:val="20"/>
                <w:szCs w:val="20"/>
                <w:color w:val="auto"/>
              </w:rPr>
            </w:pPr>
            <w:r>
              <w:rPr>
                <w:rFonts w:ascii="Arial" w:cs="Arial" w:eastAsia="Arial" w:hAnsi="Arial"/>
                <w:sz w:val="18"/>
                <w:szCs w:val="18"/>
                <w:color w:val="0000FF"/>
              </w:rPr>
              <w:t>4,000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60" w:type="dxa"/>
            <w:vAlign w:val="bottom"/>
          </w:tcPr>
          <w:p>
            <w:pPr>
              <w:spacing w:after="0"/>
              <w:rPr>
                <w:sz w:val="17"/>
                <w:szCs w:val="17"/>
                <w:color w:val="auto"/>
              </w:rPr>
            </w:pPr>
          </w:p>
        </w:tc>
        <w:tc>
          <w:tcPr>
            <w:tcW w:w="600" w:type="dxa"/>
            <w:vAlign w:val="bottom"/>
          </w:tcPr>
          <w:p>
            <w:pPr>
              <w:ind w:left="260"/>
              <w:spacing w:after="0"/>
              <w:rPr>
                <w:sz w:val="20"/>
                <w:szCs w:val="20"/>
                <w:color w:val="auto"/>
              </w:rPr>
            </w:pPr>
            <w:r>
              <w:rPr>
                <w:rFonts w:ascii="Arial" w:cs="Arial" w:eastAsia="Arial" w:hAnsi="Arial"/>
                <w:sz w:val="14"/>
                <w:szCs w:val="14"/>
                <w:color w:val="0000FF"/>
                <w:w w:val="91"/>
              </w:rPr>
              <w:t>2,250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center"/>
              <w:ind w:right="60"/>
              <w:spacing w:after="0" w:line="110" w:lineRule="exact"/>
              <w:rPr>
                <w:sz w:val="20"/>
                <w:szCs w:val="20"/>
                <w:color w:val="auto"/>
              </w:rPr>
            </w:pPr>
            <w:r>
              <w:rPr>
                <w:rFonts w:ascii="Arial" w:cs="Arial" w:eastAsia="Arial" w:hAnsi="Arial"/>
                <w:sz w:val="12"/>
                <w:szCs w:val="12"/>
                <w:color w:val="0000FF"/>
              </w:rPr>
              <w:t>Stock</w:t>
            </w: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1,015 shares of Company stock on December 13, 2019 at prices ranging from $372.56 to $373.24. Upon request by the Commission staff, the Company, or a security holder of the Company, the reporting person will provide full information regarding the number of shares sold by the reporting person on December 13, 2019 at each separate price.</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1,400 shares of Company stock on December 13, 2019 at prices ranging from $373.73 to $374.21. Upon request by the Commission staff, the Company, or a security holder of the Company, the reporting person will provide full information regarding the number of shares sold by the reporting person on December 13, 2019 at each separate price.</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1,585 shares of Company stock on December 13, 2019 at prices ranging from $374.81 to $374.89. Upon request by the Commission staff, the Company, or a security holder of the Company, the reporting person will provide full information regarding the number of shares sold by the reporting person on December 13, 2019 at each separate price.</w:t>
      </w: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becomes exercisable in three equal annual installments, commencing one year after the date of grant.</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3"/>
              </w:rPr>
              <w:t>/s/**Michael S. Brown</w:t>
            </w:r>
          </w:p>
        </w:tc>
        <w:tc>
          <w:tcPr>
            <w:tcW w:w="4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12/13/2019</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4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2019-12-13T15:10:01Z</dcterms:created>
  <dcterms:modified xsi:type="dcterms:W3CDTF">2019-12-13T15:10:01Z</dcterms:modified>
</cp:coreProperties>
</file>