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0"/>
          <w:szCs w:val="20"/>
          <w:color w:val="auto"/>
        </w:rPr>
      </w:pPr>
    </w:p>
    <w:p>
      <w:pPr>
        <w:ind w:left="1380" w:right="400" w:hanging="1061"/>
        <w:spacing w:after="0" w:line="243"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June 30,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0-19034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8460" w:type="dxa"/>
            <w:vAlign w:val="bottom"/>
            <w:tcBorders>
              <w:top w:val="single" w:sz="8" w:color="auto"/>
            </w:tcBorders>
            <w:gridSpan w:val="3"/>
          </w:tcPr>
          <w:p>
            <w:pPr>
              <w:ind w:left="2380"/>
              <w:spacing w:after="0"/>
              <w:rPr>
                <w:sz w:val="20"/>
                <w:szCs w:val="20"/>
                <w:color w:val="auto"/>
              </w:rPr>
            </w:pPr>
            <w:r>
              <w:rPr>
                <w:rFonts w:ascii="Arial" w:cs="Arial" w:eastAsia="Arial" w:hAnsi="Arial"/>
                <w:sz w:val="18"/>
                <w:szCs w:val="18"/>
                <w:color w:val="auto"/>
              </w:rPr>
              <w:t>(Exact name of registrant as specified in its charter)</w:t>
            </w:r>
          </w:p>
        </w:tc>
        <w:tc>
          <w:tcPr>
            <w:tcW w:w="1480" w:type="dxa"/>
            <w:vAlign w:val="bottom"/>
          </w:tcPr>
          <w:p>
            <w:pPr>
              <w:spacing w:after="0"/>
              <w:rPr>
                <w:sz w:val="20"/>
                <w:szCs w:val="20"/>
                <w:color w:val="auto"/>
              </w:rPr>
            </w:pPr>
          </w:p>
        </w:tc>
      </w:tr>
      <w:tr>
        <w:trPr>
          <w:trHeight w:val="411"/>
        </w:trPr>
        <w:tc>
          <w:tcPr>
            <w:tcW w:w="1480" w:type="dxa"/>
            <w:vAlign w:val="bottom"/>
          </w:tcPr>
          <w:p>
            <w:pPr>
              <w:spacing w:after="0"/>
              <w:rPr>
                <w:sz w:val="24"/>
                <w:szCs w:val="24"/>
                <w:color w:val="auto"/>
              </w:rPr>
            </w:pPr>
          </w:p>
        </w:tc>
        <w:tc>
          <w:tcPr>
            <w:tcW w:w="3940" w:type="dxa"/>
            <w:vAlign w:val="bottom"/>
          </w:tcPr>
          <w:p>
            <w:pPr>
              <w:jc w:val="center"/>
              <w:ind w:right="1390"/>
              <w:spacing w:after="0"/>
              <w:rPr>
                <w:sz w:val="20"/>
                <w:szCs w:val="20"/>
                <w:color w:val="auto"/>
              </w:rPr>
            </w:pPr>
            <w:r>
              <w:rPr>
                <w:rFonts w:ascii="Arial" w:cs="Arial" w:eastAsia="Arial" w:hAnsi="Arial"/>
                <w:sz w:val="18"/>
                <w:szCs w:val="18"/>
                <w:color w:val="auto"/>
                <w:w w:val="94"/>
              </w:rPr>
              <w:t>New York</w:t>
            </w:r>
          </w:p>
        </w:tc>
        <w:tc>
          <w:tcPr>
            <w:tcW w:w="4520" w:type="dxa"/>
            <w:vAlign w:val="bottom"/>
            <w:gridSpan w:val="2"/>
          </w:tcPr>
          <w:p>
            <w:pPr>
              <w:jc w:val="center"/>
              <w:ind w:left="1970"/>
              <w:spacing w:after="0"/>
              <w:rPr>
                <w:sz w:val="20"/>
                <w:szCs w:val="20"/>
                <w:color w:val="auto"/>
              </w:rPr>
            </w:pPr>
            <w:r>
              <w:rPr>
                <w:rFonts w:ascii="Arial" w:cs="Arial" w:eastAsia="Arial" w:hAnsi="Arial"/>
                <w:sz w:val="18"/>
                <w:szCs w:val="18"/>
                <w:color w:val="auto"/>
                <w:w w:val="89"/>
              </w:rPr>
              <w:t>13-3444607</w:t>
            </w:r>
          </w:p>
        </w:tc>
        <w:tc>
          <w:tcPr>
            <w:tcW w:w="1480" w:type="dxa"/>
            <w:vAlign w:val="bottom"/>
          </w:tcPr>
          <w:p>
            <w:pPr>
              <w:spacing w:after="0"/>
              <w:rPr>
                <w:sz w:val="24"/>
                <w:szCs w:val="24"/>
                <w:color w:val="auto"/>
              </w:rPr>
            </w:pPr>
          </w:p>
        </w:tc>
      </w:tr>
      <w:tr>
        <w:trPr>
          <w:trHeight w:val="209"/>
        </w:trPr>
        <w:tc>
          <w:tcPr>
            <w:tcW w:w="148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tcPr>
          <w:p>
            <w:pPr>
              <w:jc w:val="center"/>
              <w:ind w:right="1370"/>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1480" w:type="dxa"/>
            <w:vAlign w:val="bottom"/>
          </w:tcPr>
          <w:p>
            <w:pPr>
              <w:spacing w:after="0"/>
              <w:rPr>
                <w:sz w:val="20"/>
                <w:szCs w:val="20"/>
                <w:color w:val="auto"/>
              </w:rPr>
            </w:pPr>
          </w:p>
        </w:tc>
        <w:tc>
          <w:tcPr>
            <w:tcW w:w="3940" w:type="dxa"/>
            <w:vAlign w:val="bottom"/>
          </w:tcPr>
          <w:p>
            <w:pPr>
              <w:jc w:val="center"/>
              <w:ind w:right="1370"/>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1480" w:type="dxa"/>
            <w:vAlign w:val="bottom"/>
          </w:tcPr>
          <w:p>
            <w:pPr>
              <w:spacing w:after="0"/>
              <w:rPr>
                <w:sz w:val="24"/>
                <w:szCs w:val="24"/>
                <w:color w:val="auto"/>
              </w:rPr>
            </w:pPr>
          </w:p>
        </w:tc>
        <w:tc>
          <w:tcPr>
            <w:tcW w:w="3940" w:type="dxa"/>
            <w:vAlign w:val="bottom"/>
          </w:tcPr>
          <w:p>
            <w:pPr>
              <w:jc w:val="center"/>
              <w:ind w:right="1370"/>
              <w:spacing w:after="0"/>
              <w:rPr>
                <w:sz w:val="20"/>
                <w:szCs w:val="20"/>
                <w:color w:val="auto"/>
              </w:rPr>
            </w:pPr>
            <w:r>
              <w:rPr>
                <w:rFonts w:ascii="Arial" w:cs="Arial" w:eastAsia="Arial" w:hAnsi="Arial"/>
                <w:sz w:val="18"/>
                <w:szCs w:val="18"/>
                <w:color w:val="auto"/>
                <w:w w:val="93"/>
              </w:rPr>
              <w:t>777 Old Saw Mill River Road</w:t>
            </w:r>
          </w:p>
        </w:tc>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p>
        </w:tc>
        <w:tc>
          <w:tcPr>
            <w:tcW w:w="3940" w:type="dxa"/>
            <w:vAlign w:val="bottom"/>
          </w:tcPr>
          <w:p>
            <w:pPr>
              <w:jc w:val="center"/>
              <w:ind w:right="1390"/>
              <w:spacing w:after="0"/>
              <w:rPr>
                <w:sz w:val="20"/>
                <w:szCs w:val="20"/>
                <w:color w:val="auto"/>
              </w:rPr>
            </w:pPr>
            <w:r>
              <w:rPr>
                <w:rFonts w:ascii="Arial" w:cs="Arial" w:eastAsia="Arial" w:hAnsi="Arial"/>
                <w:sz w:val="18"/>
                <w:szCs w:val="18"/>
                <w:color w:val="auto"/>
                <w:w w:val="94"/>
              </w:rPr>
              <w:t>Tarrytown, New York</w:t>
            </w:r>
          </w:p>
        </w:tc>
        <w:tc>
          <w:tcPr>
            <w:tcW w:w="4520" w:type="dxa"/>
            <w:vAlign w:val="bottom"/>
            <w:gridSpan w:val="2"/>
          </w:tcPr>
          <w:p>
            <w:pPr>
              <w:jc w:val="center"/>
              <w:ind w:left="1970"/>
              <w:spacing w:after="0"/>
              <w:rPr>
                <w:sz w:val="20"/>
                <w:szCs w:val="20"/>
                <w:color w:val="auto"/>
              </w:rPr>
            </w:pPr>
            <w:r>
              <w:rPr>
                <w:rFonts w:ascii="Arial" w:cs="Arial" w:eastAsia="Arial" w:hAnsi="Arial"/>
                <w:sz w:val="18"/>
                <w:szCs w:val="18"/>
                <w:color w:val="auto"/>
                <w:w w:val="89"/>
              </w:rPr>
              <w:t>10591-6707</w:t>
            </w:r>
          </w:p>
        </w:tc>
        <w:tc>
          <w:tcPr>
            <w:tcW w:w="1480" w:type="dxa"/>
            <w:vAlign w:val="bottom"/>
          </w:tcPr>
          <w:p>
            <w:pPr>
              <w:spacing w:after="0"/>
              <w:rPr>
                <w:sz w:val="20"/>
                <w:szCs w:val="20"/>
                <w:color w:val="auto"/>
              </w:rPr>
            </w:pPr>
          </w:p>
        </w:tc>
      </w:tr>
      <w:tr>
        <w:trPr>
          <w:trHeight w:val="224"/>
        </w:trPr>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(914) 347-7000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tabs>
          <w:tab w:leader="none" w:pos="2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 w:lineRule="exact"/>
        <w:rPr>
          <w:sz w:val="20"/>
          <w:szCs w:val="20"/>
          <w:color w:val="auto"/>
        </w:rPr>
      </w:pPr>
    </w:p>
    <w:p>
      <w:pPr>
        <w:ind w:left="2980"/>
        <w:spacing w:after="0" w:line="207" w:lineRule="exact"/>
        <w:tabs>
          <w:tab w:leader="none" w:pos="5040" w:val="left"/>
          <w:tab w:leader="none" w:pos="67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July 31, 2006: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Class of Common Stock</w:t>
            </w:r>
          </w:p>
        </w:tc>
        <w:tc>
          <w:tcPr>
            <w:tcW w:w="580" w:type="dxa"/>
            <w:vAlign w:val="bottom"/>
          </w:tcPr>
          <w:p>
            <w:pPr>
              <w:spacing w:after="0"/>
              <w:rPr>
                <w:sz w:val="14"/>
                <w:szCs w:val="14"/>
                <w:color w:val="auto"/>
              </w:rPr>
            </w:pPr>
          </w:p>
        </w:tc>
        <w:tc>
          <w:tcPr>
            <w:tcW w:w="5420" w:type="dxa"/>
            <w:vAlign w:val="bottom"/>
            <w:tcBorders>
              <w:bottom w:val="single" w:sz="8" w:color="auto"/>
            </w:tcBorders>
          </w:tcPr>
          <w:p>
            <w:pPr>
              <w:ind w:left="2180"/>
              <w:spacing w:after="0"/>
              <w:rPr>
                <w:sz w:val="20"/>
                <w:szCs w:val="20"/>
                <w:color w:val="auto"/>
              </w:rPr>
            </w:pPr>
            <w:r>
              <w:rPr>
                <w:rFonts w:ascii="Arial" w:cs="Arial" w:eastAsia="Arial" w:hAnsi="Arial"/>
                <w:sz w:val="14"/>
                <w:szCs w:val="14"/>
                <w:color w:val="auto"/>
              </w:rPr>
              <w:t>Number of Shares</w:t>
            </w:r>
          </w:p>
        </w:tc>
      </w:tr>
      <w:tr>
        <w:trPr>
          <w:trHeight w:val="195"/>
        </w:trPr>
        <w:tc>
          <w:tcPr>
            <w:tcW w:w="5420" w:type="dxa"/>
            <w:vAlign w:val="bottom"/>
          </w:tcPr>
          <w:p>
            <w:pPr>
              <w:jc w:val="center"/>
              <w:spacing w:after="0" w:line="195" w:lineRule="exact"/>
              <w:rPr>
                <w:sz w:val="20"/>
                <w:szCs w:val="20"/>
                <w:color w:val="auto"/>
              </w:rPr>
            </w:pPr>
            <w:r>
              <w:rPr>
                <w:rFonts w:ascii="Arial" w:cs="Arial" w:eastAsia="Arial" w:hAnsi="Arial"/>
                <w:sz w:val="18"/>
                <w:szCs w:val="18"/>
                <w:color w:val="auto"/>
                <w:w w:val="89"/>
              </w:rPr>
              <w:t>Class A Stock, $0.001 par value</w:t>
            </w:r>
          </w:p>
        </w:tc>
        <w:tc>
          <w:tcPr>
            <w:tcW w:w="580" w:type="dxa"/>
            <w:vAlign w:val="bottom"/>
          </w:tcPr>
          <w:p>
            <w:pPr>
              <w:spacing w:after="0"/>
              <w:rPr>
                <w:sz w:val="16"/>
                <w:szCs w:val="16"/>
                <w:color w:val="auto"/>
              </w:rPr>
            </w:pPr>
          </w:p>
        </w:tc>
        <w:tc>
          <w:tcPr>
            <w:tcW w:w="5420" w:type="dxa"/>
            <w:vAlign w:val="bottom"/>
          </w:tcPr>
          <w:p>
            <w:pPr>
              <w:jc w:val="right"/>
              <w:ind w:right="2279"/>
              <w:spacing w:after="0" w:line="195" w:lineRule="exact"/>
              <w:rPr>
                <w:sz w:val="20"/>
                <w:szCs w:val="20"/>
                <w:color w:val="auto"/>
              </w:rPr>
            </w:pPr>
            <w:r>
              <w:rPr>
                <w:rFonts w:ascii="Arial" w:cs="Arial" w:eastAsia="Arial" w:hAnsi="Arial"/>
                <w:sz w:val="18"/>
                <w:szCs w:val="18"/>
                <w:color w:val="auto"/>
              </w:rPr>
              <w:t>2,296,928</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6000" w:type="dxa"/>
            <w:vAlign w:val="bottom"/>
            <w:gridSpan w:val="2"/>
          </w:tcPr>
          <w:p>
            <w:pPr>
              <w:jc w:val="right"/>
              <w:ind w:right="2219"/>
              <w:spacing w:after="0"/>
              <w:rPr>
                <w:sz w:val="20"/>
                <w:szCs w:val="20"/>
                <w:color w:val="auto"/>
              </w:rPr>
            </w:pPr>
            <w:r>
              <w:rPr>
                <w:rFonts w:ascii="Arial" w:cs="Arial" w:eastAsia="Arial" w:hAnsi="Arial"/>
                <w:sz w:val="18"/>
                <w:szCs w:val="18"/>
                <w:color w:val="auto"/>
              </w:rPr>
              <w:t>54,674,613</w:t>
            </w:r>
          </w:p>
        </w:tc>
      </w:tr>
      <w:tr>
        <w:trPr>
          <w:trHeight w:val="237"/>
        </w:trPr>
        <w:tc>
          <w:tcPr>
            <w:tcW w:w="5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r>
      <w:tr>
        <w:trPr>
          <w:trHeight w:val="631"/>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1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200" w:type="dxa"/>
            <w:vAlign w:val="bottom"/>
            <w:gridSpan w:val="10"/>
            <w:vMerge w:val="restart"/>
          </w:tcPr>
          <w:p>
            <w:pPr>
              <w:spacing w:after="0"/>
              <w:rPr>
                <w:sz w:val="14"/>
                <w:szCs w:val="14"/>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 Numbers</w:t>
            </w:r>
          </w:p>
        </w:tc>
        <w:tc>
          <w:tcPr>
            <w:tcW w:w="0" w:type="dxa"/>
            <w:vAlign w:val="bottom"/>
          </w:tcPr>
          <w:p>
            <w:pPr>
              <w:spacing w:after="0"/>
              <w:rPr>
                <w:sz w:val="1"/>
                <w:szCs w:val="1"/>
                <w:color w:val="auto"/>
              </w:rPr>
            </w:pPr>
          </w:p>
        </w:tc>
      </w:tr>
      <w:tr>
        <w:trPr>
          <w:trHeight w:val="174"/>
        </w:trPr>
        <w:tc>
          <w:tcPr>
            <w:tcW w:w="3040" w:type="dxa"/>
            <w:vAlign w:val="bottom"/>
            <w:tcBorders>
              <w:bottom w:val="single" w:sz="8" w:color="0000EE"/>
            </w:tcBorders>
            <w:gridSpan w:val="11"/>
            <w:vMerge w:val="continue"/>
          </w:tcPr>
          <w:p>
            <w:pPr>
              <w:spacing w:after="0"/>
              <w:rPr>
                <w:sz w:val="14"/>
                <w:szCs w:val="14"/>
                <w:color w:val="auto"/>
              </w:rPr>
            </w:pPr>
          </w:p>
        </w:tc>
        <w:tc>
          <w:tcPr>
            <w:tcW w:w="7200" w:type="dxa"/>
            <w:vAlign w:val="bottom"/>
            <w:gridSpan w:val="10"/>
            <w:vMerge w:val="continue"/>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2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balance sheets (unaudited) at June 30, 2006 and December 31, 2005</w:t>
              </w:r>
            </w:hyperlink>
          </w:p>
        </w:tc>
        <w:tc>
          <w:tcPr>
            <w:tcW w:w="4280" w:type="dxa"/>
            <w:vAlign w:val="bottom"/>
            <w:gridSpan w:val="6"/>
          </w:tcPr>
          <w:p>
            <w:pPr>
              <w:spacing w:after="0"/>
              <w:rPr>
                <w:sz w:val="24"/>
                <w:szCs w:val="24"/>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6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statements of operations (unaudited) for the three and six months ended June 30, 2006 and 2005</w:t>
              </w:r>
            </w:hyperlink>
          </w:p>
        </w:tc>
        <w:tc>
          <w:tcPr>
            <w:tcW w:w="2260" w:type="dxa"/>
            <w:vAlign w:val="bottom"/>
          </w:tcPr>
          <w:p>
            <w:pPr>
              <w:spacing w:after="0"/>
              <w:rPr>
                <w:sz w:val="24"/>
                <w:szCs w:val="24"/>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statement of stockholders’ equity (unaudited) for the six months ended June 30, 2006</w:t>
              </w:r>
            </w:hyperlink>
          </w:p>
        </w:tc>
        <w:tc>
          <w:tcPr>
            <w:tcW w:w="3040" w:type="dxa"/>
            <w:vAlign w:val="bottom"/>
            <w:gridSpan w:val="4"/>
          </w:tcPr>
          <w:p>
            <w:pPr>
              <w:spacing w:after="0"/>
              <w:rPr>
                <w:sz w:val="24"/>
                <w:szCs w:val="24"/>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statements of cash flows (unaudited) for the six months ended June 30, 2006 and 2005</w:t>
              </w:r>
            </w:hyperlink>
          </w:p>
        </w:tc>
        <w:tc>
          <w:tcPr>
            <w:tcW w:w="2960" w:type="dxa"/>
            <w:vAlign w:val="bottom"/>
            <w:gridSpan w:val="2"/>
          </w:tcPr>
          <w:p>
            <w:pPr>
              <w:spacing w:after="0"/>
              <w:rPr>
                <w:sz w:val="24"/>
                <w:szCs w:val="24"/>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financial statements (unaudited)</w:t>
              </w:r>
            </w:hyperlink>
          </w:p>
        </w:tc>
        <w:tc>
          <w:tcPr>
            <w:tcW w:w="6260" w:type="dxa"/>
            <w:vAlign w:val="bottom"/>
            <w:gridSpan w:val="9"/>
          </w:tcPr>
          <w:p>
            <w:pPr>
              <w:spacing w:after="0"/>
              <w:rPr>
                <w:sz w:val="24"/>
                <w:szCs w:val="24"/>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412"/>
        </w:trPr>
        <w:tc>
          <w:tcPr>
            <w:tcW w:w="698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2 Management’s Discussion and Analysis of Financial Condition and Results of Operations</w:t>
              </w:r>
            </w:hyperlink>
          </w:p>
        </w:tc>
        <w:tc>
          <w:tcPr>
            <w:tcW w:w="3260" w:type="dxa"/>
            <w:vAlign w:val="bottom"/>
            <w:gridSpan w:val="5"/>
          </w:tcPr>
          <w:p>
            <w:pPr>
              <w:spacing w:after="0"/>
              <w:rPr>
                <w:sz w:val="24"/>
                <w:szCs w:val="24"/>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412"/>
        </w:trPr>
        <w:tc>
          <w:tcPr>
            <w:tcW w:w="1024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3 Quantitative &amp; Qualitative Disclosure About Market Risk</w:t>
              </w:r>
            </w:hyperlink>
          </w:p>
        </w:tc>
        <w:tc>
          <w:tcPr>
            <w:tcW w:w="1180" w:type="dxa"/>
            <w:vAlign w:val="bottom"/>
          </w:tcPr>
          <w:p>
            <w:pPr>
              <w:jc w:val="right"/>
              <w:ind w:right="29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gridSpan w:val="3"/>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Item 4</w:t>
              </w:r>
            </w:hyperlink>
          </w:p>
        </w:tc>
        <w:tc>
          <w:tcPr>
            <w:tcW w:w="4180" w:type="dxa"/>
            <w:vAlign w:val="bottom"/>
            <w:tcBorders>
              <w:top w:val="single" w:sz="8" w:color="0000EE"/>
            </w:tcBorders>
            <w:gridSpan w:val="11"/>
          </w:tcPr>
          <w:p>
            <w:pPr>
              <w:ind w:left="20"/>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5560" w:type="dxa"/>
            <w:vAlign w:val="bottom"/>
            <w:gridSpan w:val="7"/>
          </w:tcPr>
          <w:p>
            <w:pPr>
              <w:spacing w:after="0"/>
              <w:rPr>
                <w:sz w:val="24"/>
                <w:szCs w:val="24"/>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40" w:type="dxa"/>
            <w:vAlign w:val="bottom"/>
            <w:gridSpan w:val="21"/>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OTHER INFORMATION</w:t>
              </w:r>
            </w:hyperlink>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Item 1</w:t>
              </w:r>
            </w:hyperlink>
          </w:p>
        </w:tc>
        <w:tc>
          <w:tcPr>
            <w:tcW w:w="136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860" w:type="dxa"/>
            <w:vAlign w:val="bottom"/>
            <w:tcBorders>
              <w:top w:val="single" w:sz="8" w:color="0000EE"/>
            </w:tcBorders>
            <w:gridSpan w:val="3"/>
          </w:tcPr>
          <w:p>
            <w:pPr>
              <w:spacing w:after="0"/>
              <w:rPr>
                <w:sz w:val="24"/>
                <w:szCs w:val="24"/>
                <w:color w:val="auto"/>
              </w:rPr>
            </w:pPr>
          </w:p>
        </w:tc>
        <w:tc>
          <w:tcPr>
            <w:tcW w:w="7520" w:type="dxa"/>
            <w:vAlign w:val="bottom"/>
            <w:gridSpan w:val="11"/>
          </w:tcPr>
          <w:p>
            <w:pPr>
              <w:spacing w:after="0"/>
              <w:rPr>
                <w:sz w:val="24"/>
                <w:szCs w:val="24"/>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15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Item 1A Risk Factors</w:t>
              </w:r>
            </w:hyperlink>
          </w:p>
        </w:tc>
        <w:tc>
          <w:tcPr>
            <w:tcW w:w="8680" w:type="dxa"/>
            <w:vAlign w:val="bottom"/>
            <w:gridSpan w:val="16"/>
          </w:tcPr>
          <w:p>
            <w:pPr>
              <w:spacing w:after="0"/>
              <w:rPr>
                <w:sz w:val="24"/>
                <w:szCs w:val="24"/>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412"/>
        </w:trPr>
        <w:tc>
          <w:tcPr>
            <w:tcW w:w="500" w:type="dxa"/>
            <w:vAlign w:val="bottom"/>
            <w:gridSpan w:val="3"/>
          </w:tcPr>
          <w:p>
            <w:pPr>
              <w:spacing w:after="0"/>
              <w:rPr>
                <w:rFonts w:ascii="Arial" w:cs="Arial" w:eastAsia="Arial" w:hAnsi="Arial"/>
                <w:sz w:val="18"/>
                <w:szCs w:val="18"/>
                <w:color w:val="0000EE"/>
                <w:w w:val="95"/>
              </w:rPr>
            </w:pPr>
            <w:hyperlink w:anchor="page53">
              <w:r>
                <w:rPr>
                  <w:rFonts w:ascii="Arial" w:cs="Arial" w:eastAsia="Arial" w:hAnsi="Arial"/>
                  <w:sz w:val="18"/>
                  <w:szCs w:val="18"/>
                  <w:color w:val="0000EE"/>
                  <w:w w:val="95"/>
                </w:rPr>
                <w:t>Item 4</w:t>
              </w:r>
            </w:hyperlink>
          </w:p>
        </w:tc>
        <w:tc>
          <w:tcPr>
            <w:tcW w:w="9740" w:type="dxa"/>
            <w:vAlign w:val="bottom"/>
            <w:gridSpan w:val="18"/>
          </w:tcPr>
          <w:p>
            <w:pPr>
              <w:ind w:left="20"/>
              <w:spacing w:after="0"/>
              <w:rPr>
                <w:rFonts w:ascii="Arial" w:cs="Arial" w:eastAsia="Arial" w:hAnsi="Arial"/>
                <w:sz w:val="18"/>
                <w:szCs w:val="18"/>
                <w:color w:val="0000EE"/>
              </w:rPr>
            </w:pPr>
            <w:hyperlink w:anchor="page53">
              <w:r>
                <w:rPr>
                  <w:rFonts w:ascii="Arial" w:cs="Arial" w:eastAsia="Arial" w:hAnsi="Arial"/>
                  <w:sz w:val="18"/>
                  <w:szCs w:val="18"/>
                  <w:color w:val="0000EE"/>
                </w:rPr>
                <w:t>Submission of Matters to a Vote of Security Holders</w:t>
              </w:r>
            </w:hyperlink>
          </w:p>
        </w:tc>
        <w:tc>
          <w:tcPr>
            <w:tcW w:w="1180" w:type="dxa"/>
            <w:vAlign w:val="bottom"/>
          </w:tcPr>
          <w:p>
            <w:pPr>
              <w:jc w:val="right"/>
              <w:ind w:right="29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Item 6</w:t>
              </w:r>
            </w:hyperlink>
          </w:p>
        </w:tc>
        <w:tc>
          <w:tcPr>
            <w:tcW w:w="620" w:type="dxa"/>
            <w:vAlign w:val="bottom"/>
            <w:tcBorders>
              <w:top w:val="single" w:sz="8" w:color="0000EE"/>
              <w:bottom w:val="single" w:sz="8" w:color="0000EE"/>
            </w:tcBorders>
          </w:tcPr>
          <w:p>
            <w:pPr>
              <w:ind w:left="20"/>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Exhibits</w:t>
              </w:r>
            </w:hyperlink>
          </w:p>
        </w:tc>
        <w:tc>
          <w:tcPr>
            <w:tcW w:w="3160" w:type="dxa"/>
            <w:vAlign w:val="bottom"/>
            <w:tcBorders>
              <w:top w:val="single" w:sz="8" w:color="0000EE"/>
            </w:tcBorders>
            <w:gridSpan w:val="9"/>
          </w:tcPr>
          <w:p>
            <w:pPr>
              <w:spacing w:after="0"/>
              <w:rPr>
                <w:sz w:val="24"/>
                <w:szCs w:val="24"/>
                <w:color w:val="auto"/>
              </w:rPr>
            </w:pPr>
          </w:p>
        </w:tc>
        <w:tc>
          <w:tcPr>
            <w:tcW w:w="5960" w:type="dxa"/>
            <w:vAlign w:val="bottom"/>
            <w:gridSpan w:val="8"/>
          </w:tcPr>
          <w:p>
            <w:pPr>
              <w:spacing w:after="0"/>
              <w:rPr>
                <w:sz w:val="24"/>
                <w:szCs w:val="24"/>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6"/>
          </w:tcPr>
          <w:p>
            <w:pPr>
              <w:spacing w:after="0"/>
              <w:rPr>
                <w:rFonts w:ascii="Arial" w:cs="Arial" w:eastAsia="Arial" w:hAnsi="Arial"/>
                <w:sz w:val="18"/>
                <w:szCs w:val="18"/>
                <w:b w:val="1"/>
                <w:bCs w:val="1"/>
                <w:color w:val="0000EE"/>
                <w:w w:val="97"/>
              </w:rPr>
            </w:pPr>
            <w:hyperlink w:anchor="page55">
              <w:r>
                <w:rPr>
                  <w:rFonts w:ascii="Arial" w:cs="Arial" w:eastAsia="Arial" w:hAnsi="Arial"/>
                  <w:sz w:val="18"/>
                  <w:szCs w:val="18"/>
                  <w:b w:val="1"/>
                  <w:bCs w:val="1"/>
                  <w:color w:val="0000EE"/>
                  <w:w w:val="97"/>
                </w:rPr>
                <w:t>SIGNATURE PAGE</w:t>
              </w:r>
            </w:hyperlink>
          </w:p>
        </w:tc>
        <w:tc>
          <w:tcPr>
            <w:tcW w:w="8640" w:type="dxa"/>
            <w:vAlign w:val="bottom"/>
            <w:gridSpan w:val="15"/>
          </w:tcPr>
          <w:p>
            <w:pPr>
              <w:spacing w:after="0"/>
              <w:rPr>
                <w:sz w:val="24"/>
                <w:szCs w:val="24"/>
                <w:color w:val="auto"/>
              </w:rPr>
            </w:pPr>
          </w:p>
        </w:tc>
        <w:tc>
          <w:tcPr>
            <w:tcW w:w="1180" w:type="dxa"/>
            <w:vAlign w:val="bottom"/>
          </w:tcPr>
          <w:p>
            <w:pPr>
              <w:jc w:val="right"/>
              <w:ind w:right="29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718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2"/>
              </w:rPr>
              <w:t>EX-12.1: STATEMENT RE: COMPUTATION OF EARNINGS TO COMBINED FIXED CHARGES</w:t>
            </w:r>
          </w:p>
        </w:tc>
        <w:tc>
          <w:tcPr>
            <w:tcW w:w="3000" w:type="dxa"/>
            <w:vAlign w:val="bottom"/>
            <w:gridSpan w:val="3"/>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CERTIFICATION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JUNE 30, 2006 AND DECEMBER 31, 2005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2006</w:t>
            </w: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ind w:left="40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114,960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158,616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114,037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12,141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3,211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2,128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291,056</w:t>
            </w:r>
          </w:p>
        </w:tc>
        <w:tc>
          <w:tcPr>
            <w:tcW w:w="8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30,507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160" w:type="dxa"/>
            <w:vAlign w:val="bottom"/>
          </w:tcPr>
          <w:p>
            <w:pPr>
              <w:spacing w:after="0"/>
              <w:rPr>
                <w:sz w:val="18"/>
                <w:szCs w:val="18"/>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53,854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2,915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378,332</w:t>
            </w:r>
          </w:p>
        </w:tc>
        <w:tc>
          <w:tcPr>
            <w:tcW w:w="8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5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16,466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Deferred revenue, current portion</w:t>
            </w:r>
          </w:p>
        </w:tc>
        <w:tc>
          <w:tcPr>
            <w:tcW w:w="160" w:type="dxa"/>
            <w:vAlign w:val="bottom"/>
          </w:tcPr>
          <w:p>
            <w:pPr>
              <w:spacing w:after="0"/>
              <w:rPr>
                <w:sz w:val="18"/>
                <w:szCs w:val="18"/>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15,042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31,508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40,357</w:t>
            </w:r>
          </w:p>
        </w:tc>
        <w:tc>
          <w:tcPr>
            <w:tcW w:w="0" w:type="dxa"/>
            <w:vAlign w:val="bottom"/>
          </w:tcPr>
          <w:p>
            <w:pPr>
              <w:spacing w:after="0"/>
              <w:rPr>
                <w:sz w:val="1"/>
                <w:szCs w:val="1"/>
                <w:color w:val="auto"/>
              </w:rPr>
            </w:pP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4"/>
                <w:szCs w:val="24"/>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63,057</w:t>
            </w: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200,000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294,565</w:t>
            </w:r>
          </w:p>
        </w:tc>
        <w:tc>
          <w:tcPr>
            <w:tcW w:w="8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$.01 par value; 30,000,000 shares authorized; issued and outstanding-none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200"/>
              <w:spacing w:after="0" w:line="201" w:lineRule="exact"/>
              <w:rPr>
                <w:sz w:val="20"/>
                <w:szCs w:val="20"/>
                <w:color w:val="auto"/>
              </w:rPr>
            </w:pPr>
            <w:r>
              <w:rPr>
                <w:rFonts w:ascii="Arial" w:cs="Arial" w:eastAsia="Arial" w:hAnsi="Arial"/>
                <w:sz w:val="18"/>
                <w:szCs w:val="18"/>
                <w:color w:val="auto"/>
              </w:rPr>
              <w:t>Class A Stock, convertible, $.001 par value; 40,000,000 shares authorized;</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shares issued and outstanding - 2,296,928 in 2006 and 2,347,073 in 2005</w:t>
            </w:r>
          </w:p>
        </w:tc>
        <w:tc>
          <w:tcPr>
            <w:tcW w:w="160" w:type="dxa"/>
            <w:vAlign w:val="bottom"/>
          </w:tcPr>
          <w:p>
            <w:pPr>
              <w:spacing w:after="0"/>
              <w:rPr>
                <w:sz w:val="20"/>
                <w:szCs w:val="20"/>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$.001 par value; 160,000,000 shares authorized;</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and outstanding - 54,669,695 in 2006 and 54,092,268 in 2005</w:t>
            </w: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713,419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700,011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compensation</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(629,236)</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(585,280)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83,767</w:t>
            </w:r>
          </w:p>
        </w:tc>
        <w:tc>
          <w:tcPr>
            <w:tcW w:w="8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378,332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4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Pr>
          <w:p>
            <w:pPr>
              <w:spacing w:after="0"/>
              <w:rPr>
                <w:sz w:val="14"/>
                <w:szCs w:val="14"/>
                <w:color w:val="auto"/>
              </w:rPr>
            </w:pPr>
          </w:p>
        </w:tc>
        <w:tc>
          <w:tcPr>
            <w:tcW w:w="190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Contract research and development</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14,991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13,545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29,578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manufacturing</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16,366</w:t>
            </w: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34,398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40,642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66,482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76,554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manufacturing</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48,533</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6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(24,249)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(32,167)</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(45,912)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(60,507)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Other contract income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5,640</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(3,011)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(3,011)</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(6,022)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660" w:type="dxa"/>
            <w:vAlign w:val="bottom"/>
            <w:gridSpan w:val="2"/>
          </w:tcPr>
          <w:p>
            <w:pPr>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(23,576)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(26,999)</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(44,769)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(31,122)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 adopting Statement of Financial Accounting</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Standards No. 123R (“SFAS 123R”)</w:t>
            </w: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(23,576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(26,999</w:t>
            </w:r>
          </w:p>
        </w:tc>
        <w:tc>
          <w:tcPr>
            <w:tcW w:w="700" w:type="dxa"/>
            <w:vAlign w:val="bottom"/>
          </w:tcPr>
          <w:p>
            <w:pPr>
              <w:jc w:val="right"/>
              <w:ind w:right="560"/>
              <w:spacing w:after="0"/>
              <w:rPr>
                <w:sz w:val="20"/>
                <w:szCs w:val="20"/>
                <w:color w:val="auto"/>
              </w:rPr>
            </w:pPr>
            <w:r>
              <w:rPr>
                <w:rFonts w:ascii="Arial" w:cs="Arial" w:eastAsia="Arial" w:hAnsi="Arial"/>
                <w:sz w:val="16"/>
                <w:szCs w:val="16"/>
                <w:color w:val="auto"/>
                <w:w w:val="74"/>
              </w:rPr>
              <w:t>)</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(43,956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(31,122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amounts, basic and diluted:</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tcPr>
          <w:p>
            <w:pPr>
              <w:ind w:left="200"/>
              <w:spacing w:after="0" w:line="201" w:lineRule="exact"/>
              <w:rPr>
                <w:sz w:val="20"/>
                <w:szCs w:val="20"/>
                <w:color w:val="auto"/>
              </w:rPr>
            </w:pPr>
            <w:r>
              <w:rPr>
                <w:rFonts w:ascii="Arial" w:cs="Arial" w:eastAsia="Arial" w:hAnsi="Arial"/>
                <w:sz w:val="18"/>
                <w:szCs w:val="18"/>
                <w:color w:val="auto"/>
              </w:rPr>
              <w:t>Net loss before cumulative effect of a change in accounting</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400"/>
              <w:spacing w:after="0"/>
              <w:rPr>
                <w:sz w:val="20"/>
                <w:szCs w:val="20"/>
                <w:color w:val="auto"/>
              </w:rPr>
            </w:pPr>
            <w:r>
              <w:rPr>
                <w:rFonts w:ascii="Arial" w:cs="Arial" w:eastAsia="Arial" w:hAnsi="Arial"/>
                <w:sz w:val="18"/>
                <w:szCs w:val="18"/>
                <w:color w:val="auto"/>
              </w:rPr>
              <w:t>principle</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(0.48)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adopting SFAS 123R</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700" w:type="dxa"/>
            <w:vAlign w:val="bottom"/>
          </w:tcPr>
          <w:p>
            <w:pPr>
              <w:jc w:val="right"/>
              <w:ind w:right="560"/>
              <w:spacing w:after="0"/>
              <w:rPr>
                <w:sz w:val="20"/>
                <w:szCs w:val="20"/>
                <w:color w:val="auto"/>
              </w:rPr>
            </w:pPr>
            <w:r>
              <w:rPr>
                <w:rFonts w:ascii="Arial" w:cs="Arial" w:eastAsia="Arial" w:hAnsi="Arial"/>
                <w:sz w:val="16"/>
                <w:szCs w:val="16"/>
                <w:color w:val="auto"/>
                <w:w w:val="74"/>
              </w:rPr>
              <w:t>)</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55,917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55,866</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vMerge w:val="restart"/>
          </w:tcPr>
          <w:p>
            <w:pPr>
              <w:jc w:val="center"/>
              <w:ind w:right="234"/>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Class A Stock</w:t>
            </w:r>
          </w:p>
        </w:tc>
        <w:tc>
          <w:tcPr>
            <w:tcW w:w="80" w:type="dxa"/>
            <w:vAlign w:val="bottom"/>
          </w:tcPr>
          <w:p>
            <w:pPr>
              <w:spacing w:after="0"/>
              <w:rPr>
                <w:sz w:val="14"/>
                <w:szCs w:val="14"/>
                <w:color w:val="auto"/>
              </w:rPr>
            </w:pPr>
          </w:p>
        </w:tc>
        <w:tc>
          <w:tcPr>
            <w:tcW w:w="1400" w:type="dxa"/>
            <w:vAlign w:val="bottom"/>
            <w:gridSpan w:val="3"/>
            <w:vMerge w:val="restart"/>
          </w:tcPr>
          <w:p>
            <w:pPr>
              <w:jc w:val="right"/>
              <w:ind w:right="1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Borders>
              <w:bottom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Borders>
              <w:bottom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3"/>
                <w:szCs w:val="13"/>
                <w:color w:val="auto"/>
              </w:rPr>
            </w:pPr>
          </w:p>
        </w:tc>
        <w:tc>
          <w:tcPr>
            <w:tcW w:w="1040" w:type="dxa"/>
            <w:vAlign w:val="bottom"/>
          </w:tcPr>
          <w:p>
            <w:pPr>
              <w:jc w:val="right"/>
              <w:ind w:right="142"/>
              <w:spacing w:after="0" w:line="158" w:lineRule="exact"/>
              <w:rPr>
                <w:sz w:val="20"/>
                <w:szCs w:val="20"/>
                <w:color w:val="auto"/>
              </w:rPr>
            </w:pPr>
            <w:r>
              <w:rPr>
                <w:rFonts w:ascii="Arial" w:cs="Arial" w:eastAsia="Arial" w:hAnsi="Arial"/>
                <w:sz w:val="14"/>
                <w:szCs w:val="14"/>
                <w:b w:val="1"/>
                <w:bCs w:val="1"/>
                <w:color w:val="auto"/>
              </w:rPr>
              <w:t>Unearned</w:t>
            </w:r>
          </w:p>
        </w:tc>
        <w:tc>
          <w:tcPr>
            <w:tcW w:w="80" w:type="dxa"/>
            <w:vAlign w:val="bottom"/>
          </w:tcPr>
          <w:p>
            <w:pPr>
              <w:spacing w:after="0"/>
              <w:rPr>
                <w:sz w:val="13"/>
                <w:szCs w:val="13"/>
                <w:color w:val="auto"/>
              </w:rPr>
            </w:pPr>
          </w:p>
        </w:tc>
        <w:tc>
          <w:tcPr>
            <w:tcW w:w="130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3"/>
                <w:szCs w:val="13"/>
                <w:color w:val="auto"/>
              </w:rPr>
            </w:pPr>
          </w:p>
        </w:tc>
        <w:tc>
          <w:tcPr>
            <w:tcW w:w="12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Stockholders’</w:t>
            </w:r>
          </w:p>
        </w:tc>
        <w:tc>
          <w:tcPr>
            <w:tcW w:w="100" w:type="dxa"/>
            <w:vAlign w:val="bottom"/>
          </w:tcPr>
          <w:p>
            <w:pPr>
              <w:spacing w:after="0"/>
              <w:rPr>
                <w:sz w:val="13"/>
                <w:szCs w:val="13"/>
                <w:color w:val="auto"/>
              </w:rPr>
            </w:pPr>
          </w:p>
        </w:tc>
        <w:tc>
          <w:tcPr>
            <w:tcW w:w="132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Compensation</w:t>
            </w:r>
          </w:p>
        </w:tc>
        <w:tc>
          <w:tcPr>
            <w:tcW w:w="80" w:type="dxa"/>
            <w:vAlign w:val="bottom"/>
          </w:tcPr>
          <w:p>
            <w:pPr>
              <w:spacing w:after="0"/>
              <w:rPr>
                <w:sz w:val="12"/>
                <w:szCs w:val="12"/>
                <w:color w:val="auto"/>
              </w:rPr>
            </w:pPr>
          </w:p>
        </w:tc>
        <w:tc>
          <w:tcPr>
            <w:tcW w:w="13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254"/>
              <w:spacing w:after="0" w:line="142"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2"/>
                <w:szCs w:val="12"/>
                <w:color w:val="auto"/>
              </w:rPr>
            </w:pPr>
          </w:p>
        </w:tc>
        <w:tc>
          <w:tcPr>
            <w:tcW w:w="132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97"/>
              </w:rPr>
              <w:t>December 31,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6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54,092</w:t>
            </w: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$54</w:t>
            </w: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$700,011</w:t>
            </w:r>
          </w:p>
        </w:tc>
        <w:tc>
          <w:tcPr>
            <w:tcW w:w="114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$(315)</w:t>
            </w:r>
          </w:p>
        </w:tc>
        <w:tc>
          <w:tcPr>
            <w:tcW w:w="13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$(585,280)</w:t>
            </w:r>
          </w:p>
        </w:tc>
        <w:tc>
          <w:tcPr>
            <w:tcW w:w="12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$(470)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6"/>
              </w:rPr>
              <w:t>114,002</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Common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Stock in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connection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with exercise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of stock</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options, net of</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tendered</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8"/>
                <w:szCs w:val="18"/>
                <w:color w:val="auto"/>
              </w:rPr>
              <w:t>409</w:t>
            </w:r>
          </w:p>
        </w:tc>
        <w:tc>
          <w:tcPr>
            <w:tcW w:w="720" w:type="dxa"/>
            <w:vAlign w:val="bottom"/>
            <w:gridSpan w:val="2"/>
          </w:tcPr>
          <w:p>
            <w:pPr>
              <w:jc w:val="right"/>
              <w:ind w:right="148"/>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28"/>
              <w:spacing w:after="0"/>
              <w:rPr>
                <w:sz w:val="20"/>
                <w:szCs w:val="20"/>
                <w:color w:val="auto"/>
              </w:rPr>
            </w:pPr>
            <w:r>
              <w:rPr>
                <w:rFonts w:ascii="Arial" w:cs="Arial" w:eastAsia="Arial" w:hAnsi="Arial"/>
                <w:sz w:val="18"/>
                <w:szCs w:val="18"/>
                <w:color w:val="auto"/>
              </w:rPr>
              <w:t>3,812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54"/>
              <w:spacing w:after="0"/>
              <w:rPr>
                <w:sz w:val="20"/>
                <w:szCs w:val="20"/>
                <w:color w:val="auto"/>
              </w:rPr>
            </w:pPr>
            <w:r>
              <w:rPr>
                <w:rFonts w:ascii="Arial" w:cs="Arial" w:eastAsia="Arial" w:hAnsi="Arial"/>
                <w:sz w:val="18"/>
                <w:szCs w:val="18"/>
                <w:color w:val="auto"/>
              </w:rPr>
              <w:t>3,813</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in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connection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with Company</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401(k)</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Plan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contribution</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Conversion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Class A Stock</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to Common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Stock</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Forfeitures of</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under</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Incentive Plan</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expense</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8"/>
                <w:szCs w:val="18"/>
                <w:color w:val="auto"/>
              </w:rPr>
              <w:t>8,840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54"/>
              <w:spacing w:after="0"/>
              <w:rPr>
                <w:sz w:val="20"/>
                <w:szCs w:val="20"/>
                <w:color w:val="auto"/>
              </w:rPr>
            </w:pPr>
            <w:r>
              <w:rPr>
                <w:rFonts w:ascii="Arial" w:cs="Arial" w:eastAsia="Arial" w:hAnsi="Arial"/>
                <w:sz w:val="18"/>
                <w:szCs w:val="18"/>
                <w:color w:val="auto"/>
              </w:rPr>
              <w:t>8,840</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to</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reduce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upon adoption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of SFAS 123R</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14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w w:val="96"/>
              </w:rPr>
              <w:t>Cumulative effect</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of adopting</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SFAS 123R</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94"/>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(43,956)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2"/>
              </w:rPr>
              <w:t>(43,956)</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$(43,956)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Change in net</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w w:val="94"/>
              </w:rPr>
              <w:t>unrealized loss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w w:val="99"/>
              </w:rPr>
              <w:t>on marketable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w:t>
            </w:r>
          </w:p>
        </w:tc>
        <w:tc>
          <w:tcPr>
            <w:tcW w:w="142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97"/>
              </w:rPr>
              <w:t>June 30, 2006</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620" w:type="dxa"/>
            <w:vAlign w:val="bottom"/>
            <w:tcBorders>
              <w:bottom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w:t>
            </w:r>
          </w:p>
        </w:tc>
        <w:tc>
          <w:tcPr>
            <w:tcW w:w="76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54,670</w:t>
            </w:r>
          </w:p>
        </w:tc>
        <w:tc>
          <w:tcPr>
            <w:tcW w:w="720" w:type="dxa"/>
            <w:vAlign w:val="bottom"/>
            <w:tcBorders>
              <w:bottom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$55</w:t>
            </w:r>
          </w:p>
        </w:tc>
        <w:tc>
          <w:tcPr>
            <w:tcW w:w="90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$713,419</w:t>
            </w: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$(629,236)</w:t>
            </w:r>
          </w:p>
        </w:tc>
        <w:tc>
          <w:tcPr>
            <w:tcW w:w="1200" w:type="dxa"/>
            <w:vAlign w:val="bottom"/>
            <w:tcBorders>
              <w:bottom w:val="single" w:sz="8" w:color="auto"/>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$(473)</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83,767</w:t>
            </w:r>
          </w:p>
        </w:tc>
        <w:tc>
          <w:tcPr>
            <w:tcW w:w="1420" w:type="dxa"/>
            <w:vAlign w:val="bottom"/>
            <w:tcBorders>
              <w:bottom w:val="single" w:sz="8" w:color="auto"/>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$(43,959)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ectPr>
          <w:pgSz w:w="11900" w:h="16838" w:orient="portrait"/>
          <w:cols w:equalWidth="0" w:num="1">
            <w:col w:w="11420"/>
          </w:cols>
          <w:pgMar w:left="240" w:top="419" w:right="239"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(43,956)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compensation expense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00"/>
              <w:spacing w:after="0"/>
              <w:rPr>
                <w:sz w:val="20"/>
                <w:szCs w:val="20"/>
                <w:color w:val="auto"/>
              </w:rPr>
            </w:pPr>
            <w:r>
              <w:rPr>
                <w:rFonts w:ascii="Arial" w:cs="Arial" w:eastAsia="Arial" w:hAnsi="Arial"/>
                <w:sz w:val="18"/>
                <w:szCs w:val="18"/>
                <w:color w:val="auto"/>
              </w:rPr>
              <w:t>Cumulative effect of a change in accounting principle</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(813)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600"/>
              <w:spacing w:after="0"/>
              <w:rPr>
                <w:sz w:val="20"/>
                <w:szCs w:val="20"/>
                <w:color w:val="auto"/>
              </w:rPr>
            </w:pPr>
            <w:r>
              <w:rPr>
                <w:rFonts w:ascii="Arial" w:cs="Arial" w:eastAsia="Arial" w:hAnsi="Arial"/>
                <w:sz w:val="18"/>
                <w:szCs w:val="18"/>
                <w:color w:val="auto"/>
              </w:rPr>
              <w:t>Decrease in accounts receivable</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24,380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(increase) in prepaid expenses and other assets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600"/>
              <w:spacing w:after="0"/>
              <w:rPr>
                <w:sz w:val="20"/>
                <w:szCs w:val="20"/>
                <w:color w:val="auto"/>
              </w:rPr>
            </w:pPr>
            <w:r>
              <w:rPr>
                <w:rFonts w:ascii="Arial" w:cs="Arial" w:eastAsia="Arial" w:hAnsi="Arial"/>
                <w:sz w:val="18"/>
                <w:szCs w:val="18"/>
                <w:color w:val="auto"/>
              </w:rPr>
              <w:t>Decrease in inventory</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 deferred revenue</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600"/>
              <w:spacing w:after="0"/>
              <w:rPr>
                <w:sz w:val="20"/>
                <w:szCs w:val="20"/>
                <w:color w:val="auto"/>
              </w:rPr>
            </w:pPr>
            <w:r>
              <w:rPr>
                <w:rFonts w:ascii="Arial" w:cs="Arial" w:eastAsia="Arial" w:hAnsi="Arial"/>
                <w:sz w:val="18"/>
                <w:szCs w:val="18"/>
                <w:color w:val="auto"/>
              </w:rPr>
              <w:t>Decrease in accounts payable, accrued expenses, and other liabilities</w:t>
            </w:r>
          </w:p>
        </w:tc>
        <w:tc>
          <w:tcPr>
            <w:tcW w:w="12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(5,118)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adjustments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800"/>
              <w:spacing w:after="0"/>
              <w:rPr>
                <w:sz w:val="20"/>
                <w:szCs w:val="20"/>
                <w:color w:val="auto"/>
              </w:rPr>
            </w:pPr>
            <w:r>
              <w:rPr>
                <w:rFonts w:ascii="Arial" w:cs="Arial" w:eastAsia="Arial" w:hAnsi="Arial"/>
                <w:sz w:val="18"/>
                <w:szCs w:val="18"/>
                <w:color w:val="auto"/>
              </w:rPr>
              <w:t>Net cash (used in) provided by operating activities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(152,660)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or maturities of marketable securities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(986)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provided by investing activities</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(58,354)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44,391</w:t>
            </w:r>
          </w:p>
        </w:tc>
        <w:tc>
          <w:tcPr>
            <w:tcW w:w="0" w:type="dxa"/>
            <w:vAlign w:val="bottom"/>
          </w:tcPr>
          <w:p>
            <w:pPr>
              <w:spacing w:after="0"/>
              <w:rPr>
                <w:sz w:val="1"/>
                <w:szCs w:val="1"/>
                <w:color w:val="auto"/>
              </w:rPr>
            </w:pPr>
          </w:p>
        </w:tc>
      </w:tr>
      <w:tr>
        <w:trPr>
          <w:trHeight w:val="439"/>
        </w:trPr>
        <w:tc>
          <w:tcPr>
            <w:tcW w:w="94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the issuance of stock</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42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tcPr>
          <w:p>
            <w:pPr>
              <w:spacing w:after="0"/>
              <w:rPr>
                <w:sz w:val="24"/>
                <w:szCs w:val="2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(69,548)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49,972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4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114,960</w:t>
            </w:r>
          </w:p>
        </w:tc>
        <w:tc>
          <w:tcPr>
            <w:tcW w:w="16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145,201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21"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2005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 Share Data</w:t>
      </w:r>
    </w:p>
    <w:p>
      <w:pPr>
        <w:spacing w:after="0" w:line="121"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Company’s basic and diluted net loss per share amounts have been computed by dividing net loss by the weighted average number of shares of Common Stock and Class A Stock outstanding. For the three and six months ended June 30, 2006 and 2005, the Company reported net losses and, therefore, no common stock equivalents were included in the computation of diluted net loss per share for these periods, since such inclusion would have been antidilutive. The calculations of basic and diluted net loss per share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color w:val="auto"/>
              </w:rPr>
              <w:t>2006</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3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9"/>
              </w:rPr>
              <w:t>(23,576)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(26,999)</w:t>
            </w:r>
          </w:p>
        </w:tc>
        <w:tc>
          <w:tcPr>
            <w:tcW w:w="0" w:type="dxa"/>
            <w:vAlign w:val="bottom"/>
          </w:tcPr>
          <w:p>
            <w:pPr>
              <w:spacing w:after="0"/>
              <w:rPr>
                <w:sz w:val="1"/>
                <w:szCs w:val="1"/>
                <w:color w:val="auto"/>
              </w:rPr>
            </w:pP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Weighted-average shares, in thousands (Denominator)</w:t>
            </w:r>
          </w:p>
        </w:tc>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257"/>
              <w:spacing w:after="0"/>
              <w:rPr>
                <w:sz w:val="20"/>
                <w:szCs w:val="20"/>
                <w:color w:val="auto"/>
              </w:rPr>
            </w:pPr>
            <w:r>
              <w:rPr>
                <w:rFonts w:ascii="Arial" w:cs="Arial" w:eastAsia="Arial" w:hAnsi="Arial"/>
                <w:sz w:val="18"/>
                <w:szCs w:val="18"/>
                <w:color w:val="auto"/>
                <w:w w:val="98"/>
              </w:rPr>
              <w:t>56,915</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55,917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560" w:type="dxa"/>
            <w:vAlign w:val="bottom"/>
          </w:tcPr>
          <w:p>
            <w:pPr>
              <w:jc w:val="right"/>
              <w:ind w:right="251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color w:val="auto"/>
              </w:rPr>
              <w:t>2006</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9"/>
              </w:rPr>
              <w:t>(43,956)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(31,122)</w:t>
            </w:r>
          </w:p>
        </w:tc>
        <w:tc>
          <w:tcPr>
            <w:tcW w:w="0" w:type="dxa"/>
            <w:vAlign w:val="bottom"/>
          </w:tcPr>
          <w:p>
            <w:pPr>
              <w:spacing w:after="0"/>
              <w:rPr>
                <w:sz w:val="1"/>
                <w:szCs w:val="1"/>
                <w:color w:val="auto"/>
              </w:rPr>
            </w:pPr>
          </w:p>
        </w:tc>
      </w:tr>
      <w:tr>
        <w:trPr>
          <w:trHeight w:val="432"/>
        </w:trPr>
        <w:tc>
          <w:tcPr>
            <w:tcW w:w="8380" w:type="dxa"/>
            <w:vAlign w:val="bottom"/>
            <w:gridSpan w:val="2"/>
          </w:tcPr>
          <w:p>
            <w:pPr>
              <w:spacing w:after="0"/>
              <w:rPr>
                <w:sz w:val="20"/>
                <w:szCs w:val="20"/>
                <w:color w:val="auto"/>
              </w:rPr>
            </w:pPr>
            <w:r>
              <w:rPr>
                <w:rFonts w:ascii="Arial" w:cs="Arial" w:eastAsia="Arial" w:hAnsi="Arial"/>
                <w:sz w:val="18"/>
                <w:szCs w:val="18"/>
                <w:color w:val="auto"/>
              </w:rPr>
              <w:t>Weighted-average shares, in thousands (Denominator)</w:t>
            </w:r>
          </w:p>
        </w:tc>
        <w:tc>
          <w:tcPr>
            <w:tcW w:w="340" w:type="dxa"/>
            <w:vAlign w:val="bottom"/>
          </w:tcPr>
          <w:p>
            <w:pPr>
              <w:spacing w:after="0"/>
              <w:rPr>
                <w:sz w:val="24"/>
                <w:szCs w:val="24"/>
                <w:color w:val="auto"/>
              </w:rPr>
            </w:pPr>
          </w:p>
        </w:tc>
        <w:tc>
          <w:tcPr>
            <w:tcW w:w="900" w:type="dxa"/>
            <w:vAlign w:val="bottom"/>
          </w:tcPr>
          <w:p>
            <w:pPr>
              <w:jc w:val="right"/>
              <w:ind w:right="257"/>
              <w:spacing w:after="0"/>
              <w:rPr>
                <w:sz w:val="20"/>
                <w:szCs w:val="20"/>
                <w:color w:val="auto"/>
              </w:rPr>
            </w:pPr>
            <w:r>
              <w:rPr>
                <w:rFonts w:ascii="Arial" w:cs="Arial" w:eastAsia="Arial" w:hAnsi="Arial"/>
                <w:sz w:val="18"/>
                <w:szCs w:val="18"/>
                <w:color w:val="auto"/>
                <w:w w:val="98"/>
              </w:rPr>
              <w:t>56,821</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55,866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Shares issuable upon the exercise of stock options, vesting of restricted stock awards, and conversion of convertible debt, which have been excluded from the June 30, 2006 and 2005 diluted per share amounts because their effect would have been antidilutive, include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533"/>
              <w:spacing w:after="0"/>
              <w:rPr>
                <w:sz w:val="20"/>
                <w:szCs w:val="20"/>
                <w:color w:val="auto"/>
              </w:rPr>
            </w:pPr>
            <w:r>
              <w:rPr>
                <w:rFonts w:ascii="Arial" w:cs="Arial" w:eastAsia="Arial" w:hAnsi="Arial"/>
                <w:sz w:val="14"/>
                <w:szCs w:val="14"/>
                <w:color w:val="auto"/>
              </w:rPr>
              <w:t>Three months ended June 30,</w:t>
            </w:r>
          </w:p>
        </w:tc>
      </w:tr>
      <w:tr>
        <w:trPr>
          <w:trHeight w:val="142"/>
        </w:trPr>
        <w:tc>
          <w:tcPr>
            <w:tcW w:w="43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2006</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2005</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Weighted average number, in thousands</w:t>
            </w:r>
          </w:p>
        </w:tc>
        <w:tc>
          <w:tcPr>
            <w:tcW w:w="5300" w:type="dxa"/>
            <w:vAlign w:val="bottom"/>
            <w:gridSpan w:val="4"/>
          </w:tcPr>
          <w:p>
            <w:pPr>
              <w:jc w:val="right"/>
              <w:ind w:right="256"/>
              <w:spacing w:after="0"/>
              <w:rPr>
                <w:sz w:val="20"/>
                <w:szCs w:val="20"/>
                <w:color w:val="auto"/>
              </w:rPr>
            </w:pPr>
            <w:r>
              <w:rPr>
                <w:rFonts w:ascii="Arial" w:cs="Arial" w:eastAsia="Arial" w:hAnsi="Arial"/>
                <w:sz w:val="18"/>
                <w:szCs w:val="18"/>
                <w:color w:val="auto"/>
              </w:rPr>
              <w:t>14,181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3"/>
              <w:spacing w:after="0"/>
              <w:rPr>
                <w:sz w:val="20"/>
                <w:szCs w:val="20"/>
                <w:color w:val="auto"/>
              </w:rPr>
            </w:pPr>
            <w:r>
              <w:rPr>
                <w:rFonts w:ascii="Arial" w:cs="Arial" w:eastAsia="Arial" w:hAnsi="Arial"/>
                <w:sz w:val="18"/>
                <w:szCs w:val="18"/>
                <w:color w:val="auto"/>
                <w:w w:val="87"/>
              </w:rPr>
              <w:t>13,295</w:t>
            </w: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exercise price</w:t>
            </w:r>
          </w:p>
        </w:tc>
        <w:tc>
          <w:tcPr>
            <w:tcW w:w="4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14.32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14.55</w:t>
            </w: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Restricted Stock:</w:t>
            </w: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number, in thousands</w:t>
            </w:r>
          </w:p>
        </w:tc>
        <w:tc>
          <w:tcPr>
            <w:tcW w:w="4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204</w:t>
            </w: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Convertible Debt:</w:t>
            </w: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number, in thousands</w:t>
            </w:r>
          </w:p>
        </w:tc>
        <w:tc>
          <w:tcPr>
            <w:tcW w:w="4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6,611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6,611</w:t>
            </w: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Conversion price</w:t>
            </w:r>
          </w:p>
        </w:tc>
        <w:tc>
          <w:tcPr>
            <w:tcW w:w="44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ind w:left="80"/>
              <w:spacing w:after="0"/>
              <w:rPr>
                <w:sz w:val="20"/>
                <w:szCs w:val="20"/>
                <w:color w:val="auto"/>
              </w:rPr>
            </w:pPr>
            <w:r>
              <w:rPr>
                <w:rFonts w:ascii="Arial" w:cs="Arial" w:eastAsia="Arial" w:hAnsi="Arial"/>
                <w:sz w:val="18"/>
                <w:szCs w:val="18"/>
                <w:color w:val="auto"/>
              </w:rPr>
              <w:t>30.25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3"/>
              <w:spacing w:after="0"/>
              <w:rPr>
                <w:sz w:val="20"/>
                <w:szCs w:val="20"/>
                <w:color w:val="auto"/>
              </w:rPr>
            </w:pPr>
            <w:r>
              <w:rPr>
                <w:rFonts w:ascii="Arial" w:cs="Arial" w:eastAsia="Arial" w:hAnsi="Arial"/>
                <w:sz w:val="18"/>
                <w:szCs w:val="18"/>
                <w:color w:val="auto"/>
              </w:rPr>
              <w:t>30.25</w:t>
            </w:r>
          </w:p>
        </w:tc>
      </w:tr>
      <w:tr>
        <w:trPr>
          <w:trHeight w:val="350"/>
        </w:trPr>
        <w:tc>
          <w:tcPr>
            <w:tcW w:w="4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593"/>
              <w:spacing w:after="0"/>
              <w:rPr>
                <w:sz w:val="20"/>
                <w:szCs w:val="20"/>
                <w:color w:val="auto"/>
              </w:rPr>
            </w:pPr>
            <w:r>
              <w:rPr>
                <w:rFonts w:ascii="Arial" w:cs="Arial" w:eastAsia="Arial" w:hAnsi="Arial"/>
                <w:sz w:val="14"/>
                <w:szCs w:val="14"/>
                <w:color w:val="auto"/>
              </w:rPr>
              <w:t>Six months ended June 30,</w:t>
            </w:r>
          </w:p>
        </w:tc>
      </w:tr>
      <w:tr>
        <w:trPr>
          <w:trHeight w:val="142"/>
        </w:trPr>
        <w:tc>
          <w:tcPr>
            <w:tcW w:w="43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color w:val="auto"/>
              </w:rPr>
              <w:t>2006</w:t>
            </w:r>
          </w:p>
        </w:tc>
        <w:tc>
          <w:tcPr>
            <w:tcW w:w="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2005</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Weighted average number, in thousands</w:t>
            </w: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236"/>
              <w:spacing w:after="0"/>
              <w:rPr>
                <w:sz w:val="20"/>
                <w:szCs w:val="20"/>
                <w:color w:val="auto"/>
              </w:rPr>
            </w:pPr>
            <w:r>
              <w:rPr>
                <w:rFonts w:ascii="Arial" w:cs="Arial" w:eastAsia="Arial" w:hAnsi="Arial"/>
                <w:sz w:val="18"/>
                <w:szCs w:val="18"/>
                <w:color w:val="auto"/>
                <w:w w:val="87"/>
              </w:rPr>
              <w:t>14,291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3"/>
              <w:spacing w:after="0"/>
              <w:rPr>
                <w:sz w:val="20"/>
                <w:szCs w:val="20"/>
                <w:color w:val="auto"/>
              </w:rPr>
            </w:pPr>
            <w:r>
              <w:rPr>
                <w:rFonts w:ascii="Arial" w:cs="Arial" w:eastAsia="Arial" w:hAnsi="Arial"/>
                <w:sz w:val="18"/>
                <w:szCs w:val="18"/>
                <w:color w:val="auto"/>
                <w:w w:val="87"/>
              </w:rPr>
              <w:t>13,385</w:t>
            </w: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exercise price</w:t>
            </w:r>
          </w:p>
        </w:tc>
        <w:tc>
          <w:tcPr>
            <w:tcW w:w="4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14.29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14.64</w:t>
            </w: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Restricted Stock:</w:t>
            </w: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number, in thousands</w:t>
            </w:r>
          </w:p>
        </w:tc>
        <w:tc>
          <w:tcPr>
            <w:tcW w:w="4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209</w:t>
            </w: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Convertible Debt:</w:t>
            </w: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number, in thousands</w:t>
            </w:r>
          </w:p>
        </w:tc>
        <w:tc>
          <w:tcPr>
            <w:tcW w:w="4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6,611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6,611</w:t>
            </w: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rPr>
              <w:t>Conversion price</w:t>
            </w:r>
          </w:p>
        </w:tc>
        <w:tc>
          <w:tcPr>
            <w:tcW w:w="4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80"/>
              <w:spacing w:after="0"/>
              <w:rPr>
                <w:sz w:val="20"/>
                <w:szCs w:val="20"/>
                <w:color w:val="auto"/>
              </w:rPr>
            </w:pPr>
            <w:r>
              <w:rPr>
                <w:rFonts w:ascii="Arial" w:cs="Arial" w:eastAsia="Arial" w:hAnsi="Arial"/>
                <w:sz w:val="18"/>
                <w:szCs w:val="18"/>
                <w:color w:val="auto"/>
              </w:rPr>
              <w:t>30.25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3"/>
              <w:spacing w:after="0"/>
              <w:rPr>
                <w:sz w:val="20"/>
                <w:szCs w:val="20"/>
                <w:color w:val="auto"/>
              </w:rPr>
            </w:pPr>
            <w:r>
              <w:rPr>
                <w:rFonts w:ascii="Arial" w:cs="Arial" w:eastAsia="Arial" w:hAnsi="Arial"/>
                <w:sz w:val="18"/>
                <w:szCs w:val="18"/>
                <w:color w:val="auto"/>
              </w:rPr>
              <w:t>30.25</w:t>
            </w:r>
          </w:p>
        </w:tc>
      </w:tr>
      <w:tr>
        <w:trPr>
          <w:trHeight w:val="391"/>
        </w:trPr>
        <w:tc>
          <w:tcPr>
            <w:tcW w:w="4380" w:type="dxa"/>
            <w:vAlign w:val="bottom"/>
          </w:tcPr>
          <w:p>
            <w:pPr>
              <w:spacing w:after="0"/>
              <w:rPr>
                <w:sz w:val="24"/>
                <w:szCs w:val="24"/>
                <w:color w:val="auto"/>
              </w:rPr>
            </w:pPr>
          </w:p>
        </w:tc>
        <w:tc>
          <w:tcPr>
            <w:tcW w:w="4120" w:type="dxa"/>
            <w:vAlign w:val="bottom"/>
          </w:tcPr>
          <w:p>
            <w:pPr>
              <w:jc w:val="right"/>
              <w:ind w:right="265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6"/>
        </w:trPr>
        <w:tc>
          <w:tcPr>
            <w:tcW w:w="438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Employee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Statement of Financial Accounting Standards Nos. 123 and 123R</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Effective January 1, 2005, the Company adopted the fair value based method of accounting for stock-based employee compensation under the provisions of Statement of Financial Accounting Standards No. (“SFAS”)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using the modified prospective method as described in SFAS 148, </w:t>
      </w:r>
      <w:r>
        <w:rPr>
          <w:rFonts w:ascii="Arial" w:cs="Arial" w:eastAsia="Arial" w:hAnsi="Arial"/>
          <w:sz w:val="18"/>
          <w:szCs w:val="18"/>
          <w:i w:val="1"/>
          <w:iCs w:val="1"/>
          <w:color w:val="auto"/>
        </w:rPr>
        <w:t>Accounting for Stock-Based Compensation — Transition and Disclosure</w:t>
      </w:r>
      <w:r>
        <w:rPr>
          <w:rFonts w:ascii="Arial" w:cs="Arial" w:eastAsia="Arial" w:hAnsi="Arial"/>
          <w:sz w:val="18"/>
          <w:szCs w:val="18"/>
          <w:color w:val="auto"/>
        </w:rPr>
        <w:t>. As a result, in 2005, the Company recognized compensation expense, in an amount equal to the fair value of share-based payments (including stock option awards) on their date of grant, over the vesting period of the awards using graded vesting, which is an accelerated expense recognition method. Under the modified prospective method, compensation expense for the Company is recognized for (a) all share based payments granted on or after January 1, 2005 and (b) all awards granted to employees prior to January 1, 2005 that were unvested on that date.</w:t>
      </w:r>
    </w:p>
    <w:p>
      <w:pPr>
        <w:spacing w:after="0" w:line="81"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Effective January 1, 2006, the Company adopted the provisions of SFAS 123R, </w:t>
      </w:r>
      <w:r>
        <w:rPr>
          <w:rFonts w:ascii="Arial" w:cs="Arial" w:eastAsia="Arial" w:hAnsi="Arial"/>
          <w:sz w:val="17"/>
          <w:szCs w:val="17"/>
          <w:i w:val="1"/>
          <w:iCs w:val="1"/>
          <w:color w:val="auto"/>
        </w:rPr>
        <w:t>Share-Based Payment</w:t>
      </w:r>
      <w:r>
        <w:rPr>
          <w:rFonts w:ascii="Arial" w:cs="Arial" w:eastAsia="Arial" w:hAnsi="Arial"/>
          <w:sz w:val="17"/>
          <w:szCs w:val="17"/>
          <w:color w:val="auto"/>
        </w:rPr>
        <w:t>, which is a revision of SFAS 123. SFAS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123R requires companies to estimate the number of awards that are expected to be forfeited at the time of grant and to revise this estimate, if necessary, in subsequent periods if actual forfeitures differ from those estimates. Prior to the adoption of SFAS 123R, the Company recognized the effect of forfeitures in stock-based compensation cost in the period when they occurred, in accordance with SFAS 123. Upon adoption of SFAS 123R effective January 1, 2006, the Company was required to record a cumulative effect adjustment to reflect the effect of estimated forfeitures related to outstanding awards that are not expected to vest as of the SFAS 123R adoption date. This adjustment reduced the Company’s loss by $813 and is included in the Company’s operating results for the six months ended June 30, 2006 as a cumulative-effect adjustment of a change in accounting principle. Exclusive of the cumulative-effect adjustment, the effect of the change from applying the provisions of SFAS 123 to applying the provisions of SFAS 123R on the Company’s loss from operations, net loss, and net loss per share for the three and six months ended June 30, 2006 was not significant, and there was no impact to the Company’s cash flows for these respective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117"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Regeneron Pharmaceuticals, Inc. 2000 Long-Term Incentive Plan (“2000 Incentive Plan”), as amended, provides for the issuance of up to 18,500,000 shares of Common Stock in respect of awards. In addition, certain shares of Common Stock previously approved by shareholders for issuance under the Regeneron Pharmaceuticals,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Inc. 1990 Long-Term Incentive Plan (“1990 Incentive Plan”) that are not issued under the 1990 Incentive Plan, may be issued as awards under the 2000 Incentive Plan. The 1990 Incentive Plan, as amended, provided for a maximum of 6,900,000 shares of Common Stock in respect of awards. The 1990 Incentive Plan has expired and there will be no future awards from the 1990 Incentive Plan. The Company has issued Incentive Stock Options (“ISOs”) and Nonqualified Stock Options, and shares of Restricted Stock from the 1990 and 2000 Incentive Plans. The terms of the awards are determined by the Compensation Committee of the board of directors; however, in the case of an ISO, the option exercise price will not be less than the fair market value of a share of Common Stock on the date the ISO is granted and no ISO is exercisable more than ten years after the date of grant. As of June 30, 2006, there were 6,495,452 shares available for future grants under the 2000 Incentive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Stock Options</w:t>
      </w:r>
    </w:p>
    <w:p>
      <w:pPr>
        <w:spacing w:after="0" w:line="117" w:lineRule="exact"/>
        <w:rPr>
          <w:sz w:val="20"/>
          <w:szCs w:val="20"/>
          <w:color w:val="auto"/>
        </w:rPr>
      </w:pPr>
    </w:p>
    <w:p>
      <w:pPr>
        <w:ind w:right="160" w:firstLine="215"/>
        <w:spacing w:after="0" w:line="273" w:lineRule="auto"/>
        <w:rPr>
          <w:sz w:val="20"/>
          <w:szCs w:val="20"/>
          <w:color w:val="auto"/>
        </w:rPr>
      </w:pPr>
      <w:r>
        <w:rPr>
          <w:rFonts w:ascii="Arial" w:cs="Arial" w:eastAsia="Arial" w:hAnsi="Arial"/>
          <w:sz w:val="17"/>
          <w:szCs w:val="17"/>
          <w:color w:val="auto"/>
        </w:rPr>
        <w:t>At June 30, 2006, there were 14,150,178 stock options outstanding with exercise prices ranging from $4.83 to $51.56. Options granted to employees generally vest annually on a pro rata basis over a four to five year period beginning one year from the date of grant. Certain performance-based options granted to the Company’s executive vice president and senior vice presidents in January 2005 vest if both (i) the Company’s products have achieved defined sales targets and (ii) the option recipient has remained employed by the Company for at least three years from the date of grant. Options granted to members of the Company’s board of directors vest annually on a pro rata basis over three years beginning one year from the date of grant. A summary of the Company’s stock option activity for the six months ended June 30, 2006 is presented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color w:val="auto"/>
                <w:w w:val="91"/>
              </w:rPr>
              <w:t>Weighted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Average</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4"/>
              </w:rPr>
              <w:t>Weighted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Remaining</w:t>
            </w: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5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Number</w:t>
            </w: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Contractual</w:t>
            </w:r>
          </w:p>
        </w:tc>
        <w:tc>
          <w:tcPr>
            <w:tcW w:w="10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Exercise</w:t>
            </w:r>
          </w:p>
        </w:tc>
        <w:tc>
          <w:tcPr>
            <w:tcW w:w="34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4"/>
              </w:rPr>
              <w:t>Value (in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Outstanding</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Life</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Price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outstanding at January 1, 2006</w:t>
            </w:r>
          </w:p>
        </w:tc>
        <w:tc>
          <w:tcPr>
            <w:tcW w:w="35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14,719,492</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Stock options granted</w:t>
            </w:r>
          </w:p>
        </w:tc>
        <w:tc>
          <w:tcPr>
            <w:tcW w:w="3500" w:type="dxa"/>
            <w:vAlign w:val="bottom"/>
            <w:gridSpan w:val="3"/>
          </w:tcPr>
          <w:p>
            <w:pPr>
              <w:jc w:val="right"/>
              <w:ind w:right="660"/>
              <w:spacing w:after="0"/>
              <w:rPr>
                <w:sz w:val="20"/>
                <w:szCs w:val="20"/>
                <w:color w:val="auto"/>
              </w:rPr>
            </w:pPr>
            <w:r>
              <w:rPr>
                <w:rFonts w:ascii="Arial" w:cs="Arial" w:eastAsia="Arial" w:hAnsi="Arial"/>
                <w:sz w:val="18"/>
                <w:szCs w:val="18"/>
                <w:color w:val="auto"/>
              </w:rPr>
              <w:t>206,500</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15.32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35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(438,031)</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Stock options forfeited</w:t>
            </w:r>
          </w:p>
        </w:tc>
        <w:tc>
          <w:tcPr>
            <w:tcW w:w="3500" w:type="dxa"/>
            <w:vAlign w:val="bottom"/>
            <w:gridSpan w:val="3"/>
          </w:tcPr>
          <w:p>
            <w:pPr>
              <w:jc w:val="right"/>
              <w:ind w:right="600"/>
              <w:spacing w:after="0"/>
              <w:rPr>
                <w:sz w:val="20"/>
                <w:szCs w:val="20"/>
                <w:color w:val="auto"/>
              </w:rPr>
            </w:pPr>
            <w:r>
              <w:rPr>
                <w:rFonts w:ascii="Arial" w:cs="Arial" w:eastAsia="Arial" w:hAnsi="Arial"/>
                <w:sz w:val="18"/>
                <w:szCs w:val="18"/>
                <w:color w:val="auto"/>
              </w:rPr>
              <w:t>(201,135)</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10.62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expired</w:t>
            </w:r>
          </w:p>
        </w:tc>
        <w:tc>
          <w:tcPr>
            <w:tcW w:w="35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(136,648)</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Stock options outstanding at June 30, 2006</w:t>
            </w:r>
          </w:p>
        </w:tc>
        <w:tc>
          <w:tcPr>
            <w:tcW w:w="19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14,150,178</w:t>
            </w:r>
          </w:p>
        </w:tc>
        <w:tc>
          <w:tcPr>
            <w:tcW w:w="66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14.32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vested and exercisable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7,193,872</w:t>
            </w: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920" w:type="dxa"/>
            <w:vAlign w:val="bottom"/>
          </w:tcPr>
          <w:p>
            <w:pPr>
              <w:jc w:val="right"/>
              <w:ind w:right="470"/>
              <w:spacing w:after="0"/>
              <w:rPr>
                <w:sz w:val="20"/>
                <w:szCs w:val="20"/>
                <w:color w:val="auto"/>
              </w:rPr>
            </w:pPr>
            <w:r>
              <w:rPr>
                <w:rFonts w:ascii="Arial" w:cs="Arial" w:eastAsia="Arial" w:hAnsi="Arial"/>
                <w:sz w:val="18"/>
                <w:szCs w:val="18"/>
                <w:color w:val="auto"/>
              </w:rPr>
              <w:t>10</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total intrinsic value of stock options exercised during the first six months of 2006 and 2005 was $2,863 and $200, respectively. The intrinsic value represents the amount by which the market price of the underlying stock exceeds the exercise price of an option.</w:t>
      </w:r>
    </w:p>
    <w:p>
      <w:pPr>
        <w:spacing w:after="0" w:line="6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For the three months ended June 30, 2006 and 2005, non-cash stock-based employee compensation expense related to stock option awards (“Stock Option Expense”) totaled $4,610 and $5,398, respectively, of which $4,585 and $5,348 was recognized in operating expenses and $25 and $50 was capitalized into inventory, respectively. For the six months ended June 30, 2006 and 2005, Stock Option Expense totaled $8,541 and $10,939, respectively, of which $8,481 and $10,727 was recognized in operating expenses and $60 and $212 was capitalized into inventory, respectively. As of June 30, 2006, there was $23,243 of stock-based compensation cost related to outstanding nonvested stock options, net of estimated forfeitures, which had not yet been recognized in operating expenses. The Company expects to recognize this compensation cost over a weighted-average period of 1.7 years. In addition, there are 723,092 options which are unvested as of June 30, 2006 and would become vested upon the attainment of certain performance and service conditions. Potential compensation cost, measured on the grant date, related to these performance options totals $2,688 and will begin to be recognized only if, and when, these options’ performance condition becomes probable of attainment.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Assumptions:</w:t>
      </w:r>
    </w:p>
    <w:p>
      <w:pPr>
        <w:spacing w:after="0" w:line="117" w:lineRule="exact"/>
        <w:rPr>
          <w:sz w:val="20"/>
          <w:szCs w:val="20"/>
          <w:color w:val="auto"/>
        </w:rPr>
      </w:pPr>
    </w:p>
    <w:p>
      <w:pPr>
        <w:ind w:right="120" w:firstLine="222"/>
        <w:spacing w:after="0" w:line="288" w:lineRule="auto"/>
        <w:rPr>
          <w:sz w:val="20"/>
          <w:szCs w:val="20"/>
          <w:color w:val="auto"/>
        </w:rPr>
      </w:pPr>
      <w:r>
        <w:rPr>
          <w:rFonts w:ascii="Arial" w:cs="Arial" w:eastAsia="Arial" w:hAnsi="Arial"/>
          <w:sz w:val="16"/>
          <w:szCs w:val="16"/>
          <w:color w:val="auto"/>
        </w:rPr>
        <w:t>The fair value of each option granted during the three and six months ended June 30, 2006 and 2005 was estimated on the date of grant using the Black-Scholes option-pricing model. Using this model, fair value is calculated based on assumptions with respect to (i) expected volatility of the Company’s Common Stock price, (ii) the periods of time over which employees and board directors are expected to hold their options prior to exercise (expected lives),</w:t>
      </w:r>
    </w:p>
    <w:p>
      <w:pPr>
        <w:ind w:right="100" w:firstLine="8"/>
        <w:spacing w:after="0" w:line="268"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expected dividend yield on the Company’s Common Stock, and (iv) risk-free interest rates, which are based on quoted U.S. Treasury rates for securities with maturities approximating the options’ expected lives. Expected volatility has been estimated based on actual movements in the Company’s stock price over the most recent historical periods equivalent to the options’ expected lives. Expected lives are principally based on the Company’s limited historical exercise experience with option grants with similar exercise prices. The expected dividend yield is zero as the Company has never paid dividends and does not currently anticipate paying any in the foreseeable future. The weighted-average fair value of the options granted during the three months ended June 30, 2006 and 2005 was $8.23 and $4.04 per option, respectively. The weighted-average fair value of the options granted during the six months ended June 30, 2006 and 2005 was $10.28 and $5.81 per option, respectively. The following table summarizes the weighted average values of the assumptions used in computing the fair value of option grants.</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6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color w:val="auto"/>
              </w:rPr>
              <w:t>Three months ended June 30,</w:t>
            </w:r>
          </w:p>
        </w:tc>
      </w:tr>
      <w:tr>
        <w:trPr>
          <w:trHeight w:val="142"/>
        </w:trPr>
        <w:tc>
          <w:tcPr>
            <w:tcW w:w="88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2006</w:t>
            </w:r>
          </w:p>
        </w:tc>
        <w:tc>
          <w:tcPr>
            <w:tcW w:w="5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2005</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65%</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70%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Expected lives from grant date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5.2 years</w:t>
            </w:r>
          </w:p>
        </w:tc>
        <w:tc>
          <w:tcPr>
            <w:tcW w:w="5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5.0 years</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w:t>
            </w:r>
          </w:p>
        </w:tc>
      </w:t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4.95%</w:t>
            </w:r>
          </w:p>
        </w:tc>
        <w:tc>
          <w:tcPr>
            <w:tcW w:w="1560" w:type="dxa"/>
            <w:vAlign w:val="bottom"/>
            <w:gridSpan w:val="2"/>
          </w:tcPr>
          <w:p>
            <w:pPr>
              <w:jc w:val="right"/>
              <w:ind w:right="99"/>
              <w:spacing w:after="0"/>
              <w:rPr>
                <w:sz w:val="20"/>
                <w:szCs w:val="20"/>
                <w:color w:val="auto"/>
              </w:rPr>
            </w:pPr>
            <w:r>
              <w:rPr>
                <w:rFonts w:ascii="Arial" w:cs="Arial" w:eastAsia="Arial" w:hAnsi="Arial"/>
                <w:sz w:val="18"/>
                <w:szCs w:val="18"/>
                <w:color w:val="auto"/>
              </w:rPr>
              <w:t>3.78%</w:t>
            </w:r>
          </w:p>
        </w:tc>
      </w:tr>
      <w:tr>
        <w:trPr>
          <w:trHeight w:val="350"/>
        </w:trPr>
        <w:tc>
          <w:tcPr>
            <w:tcW w:w="8860" w:type="dxa"/>
            <w:vAlign w:val="bottom"/>
          </w:tcPr>
          <w:p>
            <w:pPr>
              <w:spacing w:after="0"/>
              <w:rPr>
                <w:sz w:val="24"/>
                <w:szCs w:val="24"/>
                <w:color w:val="auto"/>
              </w:rPr>
            </w:pPr>
          </w:p>
        </w:tc>
        <w:tc>
          <w:tcPr>
            <w:tcW w:w="25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color w:val="auto"/>
              </w:rPr>
              <w:t>Six months ended June 30,</w:t>
            </w:r>
          </w:p>
        </w:tc>
      </w:tr>
      <w:tr>
        <w:trPr>
          <w:trHeight w:val="142"/>
        </w:trPr>
        <w:tc>
          <w:tcPr>
            <w:tcW w:w="88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2006</w:t>
            </w:r>
          </w:p>
        </w:tc>
        <w:tc>
          <w:tcPr>
            <w:tcW w:w="5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2005</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68%</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75%</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Expected lives from grant date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6.8 years</w:t>
            </w:r>
          </w:p>
        </w:tc>
        <w:tc>
          <w:tcPr>
            <w:tcW w:w="5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6.2 years</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w:t>
            </w:r>
          </w:p>
        </w:tc>
      </w:t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4.76%</w:t>
            </w:r>
          </w:p>
        </w:tc>
        <w:tc>
          <w:tcPr>
            <w:tcW w:w="1560" w:type="dxa"/>
            <w:vAlign w:val="bottom"/>
            <w:gridSpan w:val="2"/>
          </w:tcPr>
          <w:p>
            <w:pPr>
              <w:jc w:val="right"/>
              <w:ind w:right="99"/>
              <w:spacing w:after="0"/>
              <w:rPr>
                <w:sz w:val="20"/>
                <w:szCs w:val="20"/>
                <w:color w:val="auto"/>
              </w:rPr>
            </w:pPr>
            <w:r>
              <w:rPr>
                <w:rFonts w:ascii="Arial" w:cs="Arial" w:eastAsia="Arial" w:hAnsi="Arial"/>
                <w:sz w:val="18"/>
                <w:szCs w:val="18"/>
                <w:color w:val="auto"/>
              </w:rPr>
              <w:t>3.96%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Restricted Stock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 summary of the Company’s activity related to Restricted Stock awards for the six months ended June 30, 2006 is presented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r>
      <w:tr>
        <w:trPr>
          <w:trHeight w:val="149"/>
        </w:trPr>
        <w:tc>
          <w:tcPr>
            <w:tcW w:w="9080" w:type="dxa"/>
            <w:vAlign w:val="bottom"/>
          </w:tcPr>
          <w:p>
            <w:pPr>
              <w:spacing w:after="0"/>
              <w:rPr>
                <w:sz w:val="12"/>
                <w:szCs w:val="12"/>
                <w:color w:val="auto"/>
              </w:rPr>
            </w:pPr>
          </w:p>
        </w:tc>
        <w:tc>
          <w:tcPr>
            <w:tcW w:w="1340" w:type="dxa"/>
            <w:vAlign w:val="bottom"/>
            <w:gridSpan w:val="3"/>
          </w:tcPr>
          <w:p>
            <w:pPr>
              <w:jc w:val="right"/>
              <w:ind w:right="780"/>
              <w:spacing w:after="0" w:line="149" w:lineRule="exact"/>
              <w:rPr>
                <w:sz w:val="20"/>
                <w:szCs w:val="20"/>
                <w:color w:val="auto"/>
              </w:rPr>
            </w:pPr>
            <w:r>
              <w:rPr>
                <w:rFonts w:ascii="Arial" w:cs="Arial" w:eastAsia="Arial" w:hAnsi="Arial"/>
                <w:sz w:val="14"/>
                <w:szCs w:val="14"/>
                <w:color w:val="auto"/>
              </w:rPr>
              <w:t>Number</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Average Grant</w:t>
            </w:r>
          </w:p>
        </w:tc>
      </w:tr>
      <w:tr>
        <w:trPr>
          <w:trHeight w:val="167"/>
        </w:trPr>
        <w:tc>
          <w:tcPr>
            <w:tcW w:w="90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of Shares</w:t>
            </w:r>
          </w:p>
        </w:tc>
        <w:tc>
          <w:tcPr>
            <w:tcW w:w="680" w:type="dxa"/>
            <w:vAlign w:val="bottom"/>
            <w:gridSpan w:val="2"/>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Date Fair Value</w:t>
            </w: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outstanding as of January 1, 2006</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95,188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Restricted stock released</w:t>
            </w: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(93,485)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forfeited</w:t>
            </w: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(1,703)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Restricted stock outstanding as of June 30, 2006</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In accordance with generally accepted accounting principles, the Company recorded unearned compensation in Stockholders’ Equity related to these Restricted Stock awards. The amount was based on the fair market value of shares of the Company’s Common Stock on the date of grant and is expensed, on a pro rata basis, over the period that the restrictions lapse, which is approximately two years for grants issued in 2003 and 18 months for grants issued in 2004. No Restricted Stock awards were granted in 2005 or during the six months ended June 30, 2006. Prior to the adoption of SFAS 123R, unearned compensation was included as a separate component of Stockholders’ Equity. Effective January 1, 2006, unearned compensation was combined with additional paid-in capital in accordance with the provisions of SFAS 123R.</w:t>
      </w:r>
    </w:p>
    <w:p>
      <w:pPr>
        <w:spacing w:after="0" w:line="70"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For the three months ended June 30, 2006 and 2005, the Company recognized compensation expense related to Restricted Stock awards of $115 and $474, respectively. For the six months ended June 30, 2006 and 2005, the Company recognized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compensation expense related to Restricted Stock awards of $299 and $976, respectively. As of June 30, 2006, there were no unvested shares of restricted stock outstanding and all compensation expense related to these awards had been recognized.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Statement of Cash Flows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117"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Included in accounts payable and accrued expenses at June 30, 2006 and December 31, 2005 are $216 and $234, respectively, of accrued capital expenditures. Included in accounts payable and accrued expenses at June 30, 2005 and December 31, 2004 are $1,393 and $550, respectively, of accrued capital expenditures.</w:t>
      </w:r>
    </w:p>
    <w:p>
      <w:pPr>
        <w:spacing w:after="0" w:line="73"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color w:val="auto"/>
        </w:rPr>
        <w:t>Included in accounts payable and accrued expenses at December 31, 2005 and 2004 are $1,884 and $632, respectively, of accrued Company 401(k) Savings Plan contribution expense. In the first quarter of 2006 and 2005, the Company contributed 120,960 and 90,385 shares, respectively, of Common Stock to the 401(k) Savings Plan in satisfaction of these obligations.</w:t>
      </w:r>
    </w:p>
    <w:p>
      <w:pPr>
        <w:spacing w:after="0" w:line="73" w:lineRule="exact"/>
        <w:rPr>
          <w:sz w:val="20"/>
          <w:szCs w:val="20"/>
          <w:color w:val="auto"/>
        </w:rPr>
      </w:pPr>
    </w:p>
    <w:p>
      <w:pPr>
        <w:ind w:right="420" w:firstLine="225"/>
        <w:spacing w:after="0" w:line="308" w:lineRule="auto"/>
        <w:rPr>
          <w:sz w:val="20"/>
          <w:szCs w:val="20"/>
          <w:color w:val="auto"/>
        </w:rPr>
      </w:pPr>
      <w:r>
        <w:rPr>
          <w:rFonts w:ascii="Arial" w:cs="Arial" w:eastAsia="Arial" w:hAnsi="Arial"/>
          <w:sz w:val="17"/>
          <w:szCs w:val="17"/>
          <w:color w:val="auto"/>
        </w:rPr>
        <w:t>Included in marketable securities at June 30, 2006 and December 31, 2005 are $840 and $1,228, respectively, of accrued interest income. Included in marketable securities at June 30, 2005 and December 31, 2004 are $2,562 and $2,601, respectively, of accrued interest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Severance Costs</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September 2005, the Company announced plans to reduce its workforce by approximately 165 employees in connection with narrowing the focus of the Company’s research and development efforts, substantial improvements in manufacturing productivity, the June 2005 expiration of the Company’s collaboration with The Procter &amp; Gamble Company, and the expected completion of contract manufacturing for Merck &amp; Co., Inc. in late 2006. The majority of the headcount reduction occurred in the fourth quarter of 2005, with the remainder planned for 2006 following the completion of the Company’s contract manufacturing activities for Merck.</w:t>
      </w:r>
    </w:p>
    <w:p>
      <w:pPr>
        <w:spacing w:after="0" w:line="80"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 xml:space="preserve">Costs associated with the workforce reduction are comprised principally of severance payments and related payroll taxes, employee benefits, and outplacement services. Termination costs related to 2005 workforce reductions were expensed in the fourth quarter of 2005. Estimated termination costs associated with the planned workforce reduction in 2006 were measured in October 2005 and are being expensed ratably over the expected service period of the affected employees in accordance with SFAS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estimates that total costs associated with the 2005 and planned 2006 workforce reductions will approximate $2.6 million, including $0.2 million of non-cash expenses in 2005.</w:t>
      </w:r>
    </w:p>
    <w:p>
      <w:pPr>
        <w:spacing w:after="0" w:line="62"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Severance costs associated with the workforce reduction plan that were charged to expense during the three and six months ended June 30, 2006 consist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center"/>
              <w:ind w:right="440"/>
              <w:spacing w:after="0"/>
              <w:rPr>
                <w:sz w:val="20"/>
                <w:szCs w:val="20"/>
                <w:color w:val="auto"/>
              </w:rPr>
            </w:pPr>
            <w:r>
              <w:rPr>
                <w:rFonts w:ascii="Arial" w:cs="Arial" w:eastAsia="Arial" w:hAnsi="Arial"/>
                <w:sz w:val="14"/>
                <w:szCs w:val="14"/>
                <w:color w:val="auto"/>
                <w:w w:val="91"/>
              </w:rPr>
              <w:t>Three months ended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93"/>
              </w:rPr>
              <w:t>Accrued</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300"/>
              <w:spacing w:after="0"/>
              <w:rPr>
                <w:sz w:val="20"/>
                <w:szCs w:val="20"/>
                <w:color w:val="auto"/>
              </w:rPr>
            </w:pPr>
            <w:r>
              <w:rPr>
                <w:rFonts w:ascii="Arial" w:cs="Arial" w:eastAsia="Arial" w:hAnsi="Arial"/>
                <w:sz w:val="14"/>
                <w:szCs w:val="14"/>
                <w:color w:val="auto"/>
                <w:w w:val="92"/>
              </w:rPr>
              <w:t>June 30, 2006</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3"/>
              </w:rPr>
              <w:t>Accrued</w:t>
            </w:r>
          </w:p>
        </w:tc>
        <w:tc>
          <w:tcPr>
            <w:tcW w:w="0" w:type="dxa"/>
            <w:vAlign w:val="bottom"/>
          </w:tcPr>
          <w:p>
            <w:pPr>
              <w:spacing w:after="0"/>
              <w:rPr>
                <w:sz w:val="1"/>
                <w:szCs w:val="1"/>
                <w:color w:val="auto"/>
              </w:rPr>
            </w:pPr>
          </w:p>
        </w:tc>
      </w:tr>
      <w:tr>
        <w:trPr>
          <w:trHeight w:val="123"/>
        </w:trPr>
        <w:tc>
          <w:tcPr>
            <w:tcW w:w="4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rPr>
              <w:t>liability at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89"/>
              </w:rPr>
              <w:t>Costs</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0"/>
              </w:rPr>
              <w:t>Costs paid</w:t>
            </w:r>
          </w:p>
        </w:tc>
        <w:tc>
          <w:tcPr>
            <w:tcW w:w="3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rPr>
              <w:t>liability at</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6"/>
              </w:rPr>
              <w:t>March 31,</w:t>
            </w:r>
          </w:p>
        </w:tc>
        <w:tc>
          <w:tcPr>
            <w:tcW w:w="34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0"/>
              </w:rPr>
              <w:t>charged to</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or settled in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67"/>
        </w:trPr>
        <w:tc>
          <w:tcPr>
            <w:tcW w:w="4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color w:val="auto"/>
                <w:w w:val="89"/>
              </w:rPr>
              <w:t>2006</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color w:val="auto"/>
                <w:w w:val="86"/>
              </w:rPr>
              <w:t>expense</w:t>
            </w: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w w:val="89"/>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Employee severance, payroll taxes, and benefits</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severance costs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left="300"/>
              <w:spacing w:after="0"/>
              <w:rPr>
                <w:sz w:val="20"/>
                <w:szCs w:val="20"/>
                <w:color w:val="auto"/>
              </w:rPr>
            </w:pPr>
            <w:r>
              <w:rPr>
                <w:rFonts w:ascii="Arial" w:cs="Arial" w:eastAsia="Arial" w:hAnsi="Arial"/>
                <w:sz w:val="14"/>
                <w:szCs w:val="14"/>
                <w:color w:val="auto"/>
                <w:w w:val="90"/>
              </w:rPr>
              <w:t>Six months ended</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restart"/>
          </w:tcPr>
          <w:p>
            <w:pPr>
              <w:jc w:val="center"/>
              <w:ind w:right="420"/>
              <w:spacing w:after="0"/>
              <w:rPr>
                <w:sz w:val="20"/>
                <w:szCs w:val="20"/>
                <w:color w:val="auto"/>
              </w:rPr>
            </w:pPr>
            <w:r>
              <w:rPr>
                <w:rFonts w:ascii="Arial" w:cs="Arial" w:eastAsia="Arial" w:hAnsi="Arial"/>
                <w:sz w:val="14"/>
                <w:szCs w:val="14"/>
                <w:color w:val="auto"/>
                <w:w w:val="93"/>
              </w:rPr>
              <w:t>Accrued</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300"/>
              <w:spacing w:after="0"/>
              <w:rPr>
                <w:sz w:val="20"/>
                <w:szCs w:val="20"/>
                <w:color w:val="auto"/>
              </w:rPr>
            </w:pPr>
            <w:r>
              <w:rPr>
                <w:rFonts w:ascii="Arial" w:cs="Arial" w:eastAsia="Arial" w:hAnsi="Arial"/>
                <w:sz w:val="14"/>
                <w:szCs w:val="14"/>
                <w:color w:val="auto"/>
                <w:w w:val="92"/>
              </w:rPr>
              <w:t>June 30, 2006</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3"/>
              </w:rPr>
              <w:t>Accrued</w:t>
            </w:r>
          </w:p>
        </w:tc>
        <w:tc>
          <w:tcPr>
            <w:tcW w:w="0" w:type="dxa"/>
            <w:vAlign w:val="bottom"/>
          </w:tcPr>
          <w:p>
            <w:pPr>
              <w:spacing w:after="0"/>
              <w:rPr>
                <w:sz w:val="1"/>
                <w:szCs w:val="1"/>
                <w:color w:val="auto"/>
              </w:rPr>
            </w:pPr>
          </w:p>
        </w:tc>
      </w:tr>
      <w:tr>
        <w:trPr>
          <w:trHeight w:val="123"/>
        </w:trPr>
        <w:tc>
          <w:tcPr>
            <w:tcW w:w="4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rPr>
              <w:t>liability at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89"/>
              </w:rPr>
              <w:t>Costs</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0"/>
              </w:rPr>
              <w:t>Costs paid</w:t>
            </w:r>
          </w:p>
        </w:tc>
        <w:tc>
          <w:tcPr>
            <w:tcW w:w="3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rPr>
              <w:t>liability at</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40" w:type="dxa"/>
            <w:vAlign w:val="bottom"/>
            <w:gridSpan w:val="4"/>
          </w:tcPr>
          <w:p>
            <w:pPr>
              <w:jc w:val="center"/>
              <w:ind w:right="340"/>
              <w:spacing w:after="0" w:line="149" w:lineRule="exact"/>
              <w:rPr>
                <w:sz w:val="20"/>
                <w:szCs w:val="20"/>
                <w:color w:val="auto"/>
              </w:rPr>
            </w:pPr>
            <w:r>
              <w:rPr>
                <w:rFonts w:ascii="Arial" w:cs="Arial" w:eastAsia="Arial" w:hAnsi="Arial"/>
                <w:sz w:val="14"/>
                <w:szCs w:val="14"/>
                <w:color w:val="auto"/>
                <w:w w:val="90"/>
              </w:rPr>
              <w:t>December 31,</w:t>
            </w:r>
          </w:p>
        </w:tc>
        <w:tc>
          <w:tcPr>
            <w:tcW w:w="34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0"/>
              </w:rPr>
              <w:t>charged to</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or settled in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67"/>
        </w:trPr>
        <w:tc>
          <w:tcPr>
            <w:tcW w:w="4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color w:val="auto"/>
                <w:w w:val="89"/>
              </w:rPr>
              <w:t>2005</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color w:val="auto"/>
                <w:w w:val="86"/>
              </w:rPr>
              <w:t>expense</w:t>
            </w: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w w:val="89"/>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Employee severance, payroll taxes, and benefits</w:t>
            </w:r>
          </w:p>
        </w:tc>
        <w:tc>
          <w:tcPr>
            <w:tcW w:w="16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severance costs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These severance costs are included in the Company’s Statement of Operations for the three and six months ended June 30, 2006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Research &amp;</w:t>
            </w:r>
          </w:p>
        </w:tc>
        <w:tc>
          <w:tcPr>
            <w:tcW w:w="0" w:type="dxa"/>
            <w:vAlign w:val="bottom"/>
          </w:tcPr>
          <w:p>
            <w:pPr>
              <w:spacing w:after="0"/>
              <w:rPr>
                <w:sz w:val="1"/>
                <w:szCs w:val="1"/>
                <w:color w:val="auto"/>
              </w:rPr>
            </w:pPr>
          </w:p>
        </w:tc>
      </w:tr>
      <w:tr>
        <w:trPr>
          <w:trHeight w:val="174"/>
        </w:trPr>
        <w:tc>
          <w:tcPr>
            <w:tcW w:w="4540" w:type="dxa"/>
            <w:vAlign w:val="bottom"/>
            <w:gridSpan w:val="3"/>
          </w:tcPr>
          <w:p>
            <w:pPr>
              <w:spacing w:after="0"/>
              <w:rPr>
                <w:sz w:val="20"/>
                <w:szCs w:val="20"/>
                <w:color w:val="auto"/>
              </w:rPr>
            </w:pPr>
            <w:r>
              <w:rPr>
                <w:rFonts w:ascii="Arial" w:cs="Arial" w:eastAsia="Arial" w:hAnsi="Arial"/>
                <w:sz w:val="14"/>
                <w:szCs w:val="14"/>
                <w:color w:val="auto"/>
              </w:rPr>
              <w:t>Three months ended June 30, 2006</w:t>
            </w:r>
          </w:p>
        </w:tc>
        <w:tc>
          <w:tcPr>
            <w:tcW w:w="602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development</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980" w:type="dxa"/>
            <w:vAlign w:val="bottom"/>
            <w:tcBorders>
              <w:top w:val="single" w:sz="8" w:color="auto"/>
            </w:tcBorders>
          </w:tcPr>
          <w:p>
            <w:pPr>
              <w:spacing w:after="0"/>
              <w:rPr>
                <w:sz w:val="5"/>
                <w:szCs w:val="5"/>
                <w:color w:val="auto"/>
              </w:rPr>
            </w:pPr>
          </w:p>
        </w:tc>
        <w:tc>
          <w:tcPr>
            <w:tcW w:w="2540" w:type="dxa"/>
            <w:vAlign w:val="bottom"/>
          </w:tcPr>
          <w:p>
            <w:pPr>
              <w:spacing w:after="0"/>
              <w:rPr>
                <w:sz w:val="5"/>
                <w:szCs w:val="5"/>
                <w:color w:val="auto"/>
              </w:rPr>
            </w:pPr>
          </w:p>
        </w:tc>
        <w:tc>
          <w:tcPr>
            <w:tcW w:w="60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severance, payroll taxes, and benefits</w:t>
            </w:r>
          </w:p>
        </w:tc>
        <w:tc>
          <w:tcPr>
            <w:tcW w:w="6320" w:type="dxa"/>
            <w:vAlign w:val="bottom"/>
            <w:gridSpan w:val="2"/>
            <w:shd w:val="clear" w:color="auto" w:fill="CCEEFF"/>
          </w:tcPr>
          <w:p>
            <w:pPr>
              <w:ind w:left="60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Other severance costs</w:t>
            </w:r>
          </w:p>
        </w:tc>
        <w:tc>
          <w:tcPr>
            <w:tcW w:w="60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6320" w:type="dxa"/>
            <w:vAlign w:val="bottom"/>
            <w:gridSpan w:val="2"/>
            <w:shd w:val="clear" w:color="auto" w:fill="CCEEFF"/>
          </w:tcPr>
          <w:p>
            <w:pPr>
              <w:ind w:left="60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20" w:type="dxa"/>
            <w:vAlign w:val="bottom"/>
            <w:vMerge w:val="restart"/>
          </w:tcPr>
          <w:p>
            <w:pPr>
              <w:jc w:val="right"/>
              <w:ind w:right="4670"/>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60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140" w:type="dxa"/>
            <w:vAlign w:val="bottom"/>
            <w:gridSpan w:val="5"/>
          </w:tcPr>
          <w:p>
            <w:pPr>
              <w:jc w:val="right"/>
              <w:ind w:right="440"/>
              <w:spacing w:after="0"/>
              <w:rPr>
                <w:sz w:val="20"/>
                <w:szCs w:val="20"/>
                <w:color w:val="auto"/>
              </w:rPr>
            </w:pPr>
            <w:r>
              <w:rPr>
                <w:rFonts w:ascii="Arial" w:cs="Arial" w:eastAsia="Arial" w:hAnsi="Arial"/>
                <w:sz w:val="14"/>
                <w:szCs w:val="14"/>
                <w:color w:val="auto"/>
                <w:w w:val="92"/>
              </w:rPr>
              <w:t>Research &amp;</w:t>
            </w:r>
          </w:p>
        </w:tc>
        <w:tc>
          <w:tcPr>
            <w:tcW w:w="260" w:type="dxa"/>
            <w:vAlign w:val="bottom"/>
          </w:tcPr>
          <w:p>
            <w:pPr>
              <w:spacing w:after="0"/>
              <w:rPr>
                <w:sz w:val="14"/>
                <w:szCs w:val="14"/>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4"/>
                <w:szCs w:val="14"/>
                <w:color w:val="auto"/>
              </w:rPr>
              <w:t>General &amp;</w:t>
            </w:r>
          </w:p>
        </w:tc>
      </w:tr>
      <w:tr>
        <w:trPr>
          <w:trHeight w:val="167"/>
        </w:trPr>
        <w:tc>
          <w:tcPr>
            <w:tcW w:w="1880" w:type="dxa"/>
            <w:vAlign w:val="bottom"/>
          </w:tcPr>
          <w:p>
            <w:pPr>
              <w:spacing w:after="0"/>
              <w:rPr>
                <w:sz w:val="20"/>
                <w:szCs w:val="20"/>
                <w:color w:val="auto"/>
              </w:rPr>
            </w:pPr>
            <w:r>
              <w:rPr>
                <w:rFonts w:ascii="Arial" w:cs="Arial" w:eastAsia="Arial" w:hAnsi="Arial"/>
                <w:sz w:val="14"/>
                <w:szCs w:val="14"/>
                <w:color w:val="auto"/>
                <w:w w:val="90"/>
              </w:rPr>
              <w:t>Six months ended June 30, 2006</w:t>
            </w:r>
          </w:p>
        </w:tc>
        <w:tc>
          <w:tcPr>
            <w:tcW w:w="4400" w:type="dxa"/>
            <w:vAlign w:val="bottom"/>
          </w:tcPr>
          <w:p>
            <w:pPr>
              <w:spacing w:after="0"/>
              <w:rPr>
                <w:sz w:val="14"/>
                <w:szCs w:val="14"/>
                <w:color w:val="auto"/>
              </w:rPr>
            </w:pPr>
          </w:p>
        </w:tc>
        <w:tc>
          <w:tcPr>
            <w:tcW w:w="3960" w:type="dxa"/>
            <w:vAlign w:val="bottom"/>
            <w:gridSpan w:val="6"/>
          </w:tcPr>
          <w:p>
            <w:pPr>
              <w:jc w:val="right"/>
              <w:ind w:right="400"/>
              <w:spacing w:after="0"/>
              <w:rPr>
                <w:sz w:val="20"/>
                <w:szCs w:val="20"/>
                <w:color w:val="auto"/>
              </w:rPr>
            </w:pPr>
            <w:r>
              <w:rPr>
                <w:rFonts w:ascii="Arial" w:cs="Arial" w:eastAsia="Arial" w:hAnsi="Arial"/>
                <w:sz w:val="14"/>
                <w:szCs w:val="14"/>
                <w:color w:val="auto"/>
              </w:rPr>
              <w:t>development</w:t>
            </w:r>
          </w:p>
        </w:tc>
        <w:tc>
          <w:tcPr>
            <w:tcW w:w="1180" w:type="dxa"/>
            <w:vAlign w:val="bottom"/>
            <w:gridSpan w:val="5"/>
          </w:tcPr>
          <w:p>
            <w:pPr>
              <w:jc w:val="right"/>
              <w:ind w:right="100"/>
              <w:spacing w:after="0"/>
              <w:rPr>
                <w:sz w:val="20"/>
                <w:szCs w:val="20"/>
                <w:color w:val="auto"/>
              </w:rPr>
            </w:pPr>
            <w:r>
              <w:rPr>
                <w:rFonts w:ascii="Arial" w:cs="Arial" w:eastAsia="Arial" w:hAnsi="Arial"/>
                <w:sz w:val="14"/>
                <w:szCs w:val="14"/>
                <w:color w:val="auto"/>
              </w:rPr>
              <w:t>administrative</w:t>
            </w:r>
          </w:p>
        </w:tc>
      </w:tr>
      <w:tr>
        <w:trPr>
          <w:trHeight w:val="20"/>
        </w:trPr>
        <w:tc>
          <w:tcPr>
            <w:tcW w:w="188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severance, payroll taxes, and benefits</w:t>
            </w:r>
          </w:p>
        </w:tc>
        <w:tc>
          <w:tcPr>
            <w:tcW w:w="2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358</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Other severance costs</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377</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18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For segment reporting purposes (see Note 10), all severance-related expenses are included in the Research &amp; Development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 as of June 30, 2006 and December 31, 2005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June 30,</w:t>
            </w:r>
          </w:p>
        </w:tc>
        <w:tc>
          <w:tcPr>
            <w:tcW w:w="6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r>
      <w:tr>
        <w:trPr>
          <w:trHeight w:val="210"/>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the sanofi-aventis Group</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11,773</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36,412</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Receivable from Merck &amp; Co., Inc.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223"/>
        </w:trPr>
        <w:tc>
          <w:tcPr>
            <w:tcW w:w="9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36,521</w:t>
            </w:r>
          </w:p>
        </w:tc>
        <w:tc>
          <w:tcPr>
            <w:tcW w:w="100" w:type="dxa"/>
            <w:vAlign w:val="bottom"/>
          </w:tcPr>
          <w:p>
            <w:pPr>
              <w:spacing w:after="0"/>
              <w:rPr>
                <w:sz w:val="19"/>
                <w:szCs w:val="19"/>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Inventories consist of raw materials, work-in process, and finished products associated with the production of an intermediate for a Merck &amp; Co.,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pediatric vaccine under a long-term manufacturing agreement which will expire in October 2006.</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as of June 30, 2006 and December 31, 2005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color w:val="auto"/>
                <w:w w:val="85"/>
              </w:rPr>
              <w:t>June 30,</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Work-in-process</w:t>
            </w:r>
          </w:p>
        </w:tc>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5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5700" w:type="dxa"/>
            <w:vAlign w:val="bottom"/>
            <w:vMerge w:val="restart"/>
          </w:tcPr>
          <w:p>
            <w:pPr>
              <w:jc w:val="right"/>
              <w:ind w:right="3270"/>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6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6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Payable and Accrued Expenses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payable and accrued expenses as of June 30, 2006 and December 31, 2005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June 30,</w:t>
            </w:r>
          </w:p>
        </w:tc>
        <w:tc>
          <w:tcPr>
            <w:tcW w:w="6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r>
      <w:tr>
        <w:trPr>
          <w:trHeight w:val="210"/>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2,840</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6,223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10,713</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Accrued expenses, 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1,677</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3,048</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convertible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w:t>
            </w:r>
          </w:p>
        </w:tc>
      </w:tr>
      <w:tr>
        <w:trPr>
          <w:trHeight w:val="223"/>
        </w:trPr>
        <w:tc>
          <w:tcPr>
            <w:tcW w:w="9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23,337</w:t>
            </w:r>
          </w:p>
        </w:tc>
        <w:tc>
          <w:tcPr>
            <w:tcW w:w="100" w:type="dxa"/>
            <w:vAlign w:val="bottom"/>
          </w:tcPr>
          <w:p>
            <w:pPr>
              <w:spacing w:after="0"/>
              <w:rPr>
                <w:sz w:val="19"/>
                <w:szCs w:val="19"/>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Loss</w:t>
      </w:r>
    </w:p>
    <w:p>
      <w:pPr>
        <w:spacing w:after="0" w:line="12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(loss) on marketable securities. The net effect of income taxes on comprehensive loss is immaterial. For the three and six months ended June 30, 2006 and 2005, the components of comprehensive loss 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40" w:type="dxa"/>
            <w:vAlign w:val="bottom"/>
            <w:gridSpan w:val="5"/>
          </w:tcPr>
          <w:p>
            <w:pPr>
              <w:jc w:val="right"/>
              <w:ind w:right="280"/>
              <w:spacing w:after="0"/>
              <w:rPr>
                <w:sz w:val="20"/>
                <w:szCs w:val="20"/>
                <w:color w:val="auto"/>
              </w:rPr>
            </w:pPr>
            <w:r>
              <w:rPr>
                <w:rFonts w:ascii="Arial" w:cs="Arial" w:eastAsia="Arial" w:hAnsi="Arial"/>
                <w:sz w:val="14"/>
                <w:szCs w:val="14"/>
                <w:color w:val="auto"/>
                <w:w w:val="98"/>
              </w:rPr>
              <w:t>Three months ended June 30,</w:t>
            </w:r>
          </w:p>
        </w:tc>
      </w:tr>
      <w:tr>
        <w:trPr>
          <w:trHeight w:val="142"/>
        </w:trPr>
        <w:tc>
          <w:tcPr>
            <w:tcW w:w="6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(23,576)</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(26,999)</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24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401</w:t>
            </w:r>
          </w:p>
        </w:tc>
      </w:tr>
      <w:tr>
        <w:trPr>
          <w:trHeight w:val="27"/>
        </w:trPr>
        <w:tc>
          <w:tcPr>
            <w:tcW w:w="6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comprehensive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(23,678)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(26,598)</w:t>
            </w:r>
          </w:p>
        </w:tc>
      </w:tr>
      <w:tr>
        <w:trPr>
          <w:trHeight w:val="20"/>
        </w:trPr>
        <w:tc>
          <w:tcPr>
            <w:tcW w:w="6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40" w:type="dxa"/>
            <w:vAlign w:val="bottom"/>
            <w:gridSpan w:val="5"/>
          </w:tcPr>
          <w:p>
            <w:pPr>
              <w:jc w:val="right"/>
              <w:ind w:right="360"/>
              <w:spacing w:after="0"/>
              <w:rPr>
                <w:sz w:val="20"/>
                <w:szCs w:val="20"/>
                <w:color w:val="auto"/>
              </w:rPr>
            </w:pPr>
            <w:r>
              <w:rPr>
                <w:rFonts w:ascii="Arial" w:cs="Arial" w:eastAsia="Arial" w:hAnsi="Arial"/>
                <w:sz w:val="14"/>
                <w:szCs w:val="14"/>
                <w:color w:val="auto"/>
              </w:rPr>
              <w:t>Six months ended June 30,</w:t>
            </w:r>
          </w:p>
        </w:tc>
      </w:tr>
      <w:tr>
        <w:trPr>
          <w:trHeight w:val="142"/>
        </w:trPr>
        <w:tc>
          <w:tcPr>
            <w:tcW w:w="6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(43,956)</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(31,122)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24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60</w:t>
            </w:r>
          </w:p>
        </w:tc>
      </w:tr>
      <w:tr>
        <w:trPr>
          <w:trHeight w:val="27"/>
        </w:trPr>
        <w:tc>
          <w:tcPr>
            <w:tcW w:w="6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comprehensive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(43,959)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(31,062)</w:t>
            </w:r>
          </w:p>
        </w:tc>
      </w:tr>
      <w:tr>
        <w:trPr>
          <w:trHeight w:val="20"/>
        </w:trPr>
        <w:tc>
          <w:tcPr>
            <w:tcW w:w="6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operations are managed in two business segments: research and development, and contract manufacturing.</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Includes all activities related to the discovery of pharmaceutical products for the treatment of serious medical conditions,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commercialization of these discoveries. Also includes revenues and expenses related to (i) the development of manufacturing processes prior to commencing commercial production of a product under contract manufacturing arrangements, and (ii) the supply of research materials based on Regeneron-developed proprietary technology.</w:t>
      </w:r>
    </w:p>
    <w:p>
      <w:pPr>
        <w:spacing w:after="0" w:line="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Contract manufacturing</w:t>
      </w:r>
      <w:r>
        <w:rPr>
          <w:rFonts w:ascii="Arial" w:cs="Arial" w:eastAsia="Arial" w:hAnsi="Arial"/>
          <w:sz w:val="18"/>
          <w:szCs w:val="18"/>
          <w:color w:val="auto"/>
        </w:rPr>
        <w:t>: Includes all revenues and expenses related to the commercial production of products under contract manufacturing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produces an intermediate for a Merck &amp; Co., Inc. pediatric vaccine under a long-term manufacturing agreement which will expire in October 2006.</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presents information about reported segments for the three and six months ended June 30, 2006 and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color w:val="auto"/>
              </w:rPr>
              <w:t>Three months ended June 30, 2006</w:t>
            </w: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23"/>
        </w:trPr>
        <w:tc>
          <w:tcPr>
            <w:tcW w:w="5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tcPr>
          <w:p>
            <w:pPr>
              <w:jc w:val="right"/>
              <w:ind w:right="202"/>
              <w:spacing w:after="0" w:line="123" w:lineRule="exact"/>
              <w:rPr>
                <w:sz w:val="20"/>
                <w:szCs w:val="20"/>
                <w:color w:val="auto"/>
              </w:rPr>
            </w:pPr>
            <w:r>
              <w:rPr>
                <w:rFonts w:ascii="Arial" w:cs="Arial" w:eastAsia="Arial" w:hAnsi="Arial"/>
                <w:sz w:val="14"/>
                <w:szCs w:val="14"/>
                <w:color w:val="auto"/>
              </w:rPr>
              <w:t>Research &amp;</w:t>
            </w: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jc w:val="right"/>
              <w:ind w:right="238"/>
              <w:spacing w:after="0" w:line="123" w:lineRule="exact"/>
              <w:rPr>
                <w:sz w:val="20"/>
                <w:szCs w:val="20"/>
                <w:color w:val="auto"/>
              </w:rPr>
            </w:pPr>
            <w:r>
              <w:rPr>
                <w:rFonts w:ascii="Arial" w:cs="Arial" w:eastAsia="Arial" w:hAnsi="Arial"/>
                <w:sz w:val="14"/>
                <w:szCs w:val="14"/>
                <w:color w:val="auto"/>
              </w:rPr>
              <w:t>Contract</w:t>
            </w: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tcPr>
          <w:p>
            <w:pPr>
              <w:jc w:val="center"/>
              <w:ind w:right="40"/>
              <w:spacing w:after="0" w:line="123" w:lineRule="exact"/>
              <w:rPr>
                <w:sz w:val="20"/>
                <w:szCs w:val="20"/>
                <w:color w:val="auto"/>
              </w:rPr>
            </w:pPr>
            <w:r>
              <w:rPr>
                <w:rFonts w:ascii="Arial" w:cs="Arial" w:eastAsia="Arial" w:hAnsi="Arial"/>
                <w:sz w:val="14"/>
                <w:szCs w:val="14"/>
                <w:color w:val="auto"/>
                <w:w w:val="93"/>
              </w:rPr>
              <w:t>Reconciling</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67"/>
        </w:trPr>
        <w:tc>
          <w:tcPr>
            <w:tcW w:w="54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Development</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Manufacturing</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3"/>
              </w:rPr>
              <w:t>Items</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Total</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$ 14,991</w:t>
            </w:r>
          </w:p>
        </w:tc>
        <w:tc>
          <w:tcPr>
            <w:tcW w:w="1600" w:type="dxa"/>
            <w:vAlign w:val="bottom"/>
            <w:gridSpan w:val="4"/>
            <w:shd w:val="clear" w:color="auto" w:fill="CCEEFF"/>
          </w:tcPr>
          <w:p>
            <w:pPr>
              <w:jc w:val="right"/>
              <w:ind w:right="278"/>
              <w:spacing w:after="0"/>
              <w:rPr>
                <w:sz w:val="20"/>
                <w:szCs w:val="20"/>
                <w:color w:val="auto"/>
              </w:rPr>
            </w:pPr>
            <w:r>
              <w:rPr>
                <w:rFonts w:ascii="Arial" w:cs="Arial" w:eastAsia="Arial" w:hAnsi="Arial"/>
                <w:sz w:val="18"/>
                <w:szCs w:val="18"/>
                <w:color w:val="auto"/>
              </w:rPr>
              <w:t>$4,267</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$ 19,258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gridSpan w:val="2"/>
          </w:tcPr>
          <w:p>
            <w:pPr>
              <w:jc w:val="right"/>
              <w:ind w:right="262"/>
              <w:spacing w:after="0"/>
              <w:rPr>
                <w:sz w:val="20"/>
                <w:szCs w:val="20"/>
                <w:color w:val="auto"/>
              </w:rPr>
            </w:pPr>
            <w:r>
              <w:rPr>
                <w:rFonts w:ascii="Arial" w:cs="Arial" w:eastAsia="Arial" w:hAnsi="Arial"/>
                <w:sz w:val="18"/>
                <w:szCs w:val="18"/>
                <w:color w:val="auto"/>
              </w:rPr>
              <w:t>3,429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ind w:right="98"/>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1620" w:type="dxa"/>
            <w:vAlign w:val="bottom"/>
            <w:gridSpan w:val="3"/>
          </w:tcPr>
          <w:p>
            <w:pPr>
              <w:jc w:val="right"/>
              <w:ind w:right="208"/>
              <w:spacing w:after="0"/>
              <w:rPr>
                <w:sz w:val="20"/>
                <w:szCs w:val="20"/>
                <w:color w:val="auto"/>
              </w:rPr>
            </w:pPr>
            <w:r>
              <w:rPr>
                <w:rFonts w:ascii="Arial" w:cs="Arial" w:eastAsia="Arial" w:hAnsi="Arial"/>
                <w:sz w:val="18"/>
                <w:szCs w:val="18"/>
                <w:color w:val="auto"/>
              </w:rPr>
              <w:t>3,690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24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4,603</w:t>
            </w:r>
          </w:p>
        </w:tc>
        <w:tc>
          <w:tcPr>
            <w:tcW w:w="1600" w:type="dxa"/>
            <w:vAlign w:val="bottom"/>
            <w:gridSpan w:val="4"/>
            <w:shd w:val="clear" w:color="auto" w:fill="CCEEFF"/>
          </w:tcPr>
          <w:p>
            <w:pPr>
              <w:jc w:val="right"/>
              <w:ind w:right="278"/>
              <w:spacing w:after="0"/>
              <w:rPr>
                <w:sz w:val="20"/>
                <w:szCs w:val="20"/>
                <w:color w:val="auto"/>
              </w:rPr>
            </w:pPr>
            <w:r>
              <w:rPr>
                <w:rFonts w:ascii="Arial" w:cs="Arial" w:eastAsia="Arial" w:hAnsi="Arial"/>
                <w:sz w:val="18"/>
                <w:szCs w:val="18"/>
                <w:color w:val="auto"/>
              </w:rPr>
              <w:t>97</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4,700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8"/>
                <w:szCs w:val="18"/>
                <w:color w:val="auto"/>
              </w:rPr>
            </w:pPr>
          </w:p>
        </w:tc>
        <w:tc>
          <w:tcPr>
            <w:tcW w:w="1200" w:type="dxa"/>
            <w:vAlign w:val="bottom"/>
          </w:tcPr>
          <w:p>
            <w:pPr>
              <w:jc w:val="right"/>
              <w:ind w:right="26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3,011</w:t>
            </w:r>
          </w:p>
        </w:tc>
        <w:tc>
          <w:tcPr>
            <w:tcW w:w="20" w:type="dxa"/>
            <w:vAlign w:val="bottom"/>
          </w:tcPr>
          <w:p>
            <w:pPr>
              <w:spacing w:after="0"/>
              <w:rPr>
                <w:sz w:val="18"/>
                <w:szCs w:val="18"/>
                <w:color w:val="auto"/>
              </w:rPr>
            </w:pPr>
          </w:p>
        </w:tc>
        <w:tc>
          <w:tcPr>
            <w:tcW w:w="1620" w:type="dxa"/>
            <w:vAlign w:val="bottom"/>
            <w:gridSpan w:val="3"/>
          </w:tcPr>
          <w:p>
            <w:pPr>
              <w:jc w:val="right"/>
              <w:ind w:right="208"/>
              <w:spacing w:after="0"/>
              <w:rPr>
                <w:sz w:val="20"/>
                <w:szCs w:val="20"/>
                <w:color w:val="auto"/>
              </w:rPr>
            </w:pPr>
            <w:r>
              <w:rPr>
                <w:rFonts w:ascii="Arial" w:cs="Arial" w:eastAsia="Arial" w:hAnsi="Arial"/>
                <w:sz w:val="18"/>
                <w:szCs w:val="18"/>
                <w:color w:val="auto"/>
              </w:rPr>
              <w:t>3,011</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4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(25,706)</w:t>
            </w:r>
          </w:p>
        </w:tc>
        <w:tc>
          <w:tcPr>
            <w:tcW w:w="1600" w:type="dxa"/>
            <w:vAlign w:val="bottom"/>
            <w:gridSpan w:val="4"/>
            <w:shd w:val="clear" w:color="auto" w:fill="CCEEFF"/>
          </w:tcPr>
          <w:p>
            <w:pPr>
              <w:jc w:val="right"/>
              <w:ind w:right="278"/>
              <w:spacing w:after="0"/>
              <w:rPr>
                <w:sz w:val="20"/>
                <w:szCs w:val="20"/>
                <w:color w:val="auto"/>
              </w:rPr>
            </w:pPr>
            <w:r>
              <w:rPr>
                <w:rFonts w:ascii="Arial" w:cs="Arial" w:eastAsia="Arial" w:hAnsi="Arial"/>
                <w:sz w:val="18"/>
                <w:szCs w:val="18"/>
                <w:color w:val="auto"/>
              </w:rPr>
              <w:t>1,457</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673</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(23,576)</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Capital expenditures</w:t>
            </w:r>
          </w:p>
        </w:tc>
        <w:tc>
          <w:tcPr>
            <w:tcW w:w="1240" w:type="dxa"/>
            <w:vAlign w:val="bottom"/>
            <w:gridSpan w:val="2"/>
          </w:tcPr>
          <w:p>
            <w:pPr>
              <w:jc w:val="right"/>
              <w:ind w:right="262"/>
              <w:spacing w:after="0"/>
              <w:rPr>
                <w:sz w:val="20"/>
                <w:szCs w:val="20"/>
                <w:color w:val="auto"/>
              </w:rPr>
            </w:pPr>
            <w:r>
              <w:rPr>
                <w:rFonts w:ascii="Arial" w:cs="Arial" w:eastAsia="Arial" w:hAnsi="Arial"/>
                <w:sz w:val="18"/>
                <w:szCs w:val="18"/>
                <w:color w:val="auto"/>
              </w:rPr>
              <w:t>323</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08"/>
              <w:spacing w:after="0"/>
              <w:rPr>
                <w:sz w:val="20"/>
                <w:szCs w:val="20"/>
                <w:color w:val="auto"/>
              </w:rPr>
            </w:pPr>
            <w:r>
              <w:rPr>
                <w:rFonts w:ascii="Arial" w:cs="Arial" w:eastAsia="Arial" w:hAnsi="Arial"/>
                <w:sz w:val="18"/>
                <w:szCs w:val="18"/>
                <w:color w:val="auto"/>
              </w:rPr>
              <w:t>323</w:t>
            </w:r>
          </w:p>
        </w:tc>
      </w:tr>
      <w:tr>
        <w:trPr>
          <w:trHeight w:val="350"/>
        </w:trPr>
        <w:tc>
          <w:tcPr>
            <w:tcW w:w="5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color w:val="auto"/>
              </w:rPr>
              <w:t>Three months ended June 30, 2005</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23"/>
        </w:trPr>
        <w:tc>
          <w:tcPr>
            <w:tcW w:w="5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tcPr>
          <w:p>
            <w:pPr>
              <w:jc w:val="right"/>
              <w:ind w:right="162"/>
              <w:spacing w:after="0" w:line="123" w:lineRule="exact"/>
              <w:rPr>
                <w:sz w:val="20"/>
                <w:szCs w:val="20"/>
                <w:color w:val="auto"/>
              </w:rPr>
            </w:pPr>
            <w:r>
              <w:rPr>
                <w:rFonts w:ascii="Arial" w:cs="Arial" w:eastAsia="Arial" w:hAnsi="Arial"/>
                <w:sz w:val="14"/>
                <w:szCs w:val="14"/>
                <w:color w:val="auto"/>
              </w:rPr>
              <w:t>Research &amp;</w:t>
            </w: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jc w:val="right"/>
              <w:ind w:right="198"/>
              <w:spacing w:after="0" w:line="123" w:lineRule="exact"/>
              <w:rPr>
                <w:sz w:val="20"/>
                <w:szCs w:val="20"/>
                <w:color w:val="auto"/>
              </w:rPr>
            </w:pPr>
            <w:r>
              <w:rPr>
                <w:rFonts w:ascii="Arial" w:cs="Arial" w:eastAsia="Arial" w:hAnsi="Arial"/>
                <w:sz w:val="14"/>
                <w:szCs w:val="14"/>
                <w:color w:val="auto"/>
              </w:rPr>
              <w:t>Contract</w:t>
            </w: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tcPr>
          <w:p>
            <w:pPr>
              <w:jc w:val="center"/>
              <w:ind w:right="20"/>
              <w:spacing w:after="0" w:line="123" w:lineRule="exact"/>
              <w:rPr>
                <w:sz w:val="20"/>
                <w:szCs w:val="20"/>
                <w:color w:val="auto"/>
              </w:rPr>
            </w:pPr>
            <w:r>
              <w:rPr>
                <w:rFonts w:ascii="Arial" w:cs="Arial" w:eastAsia="Arial" w:hAnsi="Arial"/>
                <w:sz w:val="14"/>
                <w:szCs w:val="14"/>
                <w:color w:val="auto"/>
                <w:w w:val="96"/>
              </w:rPr>
              <w:t>Reconciling</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67"/>
        </w:trPr>
        <w:tc>
          <w:tcPr>
            <w:tcW w:w="5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Development</w:t>
            </w:r>
          </w:p>
        </w:tc>
        <w:tc>
          <w:tcPr>
            <w:tcW w:w="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Manufacturing</w:t>
            </w:r>
          </w:p>
        </w:tc>
        <w:tc>
          <w:tcPr>
            <w:tcW w:w="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color w:val="auto"/>
                <w:w w:val="93"/>
              </w:rPr>
              <w:t>Items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Total</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$ 13,545</w:t>
            </w:r>
          </w:p>
        </w:tc>
        <w:tc>
          <w:tcPr>
            <w:tcW w:w="1600" w:type="dxa"/>
            <w:vAlign w:val="bottom"/>
            <w:gridSpan w:val="4"/>
            <w:shd w:val="clear" w:color="auto" w:fill="CCEEFF"/>
          </w:tcPr>
          <w:p>
            <w:pPr>
              <w:jc w:val="right"/>
              <w:ind w:right="238"/>
              <w:spacing w:after="0"/>
              <w:rPr>
                <w:sz w:val="20"/>
                <w:szCs w:val="20"/>
                <w:color w:val="auto"/>
              </w:rPr>
            </w:pPr>
            <w:r>
              <w:rPr>
                <w:rFonts w:ascii="Arial" w:cs="Arial" w:eastAsia="Arial" w:hAnsi="Arial"/>
                <w:sz w:val="18"/>
                <w:szCs w:val="18"/>
                <w:color w:val="auto"/>
              </w:rPr>
              <w:t>$2,821</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$ 16,366</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gridSpan w:val="2"/>
          </w:tcPr>
          <w:p>
            <w:pPr>
              <w:jc w:val="right"/>
              <w:ind w:right="222"/>
              <w:spacing w:after="0"/>
              <w:rPr>
                <w:sz w:val="20"/>
                <w:szCs w:val="20"/>
                <w:color w:val="auto"/>
              </w:rPr>
            </w:pPr>
            <w:r>
              <w:rPr>
                <w:rFonts w:ascii="Arial" w:cs="Arial" w:eastAsia="Arial" w:hAnsi="Arial"/>
                <w:sz w:val="18"/>
                <w:szCs w:val="18"/>
                <w:color w:val="auto"/>
              </w:rPr>
              <w:t>3,570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1620" w:type="dxa"/>
            <w:vAlign w:val="bottom"/>
            <w:gridSpan w:val="3"/>
          </w:tcPr>
          <w:p>
            <w:pPr>
              <w:jc w:val="right"/>
              <w:ind w:right="228"/>
              <w:spacing w:after="0"/>
              <w:rPr>
                <w:sz w:val="20"/>
                <w:szCs w:val="20"/>
                <w:color w:val="auto"/>
              </w:rPr>
            </w:pPr>
            <w:r>
              <w:rPr>
                <w:rFonts w:ascii="Arial" w:cs="Arial" w:eastAsia="Arial" w:hAnsi="Arial"/>
                <w:sz w:val="18"/>
                <w:szCs w:val="18"/>
                <w:color w:val="auto"/>
              </w:rPr>
              <w:t>3,831</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24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5,732</w:t>
            </w:r>
          </w:p>
        </w:tc>
        <w:tc>
          <w:tcPr>
            <w:tcW w:w="1600" w:type="dxa"/>
            <w:vAlign w:val="bottom"/>
            <w:gridSpan w:val="4"/>
            <w:shd w:val="clear" w:color="auto" w:fill="CCEEFF"/>
          </w:tcPr>
          <w:p>
            <w:pPr>
              <w:jc w:val="right"/>
              <w:ind w:right="238"/>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5,822</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Other contract income</w:t>
            </w:r>
          </w:p>
        </w:tc>
        <w:tc>
          <w:tcPr>
            <w:tcW w:w="1240" w:type="dxa"/>
            <w:vAlign w:val="bottom"/>
            <w:gridSpan w:val="2"/>
          </w:tcPr>
          <w:p>
            <w:pPr>
              <w:jc w:val="right"/>
              <w:ind w:right="222"/>
              <w:spacing w:after="0"/>
              <w:rPr>
                <w:sz w:val="20"/>
                <w:szCs w:val="20"/>
                <w:color w:val="auto"/>
              </w:rPr>
            </w:pPr>
            <w:r>
              <w:rPr>
                <w:rFonts w:ascii="Arial" w:cs="Arial" w:eastAsia="Arial" w:hAnsi="Arial"/>
                <w:sz w:val="18"/>
                <w:szCs w:val="18"/>
                <w:color w:val="auto"/>
              </w:rPr>
              <w:t>5,640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ind w:right="23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28"/>
              <w:spacing w:after="0"/>
              <w:rPr>
                <w:sz w:val="20"/>
                <w:szCs w:val="20"/>
                <w:color w:val="auto"/>
              </w:rPr>
            </w:pPr>
            <w:r>
              <w:rPr>
                <w:rFonts w:ascii="Arial" w:cs="Arial" w:eastAsia="Arial" w:hAnsi="Arial"/>
                <w:sz w:val="18"/>
                <w:szCs w:val="18"/>
                <w:color w:val="auto"/>
              </w:rPr>
              <w:t>5,640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4"/>
              </w:rPr>
              <w:t>3,011</w:t>
            </w:r>
          </w:p>
        </w:tc>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3,011</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(loss) income</w:t>
            </w:r>
          </w:p>
        </w:tc>
        <w:tc>
          <w:tcPr>
            <w:tcW w:w="1240" w:type="dxa"/>
            <w:vAlign w:val="bottom"/>
            <w:gridSpan w:val="2"/>
          </w:tcPr>
          <w:p>
            <w:pPr>
              <w:jc w:val="right"/>
              <w:ind w:right="162"/>
              <w:spacing w:after="0"/>
              <w:rPr>
                <w:sz w:val="20"/>
                <w:szCs w:val="20"/>
                <w:color w:val="auto"/>
              </w:rPr>
            </w:pPr>
            <w:r>
              <w:rPr>
                <w:rFonts w:ascii="Arial" w:cs="Arial" w:eastAsia="Arial" w:hAnsi="Arial"/>
                <w:sz w:val="18"/>
                <w:szCs w:val="18"/>
                <w:color w:val="auto"/>
              </w:rPr>
              <w:t>(27,673)</w:t>
            </w:r>
          </w:p>
        </w:tc>
        <w:tc>
          <w:tcPr>
            <w:tcW w:w="1600" w:type="dxa"/>
            <w:vAlign w:val="bottom"/>
            <w:gridSpan w:val="4"/>
          </w:tcPr>
          <w:p>
            <w:pPr>
              <w:jc w:val="right"/>
              <w:ind w:right="238"/>
              <w:spacing w:after="0"/>
              <w:rPr>
                <w:sz w:val="20"/>
                <w:szCs w:val="20"/>
                <w:color w:val="auto"/>
              </w:rPr>
            </w:pPr>
            <w:r>
              <w:rPr>
                <w:rFonts w:ascii="Arial" w:cs="Arial" w:eastAsia="Arial" w:hAnsi="Arial"/>
                <w:sz w:val="18"/>
                <w:szCs w:val="18"/>
                <w:color w:val="auto"/>
              </w:rPr>
              <w:t>1,146</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1620" w:type="dxa"/>
            <w:vAlign w:val="bottom"/>
            <w:gridSpan w:val="3"/>
          </w:tcPr>
          <w:p>
            <w:pPr>
              <w:jc w:val="right"/>
              <w:ind w:right="168"/>
              <w:spacing w:after="0"/>
              <w:rPr>
                <w:sz w:val="20"/>
                <w:szCs w:val="20"/>
                <w:color w:val="auto"/>
              </w:rPr>
            </w:pPr>
            <w:r>
              <w:rPr>
                <w:rFonts w:ascii="Arial" w:cs="Arial" w:eastAsia="Arial" w:hAnsi="Arial"/>
                <w:sz w:val="18"/>
                <w:szCs w:val="18"/>
                <w:color w:val="auto"/>
              </w:rPr>
              <w:t>(26,999)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4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2,115</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2,115</w:t>
            </w:r>
          </w:p>
        </w:tc>
      </w:tr>
      <w:tr>
        <w:trPr>
          <w:trHeight w:val="405"/>
        </w:trPr>
        <w:tc>
          <w:tcPr>
            <w:tcW w:w="5400" w:type="dxa"/>
            <w:vAlign w:val="bottom"/>
          </w:tcPr>
          <w:p>
            <w:pPr>
              <w:spacing w:after="0"/>
              <w:rPr>
                <w:sz w:val="24"/>
                <w:szCs w:val="24"/>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6"/>
        </w:trPr>
        <w:tc>
          <w:tcPr>
            <w:tcW w:w="54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color w:val="auto"/>
              </w:rPr>
              <w:t>Six months ended June 30, 2006</w:t>
            </w: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3"/>
        </w:trPr>
        <w:tc>
          <w:tcPr>
            <w:tcW w:w="5300" w:type="dxa"/>
            <w:vAlign w:val="bottom"/>
          </w:tcPr>
          <w:p>
            <w:pPr>
              <w:spacing w:after="0"/>
              <w:rPr>
                <w:sz w:val="10"/>
                <w:szCs w:val="10"/>
                <w:color w:val="auto"/>
              </w:rPr>
            </w:pPr>
          </w:p>
        </w:tc>
        <w:tc>
          <w:tcPr>
            <w:tcW w:w="1240" w:type="dxa"/>
            <w:vAlign w:val="bottom"/>
          </w:tcPr>
          <w:p>
            <w:pPr>
              <w:jc w:val="center"/>
              <w:spacing w:after="0" w:line="123" w:lineRule="exact"/>
              <w:rPr>
                <w:sz w:val="20"/>
                <w:szCs w:val="20"/>
                <w:color w:val="auto"/>
              </w:rPr>
            </w:pPr>
            <w:r>
              <w:rPr>
                <w:rFonts w:ascii="Arial" w:cs="Arial" w:eastAsia="Arial" w:hAnsi="Arial"/>
                <w:sz w:val="14"/>
                <w:szCs w:val="14"/>
                <w:color w:val="auto"/>
                <w:w w:val="92"/>
              </w:rPr>
              <w:t>Research &amp;</w:t>
            </w:r>
          </w:p>
        </w:tc>
        <w:tc>
          <w:tcPr>
            <w:tcW w:w="460" w:type="dxa"/>
            <w:vAlign w:val="bottom"/>
          </w:tcPr>
          <w:p>
            <w:pPr>
              <w:spacing w:after="0"/>
              <w:rPr>
                <w:sz w:val="10"/>
                <w:szCs w:val="10"/>
                <w:color w:val="auto"/>
              </w:rPr>
            </w:pPr>
          </w:p>
        </w:tc>
        <w:tc>
          <w:tcPr>
            <w:tcW w:w="1140" w:type="dxa"/>
            <w:vAlign w:val="bottom"/>
          </w:tcPr>
          <w:p>
            <w:pPr>
              <w:jc w:val="center"/>
              <w:spacing w:after="0" w:line="123" w:lineRule="exact"/>
              <w:rPr>
                <w:sz w:val="20"/>
                <w:szCs w:val="20"/>
                <w:color w:val="auto"/>
              </w:rPr>
            </w:pPr>
            <w:r>
              <w:rPr>
                <w:rFonts w:ascii="Arial" w:cs="Arial" w:eastAsia="Arial" w:hAnsi="Arial"/>
                <w:sz w:val="14"/>
                <w:szCs w:val="14"/>
                <w:color w:val="auto"/>
                <w:w w:val="94"/>
              </w:rPr>
              <w:t>Contract</w:t>
            </w:r>
          </w:p>
        </w:tc>
        <w:tc>
          <w:tcPr>
            <w:tcW w:w="460" w:type="dxa"/>
            <w:vAlign w:val="bottom"/>
          </w:tcPr>
          <w:p>
            <w:pPr>
              <w:spacing w:after="0"/>
              <w:rPr>
                <w:sz w:val="10"/>
                <w:szCs w:val="10"/>
                <w:color w:val="auto"/>
              </w:rPr>
            </w:pPr>
          </w:p>
        </w:tc>
        <w:tc>
          <w:tcPr>
            <w:tcW w:w="12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3"/>
              </w:rPr>
              <w:t>Reconciling</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7"/>
        </w:trPr>
        <w:tc>
          <w:tcPr>
            <w:tcW w:w="53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Development</w:t>
            </w:r>
          </w:p>
        </w:tc>
        <w:tc>
          <w:tcPr>
            <w:tcW w:w="4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Manufacturing</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color w:val="auto"/>
                <w:w w:val="93"/>
              </w:rPr>
              <w:t>Items</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Total</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$ 29,578</w:t>
            </w:r>
          </w:p>
        </w:tc>
        <w:tc>
          <w:tcPr>
            <w:tcW w:w="160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$7,899</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37,477</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jc w:val="right"/>
              <w:ind w:right="254"/>
              <w:spacing w:after="0"/>
              <w:rPr>
                <w:sz w:val="20"/>
                <w:szCs w:val="20"/>
                <w:color w:val="auto"/>
              </w:rPr>
            </w:pPr>
            <w:r>
              <w:rPr>
                <w:rFonts w:ascii="Arial" w:cs="Arial" w:eastAsia="Arial" w:hAnsi="Arial"/>
                <w:sz w:val="18"/>
                <w:szCs w:val="18"/>
                <w:color w:val="auto"/>
              </w:rPr>
              <w:t>6,966</w:t>
            </w:r>
          </w:p>
        </w:tc>
        <w:tc>
          <w:tcPr>
            <w:tcW w:w="460" w:type="dxa"/>
            <w:vAlign w:val="bottom"/>
          </w:tcPr>
          <w:p>
            <w:pPr>
              <w:spacing w:after="0"/>
              <w:rPr>
                <w:sz w:val="18"/>
                <w:szCs w:val="18"/>
                <w:color w:val="auto"/>
              </w:rPr>
            </w:pP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522</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7,488</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8,587</w:t>
            </w:r>
          </w:p>
        </w:tc>
        <w:tc>
          <w:tcPr>
            <w:tcW w:w="160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192</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r>
              <w:rPr>
                <w:rFonts w:ascii="Arial" w:cs="Arial" w:eastAsia="Arial" w:hAnsi="Arial"/>
                <w:sz w:val="15"/>
                <w:szCs w:val="15"/>
                <w:color w:val="auto"/>
              </w:rPr>
              <w:t>(3)</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7,966</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Interest expense</w:t>
            </w:r>
          </w:p>
        </w:tc>
        <w:tc>
          <w:tcPr>
            <w:tcW w:w="12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6,022</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6,022</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(49,149)</w:t>
            </w:r>
          </w:p>
        </w:tc>
        <w:tc>
          <w:tcPr>
            <w:tcW w:w="160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3,237</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1,956</w:t>
            </w:r>
            <w:r>
              <w:rPr>
                <w:rFonts w:ascii="Arial" w:cs="Arial" w:eastAsia="Arial" w:hAnsi="Arial"/>
                <w:sz w:val="15"/>
                <w:szCs w:val="15"/>
                <w:color w:val="auto"/>
              </w:rPr>
              <w:t>(2)</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5"/>
              </w:rPr>
              <w:t>(43,956)</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Capital expenditures</w:t>
            </w:r>
          </w:p>
        </w:tc>
        <w:tc>
          <w:tcPr>
            <w:tcW w:w="1240" w:type="dxa"/>
            <w:vAlign w:val="bottom"/>
          </w:tcPr>
          <w:p>
            <w:pPr>
              <w:jc w:val="right"/>
              <w:ind w:right="254"/>
              <w:spacing w:after="0"/>
              <w:rPr>
                <w:sz w:val="20"/>
                <w:szCs w:val="20"/>
                <w:color w:val="auto"/>
              </w:rPr>
            </w:pPr>
            <w:r>
              <w:rPr>
                <w:rFonts w:ascii="Arial" w:cs="Arial" w:eastAsia="Arial" w:hAnsi="Arial"/>
                <w:sz w:val="18"/>
                <w:szCs w:val="18"/>
                <w:color w:val="auto"/>
              </w:rPr>
              <w:t>968</w:t>
            </w:r>
          </w:p>
        </w:tc>
        <w:tc>
          <w:tcPr>
            <w:tcW w:w="460" w:type="dxa"/>
            <w:vAlign w:val="bottom"/>
          </w:tcPr>
          <w:p>
            <w:pPr>
              <w:spacing w:after="0"/>
              <w:rPr>
                <w:sz w:val="18"/>
                <w:szCs w:val="18"/>
                <w:color w:val="auto"/>
              </w:rPr>
            </w:pPr>
          </w:p>
        </w:tc>
        <w:tc>
          <w:tcPr>
            <w:tcW w:w="114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968</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64,543</w:t>
            </w:r>
          </w:p>
        </w:tc>
        <w:tc>
          <w:tcPr>
            <w:tcW w:w="160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3,580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310,209</w:t>
            </w:r>
            <w:r>
              <w:rPr>
                <w:rFonts w:ascii="Arial" w:cs="Arial" w:eastAsia="Arial" w:hAnsi="Arial"/>
                <w:sz w:val="15"/>
                <w:szCs w:val="15"/>
                <w:color w:val="auto"/>
                <w:w w:val="91"/>
              </w:rPr>
              <w:t>(4)</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9"/>
              </w:rPr>
              <w:t>378,332</w:t>
            </w:r>
          </w:p>
        </w:tc>
      </w:tr>
      <w:tr>
        <w:trPr>
          <w:trHeight w:val="365"/>
        </w:trPr>
        <w:tc>
          <w:tcPr>
            <w:tcW w:w="53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color w:val="auto"/>
              </w:rPr>
              <w:t>Six months ended June 30, 2005</w:t>
            </w: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23"/>
        </w:trPr>
        <w:tc>
          <w:tcPr>
            <w:tcW w:w="5300" w:type="dxa"/>
            <w:vAlign w:val="bottom"/>
          </w:tcPr>
          <w:p>
            <w:pPr>
              <w:spacing w:after="0"/>
              <w:rPr>
                <w:sz w:val="10"/>
                <w:szCs w:val="10"/>
                <w:color w:val="auto"/>
              </w:rPr>
            </w:pPr>
          </w:p>
        </w:tc>
        <w:tc>
          <w:tcPr>
            <w:tcW w:w="1240" w:type="dxa"/>
            <w:vAlign w:val="bottom"/>
          </w:tcPr>
          <w:p>
            <w:pPr>
              <w:jc w:val="center"/>
              <w:spacing w:after="0" w:line="123" w:lineRule="exact"/>
              <w:rPr>
                <w:sz w:val="20"/>
                <w:szCs w:val="20"/>
                <w:color w:val="auto"/>
              </w:rPr>
            </w:pPr>
            <w:r>
              <w:rPr>
                <w:rFonts w:ascii="Arial" w:cs="Arial" w:eastAsia="Arial" w:hAnsi="Arial"/>
                <w:sz w:val="14"/>
                <w:szCs w:val="14"/>
                <w:color w:val="auto"/>
                <w:w w:val="92"/>
              </w:rPr>
              <w:t>Research &amp;</w:t>
            </w:r>
          </w:p>
        </w:tc>
        <w:tc>
          <w:tcPr>
            <w:tcW w:w="460" w:type="dxa"/>
            <w:vAlign w:val="bottom"/>
          </w:tcPr>
          <w:p>
            <w:pPr>
              <w:spacing w:after="0"/>
              <w:rPr>
                <w:sz w:val="10"/>
                <w:szCs w:val="10"/>
                <w:color w:val="auto"/>
              </w:rPr>
            </w:pPr>
          </w:p>
        </w:tc>
        <w:tc>
          <w:tcPr>
            <w:tcW w:w="1140" w:type="dxa"/>
            <w:vAlign w:val="bottom"/>
          </w:tcPr>
          <w:p>
            <w:pPr>
              <w:jc w:val="center"/>
              <w:spacing w:after="0" w:line="123" w:lineRule="exact"/>
              <w:rPr>
                <w:sz w:val="20"/>
                <w:szCs w:val="20"/>
                <w:color w:val="auto"/>
              </w:rPr>
            </w:pPr>
            <w:r>
              <w:rPr>
                <w:rFonts w:ascii="Arial" w:cs="Arial" w:eastAsia="Arial" w:hAnsi="Arial"/>
                <w:sz w:val="14"/>
                <w:szCs w:val="14"/>
                <w:color w:val="auto"/>
                <w:w w:val="94"/>
              </w:rPr>
              <w:t>Contract</w:t>
            </w:r>
          </w:p>
        </w:tc>
        <w:tc>
          <w:tcPr>
            <w:tcW w:w="460" w:type="dxa"/>
            <w:vAlign w:val="bottom"/>
          </w:tcPr>
          <w:p>
            <w:pPr>
              <w:spacing w:after="0"/>
              <w:rPr>
                <w:sz w:val="10"/>
                <w:szCs w:val="10"/>
                <w:color w:val="auto"/>
              </w:rPr>
            </w:pPr>
          </w:p>
        </w:tc>
        <w:tc>
          <w:tcPr>
            <w:tcW w:w="12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3"/>
              </w:rPr>
              <w:t>Reconciling</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7"/>
        </w:trPr>
        <w:tc>
          <w:tcPr>
            <w:tcW w:w="53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Development</w:t>
            </w:r>
          </w:p>
        </w:tc>
        <w:tc>
          <w:tcPr>
            <w:tcW w:w="4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Manufacturing</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color w:val="auto"/>
                <w:w w:val="93"/>
              </w:rPr>
              <w:t>Items</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Total</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$ 27,047</w:t>
            </w:r>
          </w:p>
        </w:tc>
        <w:tc>
          <w:tcPr>
            <w:tcW w:w="160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$5,528</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32,575</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jc w:val="right"/>
              <w:ind w:right="254"/>
              <w:spacing w:after="0"/>
              <w:rPr>
                <w:sz w:val="20"/>
                <w:szCs w:val="20"/>
                <w:color w:val="auto"/>
              </w:rPr>
            </w:pPr>
            <w:r>
              <w:rPr>
                <w:rFonts w:ascii="Arial" w:cs="Arial" w:eastAsia="Arial" w:hAnsi="Arial"/>
                <w:sz w:val="18"/>
                <w:szCs w:val="18"/>
                <w:color w:val="auto"/>
              </w:rPr>
              <w:t>7,167</w:t>
            </w:r>
          </w:p>
        </w:tc>
        <w:tc>
          <w:tcPr>
            <w:tcW w:w="460" w:type="dxa"/>
            <w:vAlign w:val="bottom"/>
          </w:tcPr>
          <w:p>
            <w:pPr>
              <w:spacing w:after="0"/>
              <w:rPr>
                <w:sz w:val="18"/>
                <w:szCs w:val="18"/>
                <w:color w:val="auto"/>
              </w:rPr>
            </w:pP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522</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7,689</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11,613</w:t>
            </w:r>
          </w:p>
        </w:tc>
        <w:tc>
          <w:tcPr>
            <w:tcW w:w="160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90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11,703</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 contract income</w:t>
            </w:r>
          </w:p>
        </w:tc>
        <w:tc>
          <w:tcPr>
            <w:tcW w:w="1240" w:type="dxa"/>
            <w:vAlign w:val="bottom"/>
          </w:tcPr>
          <w:p>
            <w:pPr>
              <w:jc w:val="right"/>
              <w:ind w:right="254"/>
              <w:spacing w:after="0"/>
              <w:rPr>
                <w:sz w:val="20"/>
                <w:szCs w:val="20"/>
                <w:color w:val="auto"/>
              </w:rPr>
            </w:pPr>
            <w:r>
              <w:rPr>
                <w:rFonts w:ascii="Arial" w:cs="Arial" w:eastAsia="Arial" w:hAnsi="Arial"/>
                <w:sz w:val="18"/>
                <w:szCs w:val="18"/>
                <w:color w:val="auto"/>
              </w:rPr>
              <w:t>30,640</w:t>
            </w:r>
          </w:p>
        </w:tc>
        <w:tc>
          <w:tcPr>
            <w:tcW w:w="460" w:type="dxa"/>
            <w:vAlign w:val="bottom"/>
          </w:tcPr>
          <w:p>
            <w:pPr>
              <w:spacing w:after="0"/>
              <w:rPr>
                <w:sz w:val="18"/>
                <w:szCs w:val="18"/>
                <w:color w:val="auto"/>
              </w:rPr>
            </w:pPr>
          </w:p>
        </w:tc>
        <w:tc>
          <w:tcPr>
            <w:tcW w:w="114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30,640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6,024</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6,024</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Net (loss) income</w:t>
            </w:r>
          </w:p>
        </w:tc>
        <w:tc>
          <w:tcPr>
            <w:tcW w:w="1240" w:type="dxa"/>
            <w:vAlign w:val="bottom"/>
          </w:tcPr>
          <w:p>
            <w:pPr>
              <w:jc w:val="right"/>
              <w:ind w:right="194"/>
              <w:spacing w:after="0"/>
              <w:rPr>
                <w:sz w:val="20"/>
                <w:szCs w:val="20"/>
                <w:color w:val="auto"/>
              </w:rPr>
            </w:pPr>
            <w:r>
              <w:rPr>
                <w:rFonts w:ascii="Arial" w:cs="Arial" w:eastAsia="Arial" w:hAnsi="Arial"/>
                <w:sz w:val="18"/>
                <w:szCs w:val="18"/>
                <w:color w:val="auto"/>
              </w:rPr>
              <w:t>(31,229)</w:t>
            </w:r>
          </w:p>
        </w:tc>
        <w:tc>
          <w:tcPr>
            <w:tcW w:w="1600" w:type="dxa"/>
            <w:vAlign w:val="bottom"/>
            <w:gridSpan w:val="2"/>
          </w:tcPr>
          <w:p>
            <w:pPr>
              <w:jc w:val="right"/>
              <w:ind w:right="278"/>
              <w:spacing w:after="0"/>
              <w:rPr>
                <w:sz w:val="20"/>
                <w:szCs w:val="20"/>
                <w:color w:val="auto"/>
              </w:rPr>
            </w:pPr>
            <w:r>
              <w:rPr>
                <w:rFonts w:ascii="Arial" w:cs="Arial" w:eastAsia="Arial" w:hAnsi="Arial"/>
                <w:sz w:val="18"/>
                <w:szCs w:val="18"/>
                <w:color w:val="auto"/>
              </w:rPr>
              <w:t>1,362</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(1,255)</w:t>
            </w:r>
            <w:r>
              <w:rPr>
                <w:rFonts w:ascii="Arial" w:cs="Arial" w:eastAsia="Arial" w:hAnsi="Arial"/>
                <w:sz w:val="15"/>
                <w:szCs w:val="15"/>
                <w:color w:val="auto"/>
              </w:rPr>
              <w:t>(2)</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w w:val="95"/>
              </w:rPr>
              <w:t>(31,122)</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3,752</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3,752</w:t>
            </w:r>
          </w:p>
        </w:tc>
      </w:tr>
      <w:tr>
        <w:trPr>
          <w:trHeight w:val="235"/>
        </w:trPr>
        <w:tc>
          <w:tcPr>
            <w:tcW w:w="5300" w:type="dxa"/>
            <w:vAlign w:val="bottom"/>
          </w:tcPr>
          <w:p>
            <w:pPr>
              <w:spacing w:after="0"/>
              <w:rPr>
                <w:sz w:val="20"/>
                <w:szCs w:val="20"/>
                <w:color w:val="auto"/>
              </w:rPr>
            </w:pPr>
            <w:r>
              <w:rPr>
                <w:rFonts w:ascii="Arial" w:cs="Arial" w:eastAsia="Arial" w:hAnsi="Arial"/>
                <w:sz w:val="18"/>
                <w:szCs w:val="18"/>
                <w:color w:val="auto"/>
              </w:rPr>
              <w:t>Total assets</w:t>
            </w:r>
          </w:p>
        </w:tc>
        <w:tc>
          <w:tcPr>
            <w:tcW w:w="1240" w:type="dxa"/>
            <w:vAlign w:val="bottom"/>
          </w:tcPr>
          <w:p>
            <w:pPr>
              <w:jc w:val="right"/>
              <w:ind w:right="254"/>
              <w:spacing w:after="0"/>
              <w:rPr>
                <w:sz w:val="20"/>
                <w:szCs w:val="20"/>
                <w:color w:val="auto"/>
              </w:rPr>
            </w:pPr>
            <w:r>
              <w:rPr>
                <w:rFonts w:ascii="Arial" w:cs="Arial" w:eastAsia="Arial" w:hAnsi="Arial"/>
                <w:sz w:val="18"/>
                <w:szCs w:val="18"/>
                <w:color w:val="auto"/>
              </w:rPr>
              <w:t>81,936</w:t>
            </w:r>
          </w:p>
        </w:tc>
        <w:tc>
          <w:tcPr>
            <w:tcW w:w="1600" w:type="dxa"/>
            <w:vAlign w:val="bottom"/>
            <w:gridSpan w:val="2"/>
          </w:tcPr>
          <w:p>
            <w:pPr>
              <w:jc w:val="right"/>
              <w:ind w:right="278"/>
              <w:spacing w:after="0"/>
              <w:rPr>
                <w:sz w:val="20"/>
                <w:szCs w:val="20"/>
                <w:color w:val="auto"/>
              </w:rPr>
            </w:pPr>
            <w:r>
              <w:rPr>
                <w:rFonts w:ascii="Arial" w:cs="Arial" w:eastAsia="Arial" w:hAnsi="Arial"/>
                <w:sz w:val="18"/>
                <w:szCs w:val="18"/>
                <w:color w:val="auto"/>
              </w:rPr>
              <w:t>6,006</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w w:val="91"/>
              </w:rPr>
              <w:t>359,006</w:t>
            </w:r>
            <w:r>
              <w:rPr>
                <w:rFonts w:ascii="Arial" w:cs="Arial" w:eastAsia="Arial" w:hAnsi="Arial"/>
                <w:sz w:val="15"/>
                <w:szCs w:val="15"/>
                <w:color w:val="auto"/>
                <w:w w:val="91"/>
              </w:rPr>
              <w:t>(4)</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w w:val="89"/>
              </w:rPr>
              <w:t>446,948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ind w:left="460" w:right="10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spacing w:after="0" w:line="21" w:lineRule="exact"/>
        <w:rPr>
          <w:rFonts w:ascii="Arial" w:cs="Arial" w:eastAsia="Arial" w:hAnsi="Arial"/>
          <w:sz w:val="15"/>
          <w:szCs w:val="15"/>
          <w:color w:val="auto"/>
        </w:rPr>
      </w:pPr>
    </w:p>
    <w:p>
      <w:pPr>
        <w:ind w:left="460" w:right="8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Represents investment income, net of interest expense related primarily to convertible notes issued in October 2001. For the six months ended June 30, 2006, also includes the cumulative effect of adopting SFAS 123R (see Note 3).</w:t>
      </w:r>
    </w:p>
    <w:p>
      <w:pPr>
        <w:spacing w:after="0" w:line="21" w:lineRule="exact"/>
        <w:rPr>
          <w:rFonts w:ascii="Arial" w:cs="Arial" w:eastAsia="Arial" w:hAnsi="Arial"/>
          <w:sz w:val="15"/>
          <w:szCs w:val="15"/>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Represents the cumulative effect of adopting SFAS 123R (see Note 3).</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cash and cash equivalents, marketable securities, prepaid expenses and other current assets, and other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Matters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The Company does not expect any such current legal proceedings to have a material adverse effect on the Company’s business or financial condition.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225"/>
        <w:spacing w:after="0" w:line="254" w:lineRule="auto"/>
        <w:rPr>
          <w:sz w:val="20"/>
          <w:szCs w:val="20"/>
          <w:color w:val="auto"/>
        </w:rPr>
      </w:pPr>
      <w:r>
        <w:rPr>
          <w:rFonts w:ascii="Arial" w:cs="Arial" w:eastAsia="Arial" w:hAnsi="Arial"/>
          <w:sz w:val="18"/>
          <w:szCs w:val="18"/>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Regeneron Pharmaceuticals, Inc. is a biopharmaceutical company that discovers, develops, and intends to commercialize pharmaceutical products for the treatment of serious medical conditions. We are currently focused on three development programs: VEGF Trap in oncology, VEGF Trap eye formulation (VEGF Trap-Eye) in eye diseases using intraocular delivery, and IL-1 Trap in various inflammatory indications. The VEGF Trap is being developed in oncology in collaboration with the sanofi-aventis Group. Our preclinical research programs are in the areas of oncology and angiogenesis, ophthalmology, metabolic and related diseases, muscle diseases and disorders, inflammation and immune diseases, bone and cartilage, pain, and cardiovascular diseases. We expect that our next generation of product candidates will be based on our proprietary technologies for developing human monoclonal antibodies. Developing and commercializing new medicines entails significant risk and expense. Since inception we have not generated any sales or profits from the commercialization of any of our product candidates.</w:t>
      </w:r>
    </w:p>
    <w:p>
      <w:pPr>
        <w:spacing w:after="0" w:line="84" w:lineRule="exact"/>
        <w:rPr>
          <w:sz w:val="20"/>
          <w:szCs w:val="20"/>
          <w:color w:val="auto"/>
        </w:rPr>
      </w:pPr>
    </w:p>
    <w:p>
      <w:pPr>
        <w:ind w:right="40" w:firstLine="225"/>
        <w:spacing w:after="0" w:line="253"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technology and combine that foundation with our manufacturing and clinical development capabilities to build a successful, integrated biopharmaceutical company. Our efforts have yielded a diverse pipeline of product candidates that we believe has the potential to address a variety of serious medical conditions. We believe that our ability to develop product candidates is enhanced by the application of our technology platforms. Our discovery platforms are designed to identify specific genes of therapeutic interest for a particular disease or cell type and validate targets through high-throughput production of mammalian models. Our human monoclonal antibody (VelocImmune</w:t>
      </w:r>
      <w:r>
        <w:rPr>
          <w:rFonts w:ascii="Arial" w:cs="Arial" w:eastAsia="Arial" w:hAnsi="Arial"/>
          <w:sz w:val="15"/>
          <w:szCs w:val="15"/>
          <w:color w:val="auto"/>
        </w:rPr>
        <w:t>®</w:t>
      </w:r>
      <w:r>
        <w:rPr>
          <w:rFonts w:ascii="Arial" w:cs="Arial" w:eastAsia="Arial" w:hAnsi="Arial"/>
          <w:sz w:val="18"/>
          <w:szCs w:val="18"/>
          <w:color w:val="auto"/>
        </w:rPr>
        <w:t>) and cell line expression technologies may then be utilized to design and produce new product candidates directed against the disease target. Based on the strength of the VelocImmune platform, which we believe, in conjunction with our other proprietary technologies, can accelerate the development of fully human monoclonal antibodies, we plan to move two new antibody candidates into clinical trials each year going forward beginning in 2007. We continue to invest in the development of enabling technologies to assist in our efforts to identify, develop, and commercialize new product candidates.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Below is a summary of the clinical status of our clinical candidates as of June 30,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VEGF Trap — Oncology</w:t>
      </w:r>
    </w:p>
    <w:p>
      <w:pPr>
        <w:spacing w:after="0" w:line="12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VEGF Trap is a protein-based product candidate designed to bind all forms of Vascular Endothelial Growth Factor-A (called VEGF-A, also known as Vascular Permeability Factor or VPF) and the related Placental Growth Factor (called PlGF), and prevent their interaction with cell surface receptors. VEGF-A (and to a less validated degree, PlGF) is required for the growth of new blood vessels that are needed for tumors to grow and is a potent regulator of vascular permeability and leakage.</w:t>
      </w:r>
    </w:p>
    <w:p>
      <w:pPr>
        <w:spacing w:after="0" w:line="79" w:lineRule="exact"/>
        <w:rPr>
          <w:sz w:val="20"/>
          <w:szCs w:val="20"/>
          <w:color w:val="auto"/>
        </w:rPr>
      </w:pPr>
    </w:p>
    <w:p>
      <w:pPr>
        <w:ind w:right="440" w:firstLine="222"/>
        <w:spacing w:after="0" w:line="342" w:lineRule="auto"/>
        <w:rPr>
          <w:sz w:val="20"/>
          <w:szCs w:val="20"/>
          <w:color w:val="auto"/>
        </w:rPr>
      </w:pPr>
      <w:r>
        <w:rPr>
          <w:rFonts w:ascii="Arial" w:cs="Arial" w:eastAsia="Arial" w:hAnsi="Arial"/>
          <w:sz w:val="16"/>
          <w:szCs w:val="16"/>
          <w:color w:val="auto"/>
        </w:rPr>
        <w:t>The VEGF Trap is being developed in cancer indications in collaboration with sanofi-aventis, as described below. In September 2005, we and sanofi-aventis announced plans to expand our joint development program, and we have subsequently initiated a broad set of clinical trials in oncology.</w:t>
      </w:r>
    </w:p>
    <w:p>
      <w:pPr>
        <w:spacing w:after="0" w:line="16"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In the first half of 2006, we and sanofi-aventis initiated our phase 2 single-agent program for the VEGF Trap in cancer. Patient enrollment is now underway in studies in advanced ovarian cancer (AOC), non-small cell lung adenocarcinoma (NSCLA), and AOC patients with symptomatic malignant ascites (SMA). In 2004, the United States Food and Drug Administration (FDA) granted Fast Track designation to the VEGF Trap for the treatment of SMA.</w:t>
      </w:r>
    </w:p>
    <w:p>
      <w:pPr>
        <w:spacing w:after="0" w:line="39"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companies also plan to conduct three phase 3 efficacy/safety trials using the VEGF Trap in combination with standard chemotherapy regimens, the first of which is planned to begin in late 2006 or early 2007, once the supporting safety and tolerability studies have been completed. The companies are working to finalize plans with the National Cancer Institute (NCI) Cancer Therapy Evaluation Program (CTEP) to conduct at least ten additional cancer trials, several of which are planned to begin in 2006.</w:t>
      </w:r>
    </w:p>
    <w:p>
      <w:pPr>
        <w:spacing w:after="0" w:line="79" w:lineRule="exact"/>
        <w:rPr>
          <w:sz w:val="20"/>
          <w:szCs w:val="20"/>
          <w:color w:val="auto"/>
        </w:rPr>
      </w:pPr>
    </w:p>
    <w:p>
      <w:pPr>
        <w:ind w:right="380" w:firstLine="225"/>
        <w:spacing w:after="0" w:line="291" w:lineRule="auto"/>
        <w:rPr>
          <w:sz w:val="20"/>
          <w:szCs w:val="20"/>
          <w:color w:val="auto"/>
        </w:rPr>
      </w:pPr>
      <w:r>
        <w:rPr>
          <w:rFonts w:ascii="Arial" w:cs="Arial" w:eastAsia="Arial" w:hAnsi="Arial"/>
          <w:sz w:val="16"/>
          <w:szCs w:val="16"/>
          <w:color w:val="auto"/>
        </w:rPr>
        <w:t>Currently there are five safety and tolerability studies underway for the VEGF Trap in combination with standard chemotherapy regimens designed to support subsequent phase 3 clinical trials in a variety of cancer types. At the annual meeting of the American Society of Clinical Oncology (ASCO) in</w:t>
      </w:r>
    </w:p>
    <w:p>
      <w:pPr>
        <w:spacing w:after="0" w:line="270" w:lineRule="auto"/>
        <w:rPr>
          <w:sz w:val="20"/>
          <w:szCs w:val="20"/>
          <w:color w:val="auto"/>
        </w:rPr>
      </w:pPr>
      <w:r>
        <w:rPr>
          <w:rFonts w:ascii="Arial" w:cs="Arial" w:eastAsia="Arial" w:hAnsi="Arial"/>
          <w:sz w:val="17"/>
          <w:szCs w:val="17"/>
          <w:color w:val="auto"/>
        </w:rPr>
        <w:t xml:space="preserve">May 2006, the companies reported abstracts summarizing information from two of these studies. The first study is evaluating the VEGF Trap plus oxaliplatin, 5-flourouracil, and leucovorin (FOLFOX4) in a phase 1 trial of patients with advanced solid tumors. The second study is evaluating the VEGF Trap plus irinotecan, 5-fluorouracil, and leucovorin (LV5FU2-CPT11) in a phase 1 trial of patients with advanced solid tumors. In both trials, patients have been treated in combination with chemotherapy in doses ranging up to 4.0 milligrams per kilogram (mg/kg) of the VEGF Trap. The abstracts, published in the </w:t>
      </w:r>
      <w:r>
        <w:rPr>
          <w:rFonts w:ascii="Arial" w:cs="Arial" w:eastAsia="Arial" w:hAnsi="Arial"/>
          <w:sz w:val="17"/>
          <w:szCs w:val="17"/>
          <w:u w:val="single" w:color="auto"/>
          <w:color w:val="auto"/>
        </w:rPr>
        <w:t>2006 ASCO</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Annual Meeting Proceedings</w:t>
      </w:r>
      <w:r>
        <w:rPr>
          <w:rFonts w:ascii="Arial" w:cs="Arial" w:eastAsia="Arial" w:hAnsi="Arial"/>
          <w:sz w:val="17"/>
          <w:szCs w:val="17"/>
          <w:color w:val="auto"/>
        </w:rPr>
        <w:t>, reported that the VEGF Trap could be safely combined with either FOLFOX4 or LV5FU2-CPT11 at the dose levels studied. The maximum tolerated doses in these studies have not yet been reached, and dose escalation is continuing.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Cancer is a heterogeneous set of diseases and one of the leading causes of death in the developed world. A mutation in any one of dozens of normal genes can eventually result in a cell becoming cancerous; however, a common feature of cancer cells is that they need to obtain nutrients and remove waste products, just as normal cells do. The vascular system normally supplies nutrients to and removes waste from normal tissues. Cancer cells can use the vascular system either by taking over preexisting blood vessels or by promoting the growth of new blood vessels (a process known as angiogenesis). VEGF is secreted by many tumors to stimulate the growth of new blood vessels to supply nutrients and oxygen to the tumor. VEGF blockers have been shown to inhibit new vessel growth; and, in some cases, can cause regression of existing tumor vasculature. Countering the effects of VEGF, thereby blocking the blood supply to tumors, has demonstrated therapeutic benefits in clinical trials. This approach of inhibiting angiogenesis as a mechanism of action for an oncology medicine was validated in February 2004, when the FDA approved Genentech, Inc.’s VEGF inhibitor, Avastin</w:t>
      </w:r>
      <w:r>
        <w:rPr>
          <w:rFonts w:ascii="Arial" w:cs="Arial" w:eastAsia="Arial" w:hAnsi="Arial"/>
          <w:sz w:val="14"/>
          <w:szCs w:val="14"/>
          <w:color w:val="auto"/>
        </w:rPr>
        <w:t>®</w:t>
      </w:r>
      <w:r>
        <w:rPr>
          <w:rFonts w:ascii="Arial" w:cs="Arial" w:eastAsia="Arial" w:hAnsi="Arial"/>
          <w:sz w:val="17"/>
          <w:szCs w:val="17"/>
          <w:color w:val="auto"/>
        </w:rPr>
        <w:t>. Avastin is an antibody product designed to inhibit VEGF and interfere with the blood supply to tumors.</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September 2003, we entered into a collaboration agreement with Aventis Pharmaceuticals, Inc. (predecessor to sanofi-aventis U.S.) to collaborate on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commercialization of the VEGF Trap in all countries other than Japan, where we retained the exclusive right to develop and commercialize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VEGF Trap. In January 2005, we and sanofi-aventis amended the collaboration agreement to exclude from the scope of the collaboration the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commercialization of the VEGF Trap for intraocular delivery to the eye. In December 2005, we and sanofi-aventis amended our collaboration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expand the territory in which the companies are collaborating on the development of the VEGF Trap to include Japan. Under the collaboration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amended, we and sanofi-aventis will share co-promotion rights and profits on sales, if any, of the VEGF Trap outside of Japan for disease indications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included in our collaboration. In Japan, we are entitled to a royalty of approximately 35% on annual sales of the VEGF Trap, subject to certain potential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adjustments. We may also receive up to $400.0 million in milestone payments upon receipt of specified marketing approvals. This total includes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$360.0 million in milestone payments related to receipt of marketing approvals for up to eight VEGF Trap oncology and other indications in the 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the European Union. Another $40.0 million of milestone payments relate to receipt of marketing approvals for up to five VEGF Trap oncology indications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Japan.</w:t>
      </w:r>
    </w:p>
    <w:p>
      <w:pPr>
        <w:spacing w:after="0" w:line="103"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Under the collaboration agreement, as amended, agreed upon worldwide development expenses incurred by both companies during the term of the agreement will be funded by sanofi-aventis. If the collaboration becomes profitable, we will be obligated to reimburse sanofi-aventis for 50% of the VEGF Trap development expenses in accordance with a formula based on the amount of development expenses and our share of the collaboration profits and Japan royalties, or at a faster rate at our option. (See “The sanofi-aventis Group Agreement”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VEGF Trap — Eye Diseases</w:t>
      </w:r>
    </w:p>
    <w:p>
      <w:pPr>
        <w:spacing w:after="0" w:line="121"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are developing the VEGF Trap-Eye for the treatment of certain eye diseases. This product candidate has been purified and formulated in concentrations suitable for direct injection into the eye. We retain the exclusive right to develop and commercialize the VEGF Trap-Eye for the treatment of eye diseases utilizing local (intravitreal) delivery to the eye. In May 2006, we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announced that we had initiated a phase 2 trial of the VEGF Trap-Eye delivered intravitreally in patients with the neovascular form of age-related macular degeneration (wet AMD).</w:t>
      </w:r>
    </w:p>
    <w:p>
      <w:pPr>
        <w:spacing w:after="0" w:line="62" w:lineRule="exact"/>
        <w:rPr>
          <w:sz w:val="20"/>
          <w:szCs w:val="20"/>
          <w:color w:val="auto"/>
        </w:rPr>
      </w:pPr>
    </w:p>
    <w:p>
      <w:pPr>
        <w:ind w:right="40" w:firstLine="215"/>
        <w:spacing w:after="0" w:line="269" w:lineRule="auto"/>
        <w:rPr>
          <w:sz w:val="20"/>
          <w:szCs w:val="20"/>
          <w:color w:val="auto"/>
        </w:rPr>
      </w:pPr>
      <w:r>
        <w:rPr>
          <w:rFonts w:ascii="Arial" w:cs="Arial" w:eastAsia="Arial" w:hAnsi="Arial"/>
          <w:sz w:val="17"/>
          <w:szCs w:val="17"/>
          <w:color w:val="auto"/>
        </w:rPr>
        <w:t>At the May 2006 Annual Meeting of the Association for Research in Vision and Ophthalmology (ARVO), we reported positive preliminary results from a phase 1 trial of the VEGF Trap-Eye in patients with wet AMD. A total of 21 patients received a single dose of VEGF Trap-Eye at doses of 0.05, 0.15, 0.5, 1, 2, and 4 milligrams (mg) intravitreally (direct injection into the eye). Patients were evaluated for six weeks to measure the durability of effects and provide guidance for dosing regimens to be used in future trials. All dose levels were generally well tolerated, and a maximum tolerated dose was not reached in the study. In wet AMD, the leakiness of the abnormal blood vessels in the eye can lead to increased retinal thickness. On average, patients receiving the VEGF Trap-Eye demonstrated large, rapid, and sustained (at least six weeks) reductions in retinal thickness. Excess retinal thickness, as determined by ocular coherence tomography (OCT), is a clinical measure of disease activity in wet AMD. As measured by the OCT reading center (posterior pole OCT scans), the median excess retinal thickness resulting from the disease process was 194 microns at baseline. Following a single intravitreal dose of the VEGF Trap-Eye, median excess retinal thickness was reduced to 60 microns, an improvement that was sustained over a six week period. As measured by the computerized Fast Macular Scan protocol, the median excess retinal thickness was 119 microns at baseline, which was reduced to 27 microns at six weeks after the single dose of the VEGF Trap-Eye.</w:t>
      </w:r>
    </w:p>
    <w:p>
      <w:pPr>
        <w:spacing w:after="0" w:line="75"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Of the 20 patients evaluable for efficacy, 95 percent had stabilization or improvement in visual acuity, defined as £15 letter loss on the Early Treatment of Diabetic Retinopathy Study (ETDRS) eye chart. Patients were also evaluated for best-corrected visual acuity (BCVA), the best acuity a person can achieve with glasses. BCVA for all patients in the study increased by a mean of 4.8 letters at six weeks. In the two highest dose groups (2 mg and 4 mg), the mean improvement in BCVA was 13.5 letters, with three of six patients showing an improvement in BCVA of 15 or more letters.</w:t>
      </w:r>
    </w:p>
    <w:p>
      <w:pPr>
        <w:spacing w:after="0" w:line="63"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In the second quarter of 2006, we initiated a 150 patient, 12 week, phase 2 trial of the VEGF Trap-Eye in wet AMD. The trial is evaluating the safety and biological effect of treatment with multiple doses of the VEGF Trap-Eye using different doses and different dosing regimens. A phase 3 trial of the VEGF Trap-Eye in wet AMD is planned to begin in early 2007.</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Also in the second quarter of 2006, we initiated a small pilot study of the VEGF Trap in patients with diabetic macular edema.</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VEGF-A both stimulates angiogenesis and increases vascular permeability. It has been shown in preclinical studies to be a major pathogenic factor in both wet AMD and diabetic retinopathy, and it is believed to be involved in other medical problems affecting the eyes. In clinical trials, blocking VEGF-A has been shown to be effective in patients with wet AMD, and Macugen</w:t>
      </w:r>
      <w:r>
        <w:rPr>
          <w:rFonts w:ascii="Arial" w:cs="Arial" w:eastAsia="Arial" w:hAnsi="Arial"/>
          <w:sz w:val="15"/>
          <w:szCs w:val="15"/>
          <w:color w:val="auto"/>
        </w:rPr>
        <w:t>®</w:t>
      </w:r>
      <w:r>
        <w:rPr>
          <w:rFonts w:ascii="Arial" w:cs="Arial" w:eastAsia="Arial" w:hAnsi="Arial"/>
          <w:sz w:val="18"/>
          <w:szCs w:val="18"/>
          <w:color w:val="auto"/>
        </w:rPr>
        <w:t xml:space="preserve"> (OSI Pharmaceuticals, Inc.) and Lucentis™ (Genentech, Inc.) have been approved to treat patients with this condition.</w:t>
      </w:r>
    </w:p>
    <w:p>
      <w:pPr>
        <w:spacing w:after="0" w:line="79"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Wet AMD and diabetic retinopathy (DR) are two of the leading causes of adult blindness in the developed world. In both conditions, severe visual loss is caused by a combination of retinal</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edema and neovascular proliferation. It is estimated that in the U.S. 6% of individuals aged 65-74 and 20% of those older than 75 are affected with wet AMD. DR is a major complication of diabetes mellitus that can lead to significant vision impairment. DR is characterized, in part, by vascular leakage, which results in the collection of fluid in the retina. When the macula, the central area of the retina that is responsible for fine visual acuity, is involved, loss of visual acuity occurs. This is referred to as diabetic macular edema (DME). DME is the most prevalent cause of moderate visual loss in patients with diabetes.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IL-1 Trap — Inflammatory Diseases</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IL-1 Trap is a protein-based product candidate designed to bind the interleukin-1 (called IL-1) cytokine and prevent its interaction with cell surface receptors.</w:t>
      </w:r>
    </w:p>
    <w:p>
      <w:pPr>
        <w:spacing w:after="0" w:line="62"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 xml:space="preserve">We are evaluating the IL-1 Trap in a number of diseases and disorders where IL-1 may play an important role, including a spectrum of rare diseases called </w:t>
      </w:r>
      <w:r>
        <w:rPr>
          <w:rFonts w:ascii="Arial" w:cs="Arial" w:eastAsia="Arial" w:hAnsi="Arial"/>
          <w:sz w:val="18"/>
          <w:szCs w:val="18"/>
          <w:i w:val="1"/>
          <w:iCs w:val="1"/>
          <w:color w:val="auto"/>
        </w:rPr>
        <w:t>CIAS</w:t>
      </w:r>
      <w:r>
        <w:rPr>
          <w:rFonts w:ascii="Arial" w:cs="Arial" w:eastAsia="Arial" w:hAnsi="Arial"/>
          <w:sz w:val="18"/>
          <w:szCs w:val="18"/>
          <w:color w:val="auto"/>
        </w:rPr>
        <w:t>1-Associated Periodic Syndrome (CAPS) and diseases associated with inflammation. These include Systemic Juvenile Idiopathic Arthritis (SJIA) and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inflammatory vascular diseases.</w:t>
      </w:r>
    </w:p>
    <w:p>
      <w:pPr>
        <w:spacing w:after="0" w:line="7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April 2006, we completed enrollment of the pivotal study of the IL-1 Trap in patients with CAPS. Patients in the trial are receiving a 160 mg dose of the IL-1 Trap once a week through subcutaneous self-administration. The six-month, placebo-controlled, double-blind, efficacy phase of the study is expected to be completed and preliminary data available by the end of 2006. This phase will be followed by a six-month open-label extension phase. We plan to file a Biologics License Application (BLA) for the IL-1 Trap for the treatment of CAPS in early 2007. In addition, Regeneron has ongoing proof-of-concept studies in other indications, such as SJIA. The FDA has granted Orphan Drug and Fast Track designations to the IL-1 Trap for the treatment of CAPS. In April 2005, the FDA also granted an Orphan Drug designation to the IL-1 Trap for the treatment of SJIA.</w:t>
      </w:r>
    </w:p>
    <w:p>
      <w:pPr>
        <w:spacing w:after="0" w:line="70" w:lineRule="exact"/>
        <w:rPr>
          <w:sz w:val="20"/>
          <w:szCs w:val="20"/>
          <w:color w:val="auto"/>
        </w:rPr>
      </w:pPr>
    </w:p>
    <w:p>
      <w:pPr>
        <w:ind w:right="20" w:firstLine="215"/>
        <w:spacing w:after="0" w:line="293" w:lineRule="auto"/>
        <w:rPr>
          <w:sz w:val="20"/>
          <w:szCs w:val="20"/>
          <w:color w:val="auto"/>
        </w:rPr>
      </w:pPr>
      <w:r>
        <w:rPr>
          <w:rFonts w:ascii="Arial" w:cs="Arial" w:eastAsia="Arial" w:hAnsi="Arial"/>
          <w:sz w:val="16"/>
          <w:szCs w:val="16"/>
          <w:color w:val="auto"/>
        </w:rPr>
        <w:t>An IL-1 receptor antagonist, Kineret</w:t>
      </w:r>
      <w:r>
        <w:rPr>
          <w:rFonts w:ascii="Arial" w:cs="Arial" w:eastAsia="Arial" w:hAnsi="Arial"/>
          <w:sz w:val="13"/>
          <w:szCs w:val="13"/>
          <w:color w:val="auto"/>
        </w:rPr>
        <w:t>®</w:t>
      </w:r>
      <w:r>
        <w:rPr>
          <w:rFonts w:ascii="Arial" w:cs="Arial" w:eastAsia="Arial" w:hAnsi="Arial"/>
          <w:sz w:val="16"/>
          <w:szCs w:val="16"/>
          <w:color w:val="auto"/>
        </w:rPr>
        <w:t xml:space="preserve"> (Amgen Inc.), has been approved by the FDA for the treatment of rheumatoid arthritis. It has been publicly reported that in small trials Kineret appears to reduce the symptoms in CAPS patients and SJIA patients, which supports the role of IL-1 in these diseases. CAPS includes rare genetic disorders, such as Familial Cold Auto-Inflammatory Syndrome (FCAS), Muckle Wells Syndrome, and Neonatal Onset Multisystem Inflammatory Disorder (NOMID), which affect a small group of people. Patients with these disorders develop fever, joint aches, headaches, and rashes. In certain indications, these symptoms can be extremely serious. There are no currently approved therapies for CAPS. SJIA is a severe inflammatory disorder which may be debilitating or fatal. It is estimated that there are between 5,000 and 10,000 children with SJIA in the United States.</w:t>
      </w:r>
    </w:p>
    <w:p>
      <w:pPr>
        <w:spacing w:after="0" w:line="57"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Under a March 2003 collaboration agreement with Novartis Pharma AG, we retain the right to elect to collaborate in the future development and commercialization of a Novartis IL-1 antibody, which is in clinical development. Following completion of phase 2 development and submission to us of a written report on the Novartis IL-1 antibody, we have the right, in consideration for an opt-in payment, to elect to co-develop and co-commercialize the Novartis IL-1 antibody in North America. If we elect to exercise this right, we are responsible for paying 45% of post-election North American development costs for the antibody product. In return, we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are entitled to co-promote the Novartis IL-1 antibody and to receive 45% of net profits on sales of the antibody product in North America. Under certain circumstances, we are also entitled to receive royalties on sales of the Novartis IL-1 antibody in Europe.</w:t>
      </w:r>
    </w:p>
    <w:p>
      <w:pPr>
        <w:spacing w:after="0" w:line="62"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In addition, under the collaboration agreement, Novartis has the right to elect to collaborate in the development and commercialization of a second generation IL-1 Trap following completion of its phase 2 development, should we decide to clinically develop such a second generation product candidate. Novartis does not have any rights or options with respect to our IL-1 Trap currently in clinical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50"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From inception on January 8, 1988 through June 30, 2006, we had a cumulative loss of $629.2 million. In the absence of revenues from the commercialization of our product candidates or other sources, the amount, timing, nature, or source of which cannot be predicted, our losses will continue as we conduct our research and development activities. We expect to incur substantial losses over the next several years as we continue the clinical development of the IL-1 Trap; advance new product candidates into clinical development from our existing research programs; continue our research and development programs; and commercialize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among other factors, on the progress of our research and development efforts, the timing of certain expenses, and the amount and timing of payments that we receive from collaborators.</w:t>
      </w:r>
    </w:p>
    <w:p>
      <w:pPr>
        <w:spacing w:after="0" w:line="84"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for 2006 and plans over the next 12 months are as follows: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 Candidate</w:t>
            </w:r>
          </w:p>
        </w:tc>
        <w:tc>
          <w:tcPr>
            <w:tcW w:w="140" w:type="dxa"/>
            <w:vAlign w:val="bottom"/>
          </w:tcPr>
          <w:p>
            <w:pPr>
              <w:spacing w:after="0"/>
              <w:rPr>
                <w:sz w:val="14"/>
                <w:szCs w:val="1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2006 Events to Date</w:t>
            </w:r>
          </w:p>
        </w:tc>
      </w:tr>
      <w:tr>
        <w:trPr>
          <w:trHeight w:val="195"/>
        </w:trPr>
        <w:tc>
          <w:tcPr>
            <w:tcW w:w="2740" w:type="dxa"/>
            <w:vAlign w:val="bottom"/>
          </w:tcPr>
          <w:p>
            <w:pPr>
              <w:spacing w:after="0" w:line="195" w:lineRule="exact"/>
              <w:rPr>
                <w:sz w:val="20"/>
                <w:szCs w:val="20"/>
                <w:color w:val="auto"/>
              </w:rPr>
            </w:pPr>
            <w:r>
              <w:rPr>
                <w:rFonts w:ascii="Arial" w:cs="Arial" w:eastAsia="Arial" w:hAnsi="Arial"/>
                <w:sz w:val="18"/>
                <w:szCs w:val="18"/>
                <w:color w:val="auto"/>
              </w:rPr>
              <w:t>VEGF Trap —</w:t>
            </w:r>
          </w:p>
        </w:tc>
        <w:tc>
          <w:tcPr>
            <w:tcW w:w="140" w:type="dxa"/>
            <w:vAlign w:val="bottom"/>
          </w:tcPr>
          <w:p>
            <w:pPr>
              <w:spacing w:after="0"/>
              <w:rPr>
                <w:sz w:val="16"/>
                <w:szCs w:val="16"/>
                <w:color w:val="auto"/>
              </w:rPr>
            </w:pPr>
          </w:p>
        </w:tc>
        <w:tc>
          <w:tcPr>
            <w:tcW w:w="4240" w:type="dxa"/>
            <w:vAlign w:val="bottom"/>
          </w:tcPr>
          <w:p>
            <w:pPr>
              <w:spacing w:after="0" w:line="195"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Initiated phase 2 studies of the</w:t>
            </w: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Oncology</w:t>
            </w:r>
          </w:p>
        </w:tc>
        <w:tc>
          <w:tcPr>
            <w:tcW w:w="14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VEGF Trap as a single agent in</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AOC and NSCLA patients, and</w:t>
            </w:r>
          </w:p>
        </w:tc>
      </w:tr>
      <w:tr>
        <w:trPr>
          <w:trHeight w:val="212"/>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in AOC patients with SMA.</w:t>
            </w:r>
          </w:p>
        </w:tc>
      </w:tr>
      <w:tr>
        <w:trPr>
          <w:trHeight w:val="220"/>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Initiated two safety and</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tolerability studies of the VEGF</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Trap in combination with</w:t>
            </w:r>
          </w:p>
        </w:tc>
      </w:tr>
      <w:tr>
        <w:trPr>
          <w:trHeight w:val="212"/>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standard chemotherapy regimens</w:t>
            </w:r>
          </w:p>
        </w:tc>
      </w:tr>
      <w:tr>
        <w:trPr>
          <w:trHeight w:val="220"/>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Reported encouraging</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preliminary results of the safety</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and tolerability of intravenous</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VEGF Trap plus FOLFOX4 and</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of intravenous VEGF Trap plus</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LV5FU2-CPT11 in separate</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phase 1 trials of patients with</w:t>
            </w: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advanced solid tumors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2006-7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2667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 w:lineRule="exact"/>
        <w:rPr>
          <w:sz w:val="20"/>
          <w:szCs w:val="20"/>
          <w:color w:val="auto"/>
        </w:rPr>
      </w:pPr>
    </w:p>
    <w:p>
      <w:pPr>
        <w:ind w:left="220" w:right="1560" w:hanging="220"/>
        <w:spacing w:after="0" w:line="281" w:lineRule="auto"/>
        <w:tabs>
          <w:tab w:leader="none" w:pos="22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Initiate up to three efficacy/safety studies of the VEGF Trap in combination with standard chemotherapy regimens in different cancer indications</w:t>
      </w:r>
    </w:p>
    <w:p>
      <w:pPr>
        <w:spacing w:after="0" w:line="1" w:lineRule="exact"/>
        <w:rPr>
          <w:rFonts w:ascii="Arial" w:cs="Arial" w:eastAsia="Arial" w:hAnsi="Arial"/>
          <w:sz w:val="16"/>
          <w:szCs w:val="16"/>
          <w:b w:val="1"/>
          <w:bCs w:val="1"/>
          <w:color w:val="auto"/>
        </w:rPr>
      </w:pPr>
    </w:p>
    <w:p>
      <w:pPr>
        <w:ind w:left="220" w:right="1580" w:hanging="220"/>
        <w:spacing w:after="0" w:line="253"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Sponsor with the NCI/CTEP at least ten exploratory efficacy/safety studies evaluating the VEGF Trap in a variety of cancer types</w:t>
      </w:r>
    </w:p>
    <w:p>
      <w:pPr>
        <w:spacing w:after="0" w:line="1485" w:lineRule="exact"/>
        <w:rPr>
          <w:sz w:val="20"/>
          <w:szCs w:val="20"/>
          <w:color w:val="auto"/>
        </w:rPr>
      </w:pPr>
    </w:p>
    <w:p>
      <w:pPr>
        <w:sectPr>
          <w:pgSz w:w="11900" w:h="16838" w:orient="portrait"/>
          <w:cols w:equalWidth="0" w:num="2">
            <w:col w:w="7120" w:space="100"/>
            <w:col w:w="4200"/>
          </w:cols>
          <w:pgMar w:left="240" w:top="419" w:right="239" w:bottom="1440"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40" w:type="dxa"/>
            <w:vAlign w:val="bottom"/>
          </w:tcPr>
          <w:p>
            <w:pPr>
              <w:spacing w:after="0"/>
              <w:rPr>
                <w:sz w:val="20"/>
                <w:szCs w:val="20"/>
                <w:color w:val="auto"/>
              </w:rPr>
            </w:pPr>
            <w:r>
              <w:rPr>
                <w:rFonts w:ascii="Arial" w:cs="Arial" w:eastAsia="Arial" w:hAnsi="Arial"/>
                <w:sz w:val="18"/>
                <w:szCs w:val="18"/>
                <w:color w:val="auto"/>
              </w:rPr>
              <w:t>VEGF Trap-Eye</w:t>
            </w:r>
          </w:p>
        </w:tc>
        <w:tc>
          <w:tcPr>
            <w:tcW w:w="4360" w:type="dxa"/>
            <w:vAlign w:val="bottom"/>
          </w:tcPr>
          <w:p>
            <w:pPr>
              <w:ind w:left="8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Reported positive preliminary</w:t>
            </w:r>
          </w:p>
        </w:tc>
        <w:tc>
          <w:tcPr>
            <w:tcW w:w="5020" w:type="dxa"/>
            <w:vAlign w:val="bottom"/>
          </w:tcPr>
          <w:p>
            <w:pPr>
              <w:ind w:left="8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Report preliminary results of</w:t>
            </w:r>
          </w:p>
        </w:tc>
      </w:tr>
      <w:tr>
        <w:trPr>
          <w:trHeight w:val="216"/>
        </w:trPr>
        <w:tc>
          <w:tcPr>
            <w:tcW w:w="2040" w:type="dxa"/>
            <w:vAlign w:val="bottom"/>
          </w:tcPr>
          <w:p>
            <w:pPr>
              <w:spacing w:after="0"/>
              <w:rPr>
                <w:sz w:val="18"/>
                <w:szCs w:val="18"/>
                <w:color w:val="auto"/>
              </w:rPr>
            </w:pPr>
          </w:p>
        </w:tc>
        <w:tc>
          <w:tcPr>
            <w:tcW w:w="4360" w:type="dxa"/>
            <w:vAlign w:val="bottom"/>
          </w:tcPr>
          <w:p>
            <w:pPr>
              <w:ind w:left="1080"/>
              <w:spacing w:after="0"/>
              <w:rPr>
                <w:sz w:val="20"/>
                <w:szCs w:val="20"/>
                <w:color w:val="auto"/>
              </w:rPr>
            </w:pPr>
            <w:r>
              <w:rPr>
                <w:rFonts w:ascii="Arial" w:cs="Arial" w:eastAsia="Arial" w:hAnsi="Arial"/>
                <w:sz w:val="18"/>
                <w:szCs w:val="18"/>
                <w:color w:val="auto"/>
              </w:rPr>
              <w:t>results from phase 1 trial in wet</w:t>
            </w:r>
          </w:p>
        </w:tc>
        <w:tc>
          <w:tcPr>
            <w:tcW w:w="5020" w:type="dxa"/>
            <w:vAlign w:val="bottom"/>
          </w:tcPr>
          <w:p>
            <w:pPr>
              <w:ind w:left="1040"/>
              <w:spacing w:after="0"/>
              <w:rPr>
                <w:sz w:val="20"/>
                <w:szCs w:val="20"/>
                <w:color w:val="auto"/>
              </w:rPr>
            </w:pPr>
            <w:r>
              <w:rPr>
                <w:rFonts w:ascii="Arial" w:cs="Arial" w:eastAsia="Arial" w:hAnsi="Arial"/>
                <w:sz w:val="18"/>
                <w:szCs w:val="18"/>
                <w:color w:val="auto"/>
              </w:rPr>
              <w:t>phase 2 trial in wet AMD utilizing</w:t>
            </w:r>
          </w:p>
        </w:tc>
      </w:tr>
      <w:tr>
        <w:trPr>
          <w:trHeight w:val="212"/>
        </w:trPr>
        <w:tc>
          <w:tcPr>
            <w:tcW w:w="2040" w:type="dxa"/>
            <w:vAlign w:val="bottom"/>
          </w:tcPr>
          <w:p>
            <w:pPr>
              <w:spacing w:after="0"/>
              <w:rPr>
                <w:sz w:val="18"/>
                <w:szCs w:val="18"/>
                <w:color w:val="auto"/>
              </w:rPr>
            </w:pPr>
          </w:p>
        </w:tc>
        <w:tc>
          <w:tcPr>
            <w:tcW w:w="4360" w:type="dxa"/>
            <w:vAlign w:val="bottom"/>
          </w:tcPr>
          <w:p>
            <w:pPr>
              <w:ind w:left="1080"/>
              <w:spacing w:after="0"/>
              <w:rPr>
                <w:sz w:val="20"/>
                <w:szCs w:val="20"/>
                <w:color w:val="auto"/>
              </w:rPr>
            </w:pPr>
            <w:r>
              <w:rPr>
                <w:rFonts w:ascii="Arial" w:cs="Arial" w:eastAsia="Arial" w:hAnsi="Arial"/>
                <w:sz w:val="18"/>
                <w:szCs w:val="18"/>
                <w:color w:val="auto"/>
              </w:rPr>
              <w:t>AMD utilizing intravitreal</w:t>
            </w:r>
          </w:p>
        </w:tc>
        <w:tc>
          <w:tcPr>
            <w:tcW w:w="5020" w:type="dxa"/>
            <w:vAlign w:val="bottom"/>
          </w:tcPr>
          <w:p>
            <w:pPr>
              <w:ind w:left="1040"/>
              <w:spacing w:after="0"/>
              <w:rPr>
                <w:sz w:val="20"/>
                <w:szCs w:val="20"/>
                <w:color w:val="auto"/>
              </w:rPr>
            </w:pPr>
            <w:r>
              <w:rPr>
                <w:rFonts w:ascii="Arial" w:cs="Arial" w:eastAsia="Arial" w:hAnsi="Arial"/>
                <w:sz w:val="18"/>
                <w:szCs w:val="18"/>
                <w:color w:val="auto"/>
              </w:rPr>
              <w:t>intravitreal injections</w:t>
            </w:r>
          </w:p>
        </w:tc>
      </w:tr>
      <w:tr>
        <w:trPr>
          <w:trHeight w:val="220"/>
        </w:trPr>
        <w:tc>
          <w:tcPr>
            <w:tcW w:w="2040" w:type="dxa"/>
            <w:vAlign w:val="bottom"/>
          </w:tcPr>
          <w:p>
            <w:pPr>
              <w:spacing w:after="0"/>
              <w:rPr>
                <w:sz w:val="19"/>
                <w:szCs w:val="19"/>
                <w:color w:val="auto"/>
              </w:rPr>
            </w:pPr>
          </w:p>
        </w:tc>
        <w:tc>
          <w:tcPr>
            <w:tcW w:w="4360" w:type="dxa"/>
            <w:vAlign w:val="bottom"/>
          </w:tcPr>
          <w:p>
            <w:pPr>
              <w:ind w:left="1080"/>
              <w:spacing w:after="0"/>
              <w:rPr>
                <w:sz w:val="20"/>
                <w:szCs w:val="20"/>
                <w:color w:val="auto"/>
              </w:rPr>
            </w:pPr>
            <w:r>
              <w:rPr>
                <w:rFonts w:ascii="Arial" w:cs="Arial" w:eastAsia="Arial" w:hAnsi="Arial"/>
                <w:sz w:val="18"/>
                <w:szCs w:val="18"/>
                <w:color w:val="auto"/>
              </w:rPr>
              <w:t>injections in 21 patients up to a</w:t>
            </w:r>
          </w:p>
        </w:tc>
        <w:tc>
          <w:tcPr>
            <w:tcW w:w="5020" w:type="dxa"/>
            <w:vAlign w:val="bottom"/>
          </w:tcPr>
          <w:p>
            <w:pPr>
              <w:ind w:left="8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Initiate phase 3 trial in wet AMD</w:t>
            </w:r>
          </w:p>
        </w:tc>
      </w:tr>
      <w:tr>
        <w:trPr>
          <w:trHeight w:val="212"/>
        </w:trPr>
        <w:tc>
          <w:tcPr>
            <w:tcW w:w="2040" w:type="dxa"/>
            <w:vAlign w:val="bottom"/>
          </w:tcPr>
          <w:p>
            <w:pPr>
              <w:spacing w:after="0"/>
              <w:rPr>
                <w:sz w:val="18"/>
                <w:szCs w:val="18"/>
                <w:color w:val="auto"/>
              </w:rPr>
            </w:pPr>
          </w:p>
        </w:tc>
        <w:tc>
          <w:tcPr>
            <w:tcW w:w="4360" w:type="dxa"/>
            <w:vAlign w:val="bottom"/>
          </w:tcPr>
          <w:p>
            <w:pPr>
              <w:ind w:left="1080"/>
              <w:spacing w:after="0"/>
              <w:rPr>
                <w:sz w:val="20"/>
                <w:szCs w:val="20"/>
                <w:color w:val="auto"/>
              </w:rPr>
            </w:pPr>
            <w:r>
              <w:rPr>
                <w:rFonts w:ascii="Arial" w:cs="Arial" w:eastAsia="Arial" w:hAnsi="Arial"/>
                <w:sz w:val="18"/>
                <w:szCs w:val="18"/>
                <w:color w:val="auto"/>
              </w:rPr>
              <w:t>top dose of 4 mg</w:t>
            </w:r>
          </w:p>
        </w:tc>
        <w:tc>
          <w:tcPr>
            <w:tcW w:w="5020" w:type="dxa"/>
            <w:vAlign w:val="bottom"/>
          </w:tcPr>
          <w:p>
            <w:pPr>
              <w:ind w:left="1040"/>
              <w:spacing w:after="0"/>
              <w:rPr>
                <w:sz w:val="20"/>
                <w:szCs w:val="20"/>
                <w:color w:val="auto"/>
              </w:rPr>
            </w:pPr>
            <w:r>
              <w:rPr>
                <w:rFonts w:ascii="Arial" w:cs="Arial" w:eastAsia="Arial" w:hAnsi="Arial"/>
                <w:sz w:val="18"/>
                <w:szCs w:val="18"/>
                <w:color w:val="auto"/>
              </w:rPr>
              <w:t>utilizing intravitreal injections</w:t>
            </w:r>
          </w:p>
        </w:tc>
      </w:tr>
      <w:tr>
        <w:trPr>
          <w:trHeight w:val="220"/>
        </w:trPr>
        <w:tc>
          <w:tcPr>
            <w:tcW w:w="2040" w:type="dxa"/>
            <w:vAlign w:val="bottom"/>
          </w:tcPr>
          <w:p>
            <w:pPr>
              <w:spacing w:after="0"/>
              <w:rPr>
                <w:sz w:val="19"/>
                <w:szCs w:val="19"/>
                <w:color w:val="auto"/>
              </w:rPr>
            </w:pPr>
          </w:p>
        </w:tc>
        <w:tc>
          <w:tcPr>
            <w:tcW w:w="4360" w:type="dxa"/>
            <w:vAlign w:val="bottom"/>
          </w:tcPr>
          <w:p>
            <w:pPr>
              <w:ind w:left="8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Initiated phase 2 trial in wet AMD</w:t>
            </w:r>
          </w:p>
        </w:tc>
        <w:tc>
          <w:tcPr>
            <w:tcW w:w="5020" w:type="dxa"/>
            <w:vAlign w:val="bottom"/>
          </w:tcPr>
          <w:p>
            <w:pPr>
              <w:ind w:left="8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Explore additional eye disease</w:t>
            </w:r>
          </w:p>
        </w:tc>
      </w:tr>
      <w:tr>
        <w:trPr>
          <w:trHeight w:val="212"/>
        </w:trPr>
        <w:tc>
          <w:tcPr>
            <w:tcW w:w="2040" w:type="dxa"/>
            <w:vAlign w:val="bottom"/>
          </w:tcPr>
          <w:p>
            <w:pPr>
              <w:spacing w:after="0"/>
              <w:rPr>
                <w:sz w:val="18"/>
                <w:szCs w:val="18"/>
                <w:color w:val="auto"/>
              </w:rPr>
            </w:pPr>
          </w:p>
        </w:tc>
        <w:tc>
          <w:tcPr>
            <w:tcW w:w="4360" w:type="dxa"/>
            <w:vAlign w:val="bottom"/>
          </w:tcPr>
          <w:p>
            <w:pPr>
              <w:ind w:left="1080"/>
              <w:spacing w:after="0"/>
              <w:rPr>
                <w:sz w:val="20"/>
                <w:szCs w:val="20"/>
                <w:color w:val="auto"/>
              </w:rPr>
            </w:pPr>
            <w:r>
              <w:rPr>
                <w:rFonts w:ascii="Arial" w:cs="Arial" w:eastAsia="Arial" w:hAnsi="Arial"/>
                <w:sz w:val="18"/>
                <w:szCs w:val="18"/>
                <w:color w:val="auto"/>
              </w:rPr>
              <w:t>utilizing intravitreal injections</w:t>
            </w:r>
          </w:p>
        </w:tc>
        <w:tc>
          <w:tcPr>
            <w:tcW w:w="5020" w:type="dxa"/>
            <w:vAlign w:val="bottom"/>
          </w:tcPr>
          <w:p>
            <w:pPr>
              <w:ind w:left="1040"/>
              <w:spacing w:after="0"/>
              <w:rPr>
                <w:sz w:val="20"/>
                <w:szCs w:val="20"/>
                <w:color w:val="auto"/>
              </w:rPr>
            </w:pPr>
            <w:r>
              <w:rPr>
                <w:rFonts w:ascii="Arial" w:cs="Arial" w:eastAsia="Arial" w:hAnsi="Arial"/>
                <w:sz w:val="18"/>
                <w:szCs w:val="18"/>
                <w:color w:val="auto"/>
              </w:rPr>
              <w:t>indications</w:t>
            </w:r>
          </w:p>
        </w:tc>
      </w:tr>
      <w:tr>
        <w:trPr>
          <w:trHeight w:val="234"/>
        </w:trPr>
        <w:tc>
          <w:tcPr>
            <w:tcW w:w="2040" w:type="dxa"/>
            <w:vAlign w:val="bottom"/>
          </w:tcPr>
          <w:p>
            <w:pPr>
              <w:spacing w:after="0"/>
              <w:rPr>
                <w:sz w:val="20"/>
                <w:szCs w:val="20"/>
                <w:color w:val="auto"/>
              </w:rPr>
            </w:pPr>
          </w:p>
        </w:tc>
        <w:tc>
          <w:tcPr>
            <w:tcW w:w="4360" w:type="dxa"/>
            <w:vAlign w:val="bottom"/>
          </w:tcPr>
          <w:p>
            <w:pPr>
              <w:ind w:left="8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Initiated phase 1 trial in DME</w:t>
            </w:r>
          </w:p>
        </w:tc>
        <w:tc>
          <w:tcPr>
            <w:tcW w:w="5020" w:type="dxa"/>
            <w:vAlign w:val="bottom"/>
          </w:tcPr>
          <w:p>
            <w:pPr>
              <w:spacing w:after="0"/>
              <w:rPr>
                <w:sz w:val="20"/>
                <w:szCs w:val="20"/>
                <w:color w:val="auto"/>
              </w:rPr>
            </w:pPr>
          </w:p>
        </w:tc>
      </w:tr>
      <w:tr>
        <w:trPr>
          <w:trHeight w:val="149"/>
        </w:trPr>
        <w:tc>
          <w:tcPr>
            <w:tcW w:w="2040" w:type="dxa"/>
            <w:vAlign w:val="bottom"/>
            <w:tcBorders>
              <w:bottom w:val="single" w:sz="8" w:color="auto"/>
            </w:tcBorders>
          </w:tcPr>
          <w:p>
            <w:pPr>
              <w:spacing w:after="0"/>
              <w:rPr>
                <w:sz w:val="12"/>
                <w:szCs w:val="12"/>
                <w:color w:val="auto"/>
              </w:rPr>
            </w:pPr>
          </w:p>
        </w:tc>
        <w:tc>
          <w:tcPr>
            <w:tcW w:w="4360" w:type="dxa"/>
            <w:vAlign w:val="bottom"/>
            <w:tcBorders>
              <w:bottom w:val="single" w:sz="8" w:color="auto"/>
            </w:tcBorders>
          </w:tcPr>
          <w:p>
            <w:pPr>
              <w:spacing w:after="0"/>
              <w:rPr>
                <w:sz w:val="12"/>
                <w:szCs w:val="12"/>
                <w:color w:val="auto"/>
              </w:rPr>
            </w:pPr>
          </w:p>
        </w:tc>
        <w:tc>
          <w:tcPr>
            <w:tcW w:w="5020" w:type="dxa"/>
            <w:vAlign w:val="bottom"/>
            <w:tcBorders>
              <w:bottom w:val="single" w:sz="8" w:color="auto"/>
            </w:tcBorders>
          </w:tcPr>
          <w:p>
            <w:pPr>
              <w:spacing w:after="0"/>
              <w:rPr>
                <w:sz w:val="12"/>
                <w:szCs w:val="12"/>
                <w:color w:val="auto"/>
              </w:rPr>
            </w:pPr>
          </w:p>
        </w:tc>
      </w:tr>
    </w:tbl>
    <w:p>
      <w:pPr>
        <w:spacing w:after="0" w:line="198" w:lineRule="exact"/>
        <w:rPr>
          <w:sz w:val="20"/>
          <w:szCs w:val="20"/>
          <w:color w:val="auto"/>
        </w:rPr>
      </w:pPr>
    </w:p>
    <w:p>
      <w:pPr>
        <w:sectPr>
          <w:pgSz w:w="11900" w:h="16838" w:orient="portrait"/>
          <w:cols w:equalWidth="0" w:num="1">
            <w:col w:w="1142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780" w:type="dxa"/>
            <w:vAlign w:val="bottom"/>
          </w:tcPr>
          <w:p>
            <w:pPr>
              <w:spacing w:after="0"/>
              <w:rPr>
                <w:sz w:val="20"/>
                <w:szCs w:val="20"/>
                <w:color w:val="auto"/>
              </w:rPr>
            </w:pPr>
            <w:r>
              <w:rPr>
                <w:rFonts w:ascii="Arial" w:cs="Arial" w:eastAsia="Arial" w:hAnsi="Arial"/>
                <w:sz w:val="18"/>
                <w:szCs w:val="18"/>
                <w:color w:val="auto"/>
              </w:rPr>
              <w:t>IL-1 Trap</w:t>
            </w:r>
          </w:p>
        </w:tc>
        <w:tc>
          <w:tcPr>
            <w:tcW w:w="1240" w:type="dxa"/>
            <w:vAlign w:val="bottom"/>
          </w:tcPr>
          <w:p>
            <w:pPr>
              <w:ind w:left="1100"/>
              <w:spacing w:after="0"/>
              <w:rPr>
                <w:sz w:val="20"/>
                <w:szCs w:val="20"/>
                <w:color w:val="auto"/>
              </w:rPr>
            </w:pPr>
            <w:r>
              <w:rPr>
                <w:rFonts w:ascii="Arial" w:cs="Arial" w:eastAsia="Arial" w:hAnsi="Arial"/>
                <w:sz w:val="18"/>
                <w:szCs w:val="18"/>
                <w:b w:val="1"/>
                <w:bCs w:val="1"/>
                <w:color w:val="auto"/>
              </w:rPr>
              <w:t>•</w:t>
            </w:r>
          </w:p>
        </w:tc>
        <w:tc>
          <w:tcPr>
            <w:tcW w:w="2520" w:type="dxa"/>
            <w:vAlign w:val="bottom"/>
          </w:tcPr>
          <w:p>
            <w:pPr>
              <w:ind w:left="100"/>
              <w:spacing w:after="0"/>
              <w:rPr>
                <w:sz w:val="20"/>
                <w:szCs w:val="20"/>
                <w:color w:val="auto"/>
              </w:rPr>
            </w:pPr>
            <w:r>
              <w:rPr>
                <w:rFonts w:ascii="Arial" w:cs="Arial" w:eastAsia="Arial" w:hAnsi="Arial"/>
                <w:sz w:val="18"/>
                <w:szCs w:val="18"/>
                <w:color w:val="auto"/>
                <w:w w:val="94"/>
              </w:rPr>
              <w:t>Completed enrollment of pivotal</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24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w:t>
            </w:r>
          </w:p>
        </w:tc>
        <w:tc>
          <w:tcPr>
            <w:tcW w:w="2520" w:type="dxa"/>
            <w:vAlign w:val="bottom"/>
          </w:tcPr>
          <w:p>
            <w:pPr>
              <w:ind w:left="100"/>
              <w:spacing w:after="0"/>
              <w:rPr>
                <w:sz w:val="20"/>
                <w:szCs w:val="20"/>
                <w:color w:val="auto"/>
              </w:rPr>
            </w:pPr>
            <w:r>
              <w:rPr>
                <w:rFonts w:ascii="Arial" w:cs="Arial" w:eastAsia="Arial" w:hAnsi="Arial"/>
                <w:sz w:val="18"/>
                <w:szCs w:val="18"/>
                <w:color w:val="auto"/>
              </w:rPr>
              <w:t>trial of IL-1 Trap in CAPS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Reported positive preliminary</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w w:val="90"/>
              </w:rPr>
              <w:t>results from ongoing phase 1 trial</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520" w:type="dxa"/>
            <w:vAlign w:val="bottom"/>
          </w:tcPr>
          <w:p>
            <w:pPr>
              <w:ind w:left="100"/>
              <w:spacing w:after="0"/>
              <w:rPr>
                <w:sz w:val="20"/>
                <w:szCs w:val="20"/>
                <w:color w:val="auto"/>
              </w:rPr>
            </w:pPr>
            <w:r>
              <w:rPr>
                <w:rFonts w:ascii="Arial" w:cs="Arial" w:eastAsia="Arial" w:hAnsi="Arial"/>
                <w:sz w:val="18"/>
                <w:szCs w:val="18"/>
                <w:color w:val="auto"/>
              </w:rPr>
              <w:t>in SJIA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220" w:right="1540" w:hanging="220"/>
        <w:spacing w:after="0" w:line="285" w:lineRule="auto"/>
        <w:tabs>
          <w:tab w:leader="none" w:pos="22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Complete efficacy portion of pivotal study in CAPS and, if results show positive efficacy and safety, file Biologics License Application (BLA) with the FDA</w:t>
      </w:r>
    </w:p>
    <w:p>
      <w:pPr>
        <w:spacing w:after="0" w:line="2" w:lineRule="exact"/>
        <w:rPr>
          <w:rFonts w:ascii="Arial" w:cs="Arial" w:eastAsia="Arial" w:hAnsi="Arial"/>
          <w:sz w:val="16"/>
          <w:szCs w:val="16"/>
          <w:b w:val="1"/>
          <w:bCs w:val="1"/>
          <w:color w:val="auto"/>
        </w:rPr>
      </w:pPr>
    </w:p>
    <w:p>
      <w:pPr>
        <w:ind w:left="220" w:right="1560" w:hanging="220"/>
        <w:spacing w:after="0" w:line="323" w:lineRule="auto"/>
        <w:tabs>
          <w:tab w:leader="none" w:pos="22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Initiate advanced efficacy trial, evaluating the IL-1 Trap for SJIA</w:t>
      </w:r>
    </w:p>
    <w:p>
      <w:pPr>
        <w:spacing w:after="0" w:line="135" w:lineRule="exact"/>
        <w:rPr>
          <w:sz w:val="20"/>
          <w:szCs w:val="20"/>
          <w:color w:val="auto"/>
        </w:rPr>
      </w:pPr>
    </w:p>
    <w:p>
      <w:pPr>
        <w:sectPr>
          <w:pgSz w:w="11900" w:h="16838" w:orient="portrait"/>
          <w:cols w:equalWidth="0" w:num="2">
            <w:col w:w="6500" w:space="720"/>
            <w:col w:w="4200"/>
          </w:cols>
          <w:pgMar w:left="240" w:top="41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Accounting for Stock-based Employee Compensation</w:t>
      </w:r>
    </w:p>
    <w:p>
      <w:pPr>
        <w:spacing w:after="0" w:line="12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 xml:space="preserve">Effective January 1, 2005, we adopted the fair value based method of accounting for stock-based employee compensation under the provisions of Statement of Financial Accounting Standards No. (“SFAS”)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using the modified prospective method as described in SFAS 148, </w:t>
      </w:r>
      <w:r>
        <w:rPr>
          <w:rFonts w:ascii="Arial" w:cs="Arial" w:eastAsia="Arial" w:hAnsi="Arial"/>
          <w:sz w:val="18"/>
          <w:szCs w:val="18"/>
          <w:i w:val="1"/>
          <w:iCs w:val="1"/>
          <w:color w:val="auto"/>
        </w:rPr>
        <w:t>Accounting for Stock-Based Compensation- Transition and Disclosure</w:t>
      </w:r>
      <w:r>
        <w:rPr>
          <w:rFonts w:ascii="Arial" w:cs="Arial" w:eastAsia="Arial" w:hAnsi="Arial"/>
          <w:sz w:val="18"/>
          <w:szCs w:val="18"/>
          <w:color w:val="auto"/>
        </w:rPr>
        <w:t>. As a result, in 2005, we recognized compensation expense, in an amount equal to the fair value of share-based payments (including stock option awards) on their date of grant, over the vesting period of the awards using graded vesting, which is an accelerated expense recognition method. Under the modified prospective method, compensation expense for Regeneron is recognized for (a) all share based payments granted on or after January 1, 2005 and (b) all awards granted to employees prior to January 1, 2005 that were unvested on that date.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 xml:space="preserve">Effective January 1, 2006, we adopted the provisions of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which is a revision of SFAS 123. SFAS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123R requires companies to estimate the number of awards that are expected to be forfeited at the time of grant and to revise this estimate, if necessary, in subsequent periods if actual forfeitures differ from those estimates. Prior to the adoption of SFAS 123R, we recognized the effect of forfeitures in stock-based compensation cost in the period when they occurred, in accordance with SFAS 123. Upon adoption of SFAS 123R effective January 1, 2006, we were required to record a cumulative effect adjustment to reflect the effect of estimated forfeitures related to outstanding awards that are not expected to vest as of the SFAS 123R adoption date. This adjustment reduced our loss by $0.8 million and is included in our operating results for the six months ended June 30, 2006 as a cumulative-effect adjustment of a change in accounting principle. Exclusive of the cumulative-effect adjustment, the effect of the change from applying the provisions of SFAS 123 to applying the provisions of SFAS 123R on our loss from operations, net loss, and net loss per share for the three and six months ended June 30, 2006 was not significant, and there was no impact to our cash flows for these respective periods.</w:t>
      </w:r>
    </w:p>
    <w:p>
      <w:pPr>
        <w:spacing w:after="0" w:line="65" w:lineRule="exact"/>
        <w:rPr>
          <w:sz w:val="20"/>
          <w:szCs w:val="20"/>
          <w:color w:val="auto"/>
        </w:rPr>
      </w:pPr>
    </w:p>
    <w:p>
      <w:pPr>
        <w:ind w:right="40" w:firstLine="225"/>
        <w:spacing w:after="0" w:line="253" w:lineRule="auto"/>
        <w:rPr>
          <w:sz w:val="20"/>
          <w:szCs w:val="20"/>
          <w:color w:val="auto"/>
        </w:rPr>
      </w:pPr>
      <w:r>
        <w:rPr>
          <w:rFonts w:ascii="Arial" w:cs="Arial" w:eastAsia="Arial" w:hAnsi="Arial"/>
          <w:sz w:val="18"/>
          <w:szCs w:val="18"/>
          <w:color w:val="auto"/>
        </w:rPr>
        <w:t>Non-cash stock-based employee compensation expense related to stock option awards (“Stock Option Expense”) totaled $4.6 million for the three months ended June 30, 2006, which was recognized in operating expenses, and $5.4 million for the three months ended June 30, 2005, of which $5.3 million was recognized in operating expenses and $0.1 million was capitalized into inventory. For the six months ended June 30, 2006 and 2005, Stock Option Expense totaled $8.6 million and $10.9 million, respectively, of which $8.5 million and $10.7 million was recognized in operating expenses and $0.1 million and $0.2 million was capitalized into inventory, respectively. As of June 30, 2006, there was $23.2 million of stock-based compensation cost related to outstanding nonvested stock options, net of estimated forfeitures, which had not yet been recognized in operating expenses. We expect to recognize this compensation cost over a weighted-average period of 1.7 years. In addition, there are 723,092 options which are unvested as of June 30, 2006 and would become vested upon the attainment of certain performance and service conditions. Potential compensation cost, measured on the grant date, related to these performance options totals $2.7 million and will begin to be recognized only if, and when, these options’ performance condition becomes probable of attainment.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We use the Black-Scholes model to estimate the fair value of each option granted under the Regeneron Pharmaceuticals, Inc. 2000 Long-Term Incentive Plan. Using this model, fair value is calculated based on assumptions with respect to (i) expected volatility of our Common Stock price, (ii) the periods of time over which employees and Board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limited historical exercise experience with option grants with similar exercise prices. The</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expected dividend yield is zero as we have never paid dividends and do not currently anticipate paying any in the foreseeable future. The following table summarizes the weighted average values of the assumptions we used in computing the fair value of option grants during the three and six months ended June 30, 2006 and 2005: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174"/>
              <w:spacing w:after="0"/>
              <w:rPr>
                <w:sz w:val="20"/>
                <w:szCs w:val="20"/>
                <w:color w:val="auto"/>
              </w:rPr>
            </w:pPr>
            <w:r>
              <w:rPr>
                <w:rFonts w:ascii="Arial" w:cs="Arial" w:eastAsia="Arial" w:hAnsi="Arial"/>
                <w:sz w:val="14"/>
                <w:szCs w:val="14"/>
                <w:b w:val="1"/>
                <w:bCs w:val="1"/>
                <w:color w:val="auto"/>
                <w:w w:val="99"/>
              </w:rPr>
              <w:t>Three months ended June 30,</w:t>
            </w:r>
          </w:p>
        </w:tc>
      </w:tr>
      <w:tr>
        <w:trPr>
          <w:trHeight w:val="142"/>
        </w:trPr>
        <w:tc>
          <w:tcPr>
            <w:tcW w:w="910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61"/>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Expected lives from grant date</w:t>
            </w:r>
          </w:p>
        </w:tc>
        <w:tc>
          <w:tcPr>
            <w:tcW w:w="80" w:type="dxa"/>
            <w:vAlign w:val="bottom"/>
          </w:tcPr>
          <w:p>
            <w:pPr>
              <w:spacing w:after="0"/>
              <w:rPr>
                <w:sz w:val="18"/>
                <w:szCs w:val="18"/>
                <w:color w:val="auto"/>
              </w:rPr>
            </w:pPr>
          </w:p>
        </w:tc>
        <w:tc>
          <w:tcPr>
            <w:tcW w:w="1480" w:type="dxa"/>
            <w:vAlign w:val="bottom"/>
            <w:gridSpan w:val="4"/>
          </w:tcPr>
          <w:p>
            <w:pPr>
              <w:ind w:left="20"/>
              <w:spacing w:after="0"/>
              <w:rPr>
                <w:sz w:val="20"/>
                <w:szCs w:val="20"/>
                <w:color w:val="auto"/>
              </w:rPr>
            </w:pPr>
            <w:r>
              <w:rPr>
                <w:rFonts w:ascii="Arial" w:cs="Arial" w:eastAsia="Arial" w:hAnsi="Arial"/>
                <w:sz w:val="18"/>
                <w:szCs w:val="18"/>
                <w:color w:val="auto"/>
              </w:rPr>
              <w:t>5.2 years</w:t>
            </w:r>
          </w:p>
        </w:tc>
        <w:tc>
          <w:tcPr>
            <w:tcW w:w="760" w:type="dxa"/>
            <w:vAlign w:val="bottom"/>
          </w:tcPr>
          <w:p>
            <w:pPr>
              <w:jc w:val="right"/>
              <w:spacing w:after="0"/>
              <w:rPr>
                <w:sz w:val="20"/>
                <w:szCs w:val="20"/>
                <w:color w:val="auto"/>
              </w:rPr>
            </w:pPr>
            <w:r>
              <w:rPr>
                <w:rFonts w:ascii="Arial" w:cs="Arial" w:eastAsia="Arial" w:hAnsi="Arial"/>
                <w:sz w:val="18"/>
                <w:szCs w:val="18"/>
                <w:color w:val="auto"/>
                <w:w w:val="91"/>
              </w:rPr>
              <w:t>5.0 years</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350"/>
        </w:trPr>
        <w:tc>
          <w:tcPr>
            <w:tcW w:w="9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Borders>
              <w:bottom w:val="single" w:sz="8" w:color="auto"/>
            </w:tcBorders>
            <w:gridSpan w:val="5"/>
          </w:tcPr>
          <w:p>
            <w:pPr>
              <w:jc w:val="right"/>
              <w:ind w:right="214"/>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9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75%</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Expected lives from grant date</w:t>
            </w:r>
          </w:p>
        </w:tc>
        <w:tc>
          <w:tcPr>
            <w:tcW w:w="80" w:type="dxa"/>
            <w:vAlign w:val="bottom"/>
          </w:tcPr>
          <w:p>
            <w:pPr>
              <w:spacing w:after="0"/>
              <w:rPr>
                <w:sz w:val="18"/>
                <w:szCs w:val="18"/>
                <w:color w:val="auto"/>
              </w:rPr>
            </w:pPr>
          </w:p>
        </w:tc>
        <w:tc>
          <w:tcPr>
            <w:tcW w:w="1480" w:type="dxa"/>
            <w:vAlign w:val="bottom"/>
            <w:gridSpan w:val="4"/>
          </w:tcPr>
          <w:p>
            <w:pPr>
              <w:ind w:left="100"/>
              <w:spacing w:after="0"/>
              <w:rPr>
                <w:sz w:val="20"/>
                <w:szCs w:val="20"/>
                <w:color w:val="auto"/>
              </w:rPr>
            </w:pPr>
            <w:r>
              <w:rPr>
                <w:rFonts w:ascii="Arial" w:cs="Arial" w:eastAsia="Arial" w:hAnsi="Arial"/>
                <w:sz w:val="18"/>
                <w:szCs w:val="18"/>
                <w:color w:val="auto"/>
              </w:rPr>
              <w:t>6.8 years</w:t>
            </w:r>
          </w:p>
        </w:tc>
        <w:tc>
          <w:tcPr>
            <w:tcW w:w="760" w:type="dxa"/>
            <w:vAlign w:val="bottom"/>
          </w:tcPr>
          <w:p>
            <w:pPr>
              <w:jc w:val="right"/>
              <w:spacing w:after="0"/>
              <w:rPr>
                <w:sz w:val="20"/>
                <w:szCs w:val="20"/>
                <w:color w:val="auto"/>
              </w:rPr>
            </w:pPr>
            <w:r>
              <w:rPr>
                <w:rFonts w:ascii="Arial" w:cs="Arial" w:eastAsia="Arial" w:hAnsi="Arial"/>
                <w:sz w:val="18"/>
                <w:szCs w:val="18"/>
                <w:color w:val="auto"/>
                <w:w w:val="99"/>
              </w:rPr>
              <w:t>6.2 years</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w:t>
            </w: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4.76%</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3.96%</w:t>
            </w:r>
          </w:p>
        </w:tc>
      </w:tr>
    </w:tbl>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any of these estimates may materially affect the fair value of stock options granted and the amount of stock-based compensation recognized in any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2006 and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right="940" w:firstLine="225"/>
        <w:spacing w:after="0" w:line="277" w:lineRule="auto"/>
        <w:rPr>
          <w:sz w:val="20"/>
          <w:szCs w:val="20"/>
          <w:color w:val="auto"/>
        </w:rPr>
      </w:pPr>
      <w:r>
        <w:rPr>
          <w:rFonts w:ascii="Arial" w:cs="Arial" w:eastAsia="Arial" w:hAnsi="Arial"/>
          <w:sz w:val="18"/>
          <w:szCs w:val="18"/>
          <w:color w:val="auto"/>
        </w:rPr>
        <w:t>Regeneron reported a net loss of $23.6 million, or $0.41 per share (basic and diluted), for the second quarter of 2006 compared to a net loss of $27.0 million, or $0.48 per share (basic and diluted), for the second quarter of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for the three months ended June 30, 2006 and 2005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3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The sanofi-aventis Group</w:t>
            </w:r>
          </w:p>
        </w:tc>
        <w:tc>
          <w:tcPr>
            <w:tcW w:w="3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9.4</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Procter &amp; Gamble Company</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Other</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contract research &amp; development revenue</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Contract manufacturing revenue</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3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180" w:type="dxa"/>
            <w:vAlign w:val="bottom"/>
            <w:vMerge w:val="restart"/>
          </w:tcPr>
          <w:p>
            <w:pPr>
              <w:jc w:val="right"/>
              <w:ind w:right="2010"/>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72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 xml:space="preserve">We earn contract research and development revenue from sanofi-aventis in connection with the companies’ VEGF Trap collaboration which, as detailed below, consists partly of reimbursement for research and development expenses and partly of the recognition of revenue related to a total of $105.0 million of non-refundable, up-front payments received in 2003 and 2006. Non-refundable, up-front payments are recorded as deferred revenue and recognized ratably over the period over which we are obligated to perform services in accordance with Staff Accounting Bulletin No.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(SAB 104).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Sanofi-aventis Contract Research &amp; Development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r>
      <w:tr>
        <w:trPr>
          <w:trHeight w:val="171"/>
        </w:trPr>
        <w:tc>
          <w:tcPr>
            <w:tcW w:w="686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Regeneron expense reimbursement</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Recognition of deferred revenue related to up-front payments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7"/>
        </w:trPr>
        <w:tc>
          <w:tcPr>
            <w:tcW w:w="68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0"/>
        </w:trPr>
        <w:tc>
          <w:tcPr>
            <w:tcW w:w="6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Sanofi-aventis’ reimbursement of Regeneron VEGF Trap expenses increased in the second quarter of 2006 from the same period in 2005, primarily due to higher costs in 2006 related to the Company’s manufacture of VEGF Trap clinical supplies</w:t>
      </w:r>
      <w:r>
        <w:rPr>
          <w:rFonts w:ascii="Arial" w:cs="Arial" w:eastAsia="Arial" w:hAnsi="Arial"/>
          <w:sz w:val="17"/>
          <w:szCs w:val="17"/>
          <w:b w:val="1"/>
          <w:bCs w:val="1"/>
          <w:color w:val="auto"/>
        </w:rPr>
        <w:t>.</w:t>
      </w:r>
      <w:r>
        <w:rPr>
          <w:rFonts w:ascii="Arial" w:cs="Arial" w:eastAsia="Arial" w:hAnsi="Arial"/>
          <w:sz w:val="17"/>
          <w:szCs w:val="17"/>
          <w:color w:val="auto"/>
        </w:rPr>
        <w:t xml:space="preserve"> Recognition of deferred revenue related to sanofi-aventis’ up-front payments also increased in the second quarter of 2006 from the same period in 2005, due to our January 2006 receipt of a $25.0 million non-refundable, up-front payment from sanofi-aventis related to the expansion of the companies’ VEGF Trap collaboration to include Japan. As of June 30, 2006, $75.2 million of the original $105.0 million of up-front payments was deferred and will be recognized as revenue in future periods.</w:t>
      </w:r>
    </w:p>
    <w:p>
      <w:pPr>
        <w:spacing w:after="0" w:line="64"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Contract research and development revenue earned from Procter &amp; Gamble decreased in the second quarter of 2006 compared to the same period of 2005, as the research activities being pursued under our December 2000 collaboration agreement with Procter &amp; Gamble, as amended, were completed on June 30, 2005. Since the second quarter of 2005, we have not received, and do not expect to receive, any further contract research and development revenue from Procter &amp; Gamble.</w:t>
      </w:r>
    </w:p>
    <w:p>
      <w:pPr>
        <w:spacing w:after="0" w:line="79"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Contract manufacturing revenue relates to our long-term agreement with Merck &amp; Co., Inc., which expires in October 2006, to manufacture a vaccine intermediate at our Rensselaer, New York facility. Contract manufacturing revenue increased in the second quarter of 2006 from the same period of 2005 as we shipped more product to Merck in 2006. Revenue and the related manufacturing expense are recognized as product is shipped, after acceptance by Merck. Included in contract manufacturing revenue in the second quarter of 2006 and 2005 were $0.4 million and $0.3 million, respectively, of deferred revenue associated with capital improvement reimbursements paid by Merck prior to commencement of production. As of June 30, 2006, the remaining deferred balance of Merck’s capital improvement reimbursements totaled $0.4 million, which will be recognized as revenue as product is shipped based upon Merck’s order quantities through October 2006.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40" w:firstLine="222"/>
        <w:spacing w:after="0" w:line="308" w:lineRule="auto"/>
        <w:rPr>
          <w:sz w:val="20"/>
          <w:szCs w:val="20"/>
          <w:color w:val="auto"/>
        </w:rPr>
      </w:pPr>
      <w:r>
        <w:rPr>
          <w:rFonts w:ascii="Arial" w:cs="Arial" w:eastAsia="Arial" w:hAnsi="Arial"/>
          <w:sz w:val="17"/>
          <w:szCs w:val="17"/>
          <w:color w:val="auto"/>
        </w:rPr>
        <w:t>Total operating expenses decreased to $43.5 million in the second quarter of 2006 from $48.5 million in the same period of 2005, due, in part, to our lower headcount. Our average headcount declined to 583 in the second quarter of 2006 from 731 in the same period of 2005 primarily as 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result of workforce reductions made in the fourth quarter of 2005. (See “Severance Costs” below.)</w:t>
      </w:r>
    </w:p>
    <w:p>
      <w:pPr>
        <w:spacing w:after="0" w:line="11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Operating expenses in the second quarter of 2006 and 2005 include a total of $4.6 million and $5.3 million of Stock Option Expense, respectively, as detailed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w w:val="98"/>
              </w:rPr>
              <w:t>For the three months ended June 30, 2006</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Expenses before</w:t>
            </w:r>
          </w:p>
        </w:tc>
        <w:tc>
          <w:tcPr>
            <w:tcW w:w="14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Stock Option</w:t>
            </w:r>
          </w:p>
        </w:tc>
        <w:tc>
          <w:tcPr>
            <w:tcW w:w="11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Expenses</w:t>
            </w:r>
          </w:p>
        </w:tc>
        <w:tc>
          <w:tcPr>
            <w:tcW w:w="14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inclusion of Stock</w:t>
            </w:r>
          </w:p>
        </w:tc>
        <w:tc>
          <w:tcPr>
            <w:tcW w:w="146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0" w:type="dxa"/>
            <w:vAlign w:val="bottom"/>
            <w:gridSpan w:val="3"/>
            <w:vMerge w:val="continue"/>
          </w:tcPr>
          <w:p>
            <w:pPr>
              <w:spacing w:after="0"/>
              <w:rPr>
                <w:sz w:val="14"/>
                <w:szCs w:val="14"/>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Option Expense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32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Contract manufacturing</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r>
              <w:rPr>
                <w:rFonts w:ascii="Arial" w:cs="Arial" w:eastAsia="Arial" w:hAnsi="Arial"/>
                <w:sz w:val="18"/>
                <w:szCs w:val="18"/>
                <w:u w:val="single" w:color="auto"/>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w w:val="98"/>
              </w:rPr>
              <w:t>For the three months ended June 30, 2005</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Expenses before</w:t>
            </w:r>
          </w:p>
        </w:tc>
        <w:tc>
          <w:tcPr>
            <w:tcW w:w="14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Stock Option</w:t>
            </w:r>
          </w:p>
        </w:tc>
        <w:tc>
          <w:tcPr>
            <w:tcW w:w="11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Expenses</w:t>
            </w:r>
          </w:p>
        </w:tc>
        <w:tc>
          <w:tcPr>
            <w:tcW w:w="14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inclusion of Stock</w:t>
            </w:r>
          </w:p>
        </w:tc>
        <w:tc>
          <w:tcPr>
            <w:tcW w:w="146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0" w:type="dxa"/>
            <w:vAlign w:val="bottom"/>
            <w:gridSpan w:val="3"/>
            <w:vMerge w:val="continue"/>
          </w:tcPr>
          <w:p>
            <w:pPr>
              <w:spacing w:after="0"/>
              <w:rPr>
                <w:sz w:val="14"/>
                <w:szCs w:val="14"/>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Option Expense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32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Contract manufacturing</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r>
              <w:rPr>
                <w:rFonts w:ascii="Arial" w:cs="Arial" w:eastAsia="Arial" w:hAnsi="Arial"/>
                <w:sz w:val="18"/>
                <w:szCs w:val="18"/>
                <w:u w:val="single" w:color="auto"/>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700" w:firstLine="225"/>
        <w:spacing w:after="0" w:line="342" w:lineRule="auto"/>
        <w:rPr>
          <w:sz w:val="20"/>
          <w:szCs w:val="20"/>
          <w:color w:val="auto"/>
        </w:rPr>
      </w:pPr>
      <w:r>
        <w:rPr>
          <w:rFonts w:ascii="Arial" w:cs="Arial" w:eastAsia="Arial" w:hAnsi="Arial"/>
          <w:sz w:val="16"/>
          <w:szCs w:val="16"/>
          <w:color w:val="auto"/>
        </w:rPr>
        <w:t>Research and development expenses decreased to $34.4 million in the second quarter of 2006 from $40.6 million in the same period of 2005. The following table summarizes the major categories of our research and development expenses for the three months ended June 30, 2006 and 2005: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4"/>
              </w:rPr>
              <w:t>Three months ended June 30,</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(1)</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14.0</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Clinical manufacturing costs (2)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Research and preclinical development costs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Total research and development</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r>
              <w:rPr>
                <w:rFonts w:ascii="Arial" w:cs="Arial" w:eastAsia="Arial" w:hAnsi="Arial"/>
                <w:sz w:val="18"/>
                <w:szCs w:val="18"/>
                <w:u w:val="single" w:color="auto"/>
                <w:color w:val="auto"/>
              </w:rPr>
              <w:t>6</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$2.2 million and $2.9 million of Stock Option Expense for the three months ended June 30, 2006 and 2005, respectively.</w:t>
      </w:r>
    </w:p>
    <w:p>
      <w:pPr>
        <w:spacing w:after="0" w:line="76" w:lineRule="exact"/>
        <w:rPr>
          <w:rFonts w:ascii="Arial" w:cs="Arial" w:eastAsia="Arial" w:hAnsi="Arial"/>
          <w:sz w:val="18"/>
          <w:szCs w:val="18"/>
          <w:color w:val="auto"/>
        </w:rPr>
      </w:pPr>
    </w:p>
    <w:p>
      <w:pPr>
        <w:ind w:left="460" w:right="26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full cost of manufacturing drug for use in research, preclinical development, and clinical trials, including related payroll and benefits, Stock Option Expense, manufacturing materials and supplies, depreciation, and occupancy costs of our Rensselaer manufacturing facility. Includes $0.4 million of Stock Option Expense for both the three months ended June 30, 2006 and 2005.</w:t>
      </w:r>
    </w:p>
    <w:p>
      <w:pPr>
        <w:spacing w:after="0" w:line="73"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Payroll and benefits decreased principally due to our lower headcount in the second quarter of 2006, as described above. Clinical trial expenses decreased primarily due to lower IL-1 Trap costs in 2006, as we discontinued clinical development of IL-1 Trap in adult rheumatoid arthritis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and osteoarthritis in the second half of 2005. This decrease was partly offset by higher 2006 VEGF Trap-Eye costs as we initiated a phase 2 clinical trial in wet AMD. Clinical manufacturing costs increased because of higher costs in 2006 related to manufacturing VEGF Trap clinical supplies, which were partially offset by lower costs related to manufacturing IL-1 Trap clinical supplies. Research and preclinical development costs decreased primarily because of our lower 2006 headcount and lower preclinical IL-1 Trap development costs in 2006. Occupancy and other operating costs decreased primarily due to our lower 2006 headcount.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1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Contract manufacturing expenses increased to $2.8 million in the second quarter of 2006 from $1.7 million in the comparable quarter of 2005 primarily because we shipped more product to Merck.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560" w:firstLine="225"/>
        <w:spacing w:after="0" w:line="342" w:lineRule="auto"/>
        <w:rPr>
          <w:sz w:val="20"/>
          <w:szCs w:val="20"/>
          <w:color w:val="auto"/>
        </w:rPr>
      </w:pPr>
      <w:r>
        <w:rPr>
          <w:rFonts w:ascii="Arial" w:cs="Arial" w:eastAsia="Arial" w:hAnsi="Arial"/>
          <w:sz w:val="16"/>
          <w:szCs w:val="16"/>
          <w:color w:val="auto"/>
        </w:rPr>
        <w:t>General and administrative expenses increased to $6.3 million in the second quarter of 2006 from $6.2 million in the same period of 2005 as higher administrative personnel-related costs were offset primarily by lower facility-related expenses and consulting costs in the second quarter of 2006.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June 2005, we and Procter &amp; Gamble amended our collaboration agreement and agreed that the research activities of both companies under the collaboration agreement were completed. In connection with the amendment, Procter &amp; Gamble agreed to make a one-time $5.6 million payment to us, which we recognized as other contract income in the second quarter of 2005.</w:t>
      </w:r>
    </w:p>
    <w:p>
      <w:pPr>
        <w:spacing w:after="0" w:line="73"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Investment income increased to $3.7 million in the second quarter of 2006 from $2.5 million in the same period of 2005 due primarily to higher effective interest rates on investment securities in 2006. Interest expense was $3.0 million in the second quarter of 2006 and 2005. Interest expense is attributable primarily to $200.0 million of convertible notes issued in October 2001, which mature in 2008 and bear interest at 5.5% per annum.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2006 and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Regeneron reported a net loss of $44.0 million, or $0.77 per share (basic and diluted), for the first half of 2006 compared to a net loss of $31.1 million, or $0.56 per share (basic and diluted), for the same period of 2005. Results for the first half of 2005 included a $25.0 million one-time, non-recurring payment from sanofi-aventis, which was recognized as other contract income, in connection with the January 2005 amendment to our collaboration agreement to exclude from the scope of the collaboration the development and commercialization of the VEGF Trap-Eye.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for the six months ended June 30, 2006 and 2005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Increase</w:t>
            </w:r>
          </w:p>
        </w:tc>
      </w:tr>
      <w:tr>
        <w:trPr>
          <w:trHeight w:val="171"/>
        </w:trPr>
        <w:tc>
          <w:tcPr>
            <w:tcW w:w="586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20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The sanofi-aventis Group</w:t>
            </w: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28.7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19.2</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Procter &amp; Gamble Company</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7"/>
        </w:trPr>
        <w:tc>
          <w:tcPr>
            <w:tcW w:w="5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contract research &amp; development revenue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Contract manufacturing revenue</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7"/>
        </w:trPr>
        <w:tc>
          <w:tcPr>
            <w:tcW w:w="5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32.6</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0"/>
        </w:trPr>
        <w:tc>
          <w:tcPr>
            <w:tcW w:w="5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We earn contract research and development revenue from sanofi-aventis in connection with the companies’ VEGF Trap collaboration which, as detailed below, consists partly of reimbursement for research and development expenses and partly of the recognition of revenue related to a total of $105.0 million of non-refundable, up-front payments received in 2003 and 2006. Non-refundable, up-front payments are recorded as deferred revenue and recognized ratably over the period over which we are obligated to perform services in accordance with SAB 104.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Sanofi-aventis Contract Research &amp; Development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686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Regeneron expense reimbursement</w:t>
            </w:r>
          </w:p>
        </w:tc>
        <w:tc>
          <w:tcPr>
            <w:tcW w:w="2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Recognition of deferred revenue related to up-front payments</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7"/>
        </w:trPr>
        <w:tc>
          <w:tcPr>
            <w:tcW w:w="68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0"/>
        </w:trPr>
        <w:tc>
          <w:tcPr>
            <w:tcW w:w="6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Sanofi-aventis’ reimbursement of Regeneron VEGF Trap expenses increased in the first half of 2006 from the same period in 2005, primarily due to higher costs in 2006 related to the Company’s manufacture of VEGF Trap clinical supplies</w:t>
      </w:r>
      <w:r>
        <w:rPr>
          <w:rFonts w:ascii="Arial" w:cs="Arial" w:eastAsia="Arial" w:hAnsi="Arial"/>
          <w:sz w:val="17"/>
          <w:szCs w:val="17"/>
          <w:b w:val="1"/>
          <w:bCs w:val="1"/>
          <w:color w:val="auto"/>
        </w:rPr>
        <w:t>.</w:t>
      </w:r>
      <w:r>
        <w:rPr>
          <w:rFonts w:ascii="Arial" w:cs="Arial" w:eastAsia="Arial" w:hAnsi="Arial"/>
          <w:sz w:val="17"/>
          <w:szCs w:val="17"/>
          <w:color w:val="auto"/>
        </w:rPr>
        <w:t xml:space="preserve"> Recognition of deferred revenue related to sanofi-aventis’ up-front payments also increased in the first half of 2006 from the same period in 2005, due to our January 2006 receipt of a $25.0 million non-refundable, up-front payment from sanofi-aventis related to the expansion of the companies’ VEGF Trap collaboration to include Japan.</w:t>
      </w:r>
    </w:p>
    <w:p>
      <w:pPr>
        <w:spacing w:after="0" w:line="63" w:lineRule="exact"/>
        <w:rPr>
          <w:sz w:val="20"/>
          <w:szCs w:val="20"/>
          <w:color w:val="auto"/>
        </w:rPr>
      </w:pPr>
    </w:p>
    <w:p>
      <w:pPr>
        <w:jc w:val="both"/>
        <w:ind w:right="60" w:firstLine="225"/>
        <w:spacing w:after="0" w:line="259" w:lineRule="auto"/>
        <w:rPr>
          <w:sz w:val="20"/>
          <w:szCs w:val="20"/>
          <w:color w:val="auto"/>
        </w:rPr>
      </w:pPr>
      <w:r>
        <w:rPr>
          <w:rFonts w:ascii="Arial" w:cs="Arial" w:eastAsia="Arial" w:hAnsi="Arial"/>
          <w:sz w:val="18"/>
          <w:szCs w:val="18"/>
          <w:color w:val="auto"/>
        </w:rPr>
        <w:t>Contract research and development revenue earned from Procter &amp; Gamble decreased in the first half of 2006 compared to the same period of 2005, as the research activities being pursued under our December 2000 collaboration agreement with Procter &amp; Gamble, as amended, were completed on June 30, 2005. Since the second quarter of 2005, we have not received, and do not expect to receive, any further contract research and development revenue from Procter &amp; Gamble.</w:t>
      </w:r>
    </w:p>
    <w:p>
      <w:pPr>
        <w:spacing w:after="0" w:line="79"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Contract manufacturing revenue increased in the first half of 2006 from the same period of 2005 as we shipped more product to Merck in 2006. Included in contract manufacturing revenue in the first half of 2006 and 2005 were $0.8 million and $0.6 million, respectively, of deferred revenue associated with capital improvement reimbursements paid by Merck prior to commencement of production.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Total operating expenses decreased to $83.4 million in the first half of 2006 from $93.1 million in the same period of 2005, due, in part, to our lower headcount, as previously described above. (Also see “Severance Costs” below.)</w:t>
      </w:r>
    </w:p>
    <w:p>
      <w:pPr>
        <w:spacing w:after="0" w:line="6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Operating expenses in the first half of 2006 and 2005 include a total of $8.5 million and $10.7 million of Stock Option Expense, respectively, as detailed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w w:val="91"/>
              </w:rPr>
              <w:t>For the six months ended June 30, 2006</w:t>
            </w: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Expenses before</w:t>
            </w:r>
          </w:p>
        </w:tc>
        <w:tc>
          <w:tcPr>
            <w:tcW w:w="17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Stock Option</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Expenses</w:t>
            </w:r>
          </w:p>
        </w:tc>
        <w:tc>
          <w:tcPr>
            <w:tcW w:w="14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inclusion of Stock</w:t>
            </w:r>
          </w:p>
        </w:tc>
        <w:tc>
          <w:tcPr>
            <w:tcW w:w="1780" w:type="dxa"/>
            <w:vAlign w:val="bottom"/>
            <w:gridSpan w:val="4"/>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0" w:type="dxa"/>
            <w:vAlign w:val="bottom"/>
            <w:gridSpan w:val="3"/>
            <w:vMerge w:val="continue"/>
          </w:tcPr>
          <w:p>
            <w:pPr>
              <w:spacing w:after="0"/>
              <w:rPr>
                <w:sz w:val="14"/>
                <w:szCs w:val="14"/>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Option Expense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Contract manufacturing</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6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r>
              <w:rPr>
                <w:rFonts w:ascii="Arial" w:cs="Arial" w:eastAsia="Arial" w:hAnsi="Arial"/>
                <w:sz w:val="18"/>
                <w:szCs w:val="18"/>
                <w:u w:val="single" w:color="auto"/>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w w:val="91"/>
              </w:rPr>
              <w:t>For the six months ended June 30, 2005</w:t>
            </w: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Expenses before</w:t>
            </w:r>
          </w:p>
        </w:tc>
        <w:tc>
          <w:tcPr>
            <w:tcW w:w="17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Stock Option</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Expenses</w:t>
            </w:r>
          </w:p>
        </w:tc>
        <w:tc>
          <w:tcPr>
            <w:tcW w:w="14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inclusion of Stock</w:t>
            </w:r>
          </w:p>
        </w:tc>
        <w:tc>
          <w:tcPr>
            <w:tcW w:w="1780" w:type="dxa"/>
            <w:vAlign w:val="bottom"/>
            <w:gridSpan w:val="4"/>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0" w:type="dxa"/>
            <w:vAlign w:val="bottom"/>
            <w:gridSpan w:val="3"/>
            <w:vMerge w:val="continue"/>
          </w:tcPr>
          <w:p>
            <w:pPr>
              <w:spacing w:after="0"/>
              <w:rPr>
                <w:sz w:val="14"/>
                <w:szCs w:val="14"/>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Option Expense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Contract manufacturing</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6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r>
              <w:rPr>
                <w:rFonts w:ascii="Arial" w:cs="Arial" w:eastAsia="Arial" w:hAnsi="Arial"/>
                <w:sz w:val="18"/>
                <w:szCs w:val="18"/>
                <w:u w:val="single" w:color="auto"/>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Research and development expenses decreased to $66.5 million in the second half of 2006 from $76.5 million in the same period of 2005. The following table summarizes the major categories of our research and development expenses for the six months ended June 30, 2006 and 2005: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8"/>
              </w:rPr>
              <w:t>Six months ended June 30,</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(1)</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28.4</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Clinical manufacturing costs (2)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Research and preclinical development costs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Total research and development</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r>
              <w:rPr>
                <w:rFonts w:ascii="Arial" w:cs="Arial" w:eastAsia="Arial" w:hAnsi="Arial"/>
                <w:sz w:val="18"/>
                <w:szCs w:val="18"/>
                <w:u w:val="single" w:color="auto"/>
                <w:color w:val="auto"/>
              </w:rPr>
              <w:t>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r>
              <w:rPr>
                <w:rFonts w:ascii="Arial" w:cs="Arial" w:eastAsia="Arial" w:hAnsi="Arial"/>
                <w:sz w:val="18"/>
                <w:szCs w:val="18"/>
                <w:u w:val="single" w:color="auto"/>
                <w:color w:val="auto"/>
              </w:rPr>
              <w:t>5</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$3.8 million and $5.9 million of Stock Option Expense for the six months ended June 30, 2006 and 2005, respectively.</w:t>
      </w:r>
    </w:p>
    <w:p>
      <w:pPr>
        <w:spacing w:after="0" w:line="76" w:lineRule="exact"/>
        <w:rPr>
          <w:rFonts w:ascii="Arial" w:cs="Arial" w:eastAsia="Arial" w:hAnsi="Arial"/>
          <w:sz w:val="18"/>
          <w:szCs w:val="18"/>
          <w:color w:val="auto"/>
        </w:rPr>
      </w:pPr>
    </w:p>
    <w:p>
      <w:pPr>
        <w:ind w:left="460" w:right="20" w:hanging="452"/>
        <w:spacing w:after="0" w:line="286"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the full cost of manufacturing drug for use in research, preclinical development, and clinical trials, including related payroll and benefits, Stock Option Expense, manufacturing materials and supplies, depreciation, and occupancy costs of our Rensselaer manufacturing facility. Includes $0.7 million and $0.8 million of Stock Option Expense for the six months ended June 30, 2006 and 2005, respectively.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Payroll and benefits decreased principally due to our lower headcount in the first half of 2006. Clinical trial expenses decreased primarily due to lower IL-1 Trap costs in 2006 as we discontinued clinical development of IL-1 Trap in adult rheumatoid arthritis and osteoarthritis in the second half of 2005. This decrease was partly offset by higher 2006 VEGF Trap-Eye costs primarily in connection with initiating a phase 2 clinical trial in wet AMD. Clinical manufacturing costs increased because of higher costs in 2006 related to manufacturing VEGF Trap clinical supplies, which were partially offset by lower costs related to manufacturing IL-1 Trap clinical supplies. Research and preclinical development costs decreased primarily because of our lower 2006 headcount and lower preclinical IL-1 Trap development costs in 2006. Occupancy and other operating costs decreased primarily due to our lower 2006 headcount offset, in part, by higher costs for utilities in 2006.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Contract manufacturing expenses increased to $4.7 million in the first half of 2006 from $4.2 million in the comparable period of 2005 primarily because we shipped more product to Merck.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General and administrative expenses decreased to $12.2 million in the first half of 2006 from $12.4 million in the same period of 2005. In 2006, lower facility-related expenses and consulting costs were partly offset by higher patent-related and administrative personnel-related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jc w:val="both"/>
        <w:ind w:firstLine="215"/>
        <w:spacing w:after="0" w:line="259" w:lineRule="auto"/>
        <w:rPr>
          <w:sz w:val="20"/>
          <w:szCs w:val="20"/>
          <w:color w:val="auto"/>
        </w:rPr>
      </w:pPr>
      <w:r>
        <w:rPr>
          <w:rFonts w:ascii="Arial" w:cs="Arial" w:eastAsia="Arial" w:hAnsi="Arial"/>
          <w:sz w:val="18"/>
          <w:szCs w:val="18"/>
          <w:color w:val="auto"/>
        </w:rPr>
        <w:t>As described above, in January 2005 we received a one-time $25.0 million payment from sanofi-aventis, which was recognized as other contract income in the first half of 2005. In June 2005, we and Procter &amp; Gamble amended our collaboration agreement and agreed that the research activities of both companies under the collaboration agreement were completed. In connection with the amendment, Procter &amp; Gamble agreed to make a one-time $5.6 million payment to us, which we recognized as other contract income in the first half of 2005.</w:t>
      </w:r>
    </w:p>
    <w:p>
      <w:pPr>
        <w:spacing w:after="0" w:line="7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Investment income increased to $7.2 million in the first half of 2006 from $4.8 million in the same period of 2005 due primarily to higher effective interest rates on investment securities in 2006. Interest expense was $6.0 million in the first half of 2006 and 2005. Interest expense is attributable primarily to $200.0 million of convertible notes issued in October 2001, which mature in 2008 and bear interest at 5.5% per annum.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Since our inception in 1988, we have financed our operations primarily through offerings of our equity securities, a private placement of convertible debt, revenue earned under our past and present research and development and contract manufacturing agreements, including our agreements with sanofi-aventis and Merck, and investment income.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2006 and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Operations:</w:t>
      </w:r>
    </w:p>
    <w:p>
      <w:pPr>
        <w:spacing w:after="0" w:line="117" w:lineRule="exact"/>
        <w:rPr>
          <w:sz w:val="20"/>
          <w:szCs w:val="20"/>
          <w:color w:val="auto"/>
        </w:rPr>
      </w:pPr>
    </w:p>
    <w:p>
      <w:pPr>
        <w:jc w:val="both"/>
        <w:ind w:right="400" w:firstLine="215"/>
        <w:spacing w:after="0" w:line="264" w:lineRule="auto"/>
        <w:rPr>
          <w:sz w:val="20"/>
          <w:szCs w:val="20"/>
          <w:color w:val="auto"/>
        </w:rPr>
      </w:pPr>
      <w:r>
        <w:rPr>
          <w:rFonts w:ascii="Arial" w:cs="Arial" w:eastAsia="Arial" w:hAnsi="Arial"/>
          <w:sz w:val="18"/>
          <w:szCs w:val="18"/>
          <w:color w:val="auto"/>
        </w:rPr>
        <w:t>At June 30, 2006, we had $304.1 million in cash, cash equivalents, and marketable securities compared with $316.7 million at December 31, 2005. In January 2006, we received a $25.0 million non-refundable, up-front payment from sanofi-aventis related to the expansion of the companies’ VEGF Trap collaboration to include Japan.</w:t>
      </w:r>
    </w:p>
    <w:p>
      <w:pPr>
        <w:spacing w:after="0" w:line="73" w:lineRule="exact"/>
        <w:rPr>
          <w:sz w:val="20"/>
          <w:szCs w:val="20"/>
          <w:color w:val="auto"/>
        </w:rPr>
      </w:pPr>
    </w:p>
    <w:p>
      <w:pPr>
        <w:ind w:right="240" w:firstLine="225"/>
        <w:spacing w:after="0" w:line="302" w:lineRule="auto"/>
        <w:rPr>
          <w:sz w:val="20"/>
          <w:szCs w:val="20"/>
          <w:color w:val="auto"/>
        </w:rPr>
      </w:pPr>
      <w:r>
        <w:rPr>
          <w:rFonts w:ascii="Arial" w:cs="Arial" w:eastAsia="Arial" w:hAnsi="Arial"/>
          <w:sz w:val="16"/>
          <w:szCs w:val="16"/>
          <w:color w:val="auto"/>
        </w:rPr>
        <w:t>In the first half of 2006, our net loss was $44.0 million; however, cash used in our operations was only $15.4 million, principally because the above-described $25.0 million payment from sanofi-aventis was receivable at December 31, 2005 and paid in January 2006. In the first half of 2005, our net loss was $31.1 million; however, cash provided by our operations was $4.5 million, principally due to receipts during this period from the sanofi-aventis Group for (i) reimbursement of VEGF Trap development expenses incurred by us and (ii) a $25.0 million clinical milestone payment earned in December 2004.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Investing Activities:</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Net cash used in investing activities was $58.4 million in the first half of 2006 compared to net cash provided by investing activities of $44.4 million in the same period in 2005, due primarily to an increase in purchases of marketable securities net of sales or maturities. In the first half of 2006, purchases of marketable securities exceeded sales or maturities by $57.4 million, whereas in the first half of 2005, sales or maturities of marketable securities exceeded purchases by $47.3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Cash provided by financing activities increased to $4.2 million in the first half of 2006 from $1.0 million in the same period in 2005 due primarily to an increase in issuances of Common Stock in connection with exercises of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sanofi-aventis Group Agreement:</w:t>
      </w:r>
    </w:p>
    <w:p>
      <w:pPr>
        <w:spacing w:after="0" w:line="117"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Under our collaboration agreement with sanofi-aventis, agreed upon worldwide VEGF Trap development expenses incurred by both companies during the term of the agreement, including costs associated with the manufacture of clinical drug supply, will be funded by sanofi-aventis. If the collaboration becomes profitable, we will be obligated to reimburse sanofi-aventis for 50% of these development expenses, including 50% of the $25.0 million payment received in connection with the January 2005 amendment to our collaboration agreement, in accordance with a formula based on the amount of development expenses and our share of the collaboration profits and Japan royalties, or at a faster rate at our option. In addition, if the first commercial sale of a VEGF Trap product for intraocular delivery to the eye predates the first commercial sale of a VEGF Trap product under the collaboration by two years, we will begin reimbursing sanofi-aventis for up to $7.5 million of VEGF Trap development expenses in accordance with a formula until the first commercial VEGF Trap sale under the collaboration occurs.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Sanofi-aventis has the right to terminate the agreement without cause with at least twelve months advance notice. Upon termination of the agreement for any reason, any remaining obligation to reimburse sanofi-aventis for 50% of VEGF Trap development expenses will terminate and we will retain all rights to the VEGF Trap.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Costs:</w:t>
      </w:r>
    </w:p>
    <w:p>
      <w:pPr>
        <w:spacing w:after="0" w:line="11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In September 2005, we announced plans to reduce our workforce by approximately 165 employees in connection with narrowing the focus of our research and development efforts, substantial improvements in manufacturing productivity, the June 2005 expiration of our collaboration with Procter &amp; Gamble, and the expected completion of contract manufacturing for Merck in late 2006. The majority of the headcount reduction occurred in the fourth quarter of 2005, with the remainder planned for 2006 following the completion of our contract manufacturing activities for Merck.</w:t>
      </w:r>
    </w:p>
    <w:p>
      <w:pPr>
        <w:spacing w:after="0" w:line="63"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 xml:space="preserve">Costs associated with the workforce reduction are comprised principally of severance payments and related payroll taxes, employee benefits, and outplacement services. Termination costs related to 2005 workforce reductions were expensed in the fourth quarter of 2005, and included $0.2 million of non-cash expenses. Estimated termination costs associated with the planned workforce reduction in 2006 were measured in October 2005 and are being expensed ratably over the expected service period of the affected employees in accordance with SFAS 146, </w:t>
      </w:r>
      <w:r>
        <w:rPr>
          <w:rFonts w:ascii="Arial" w:cs="Arial" w:eastAsia="Arial" w:hAnsi="Arial"/>
          <w:sz w:val="17"/>
          <w:szCs w:val="17"/>
          <w:i w:val="1"/>
          <w:iCs w:val="1"/>
          <w:color w:val="auto"/>
        </w:rPr>
        <w:t>Accounting for Costs Associated with Exit or Disposal</w:t>
      </w:r>
      <w:r>
        <w:rPr>
          <w:rFonts w:ascii="Arial" w:cs="Arial" w:eastAsia="Arial" w:hAnsi="Arial"/>
          <w:sz w:val="17"/>
          <w:szCs w:val="17"/>
          <w:color w:val="auto"/>
        </w:rPr>
        <w:t xml:space="preserve"> </w:t>
      </w:r>
      <w:r>
        <w:rPr>
          <w:rFonts w:ascii="Arial" w:cs="Arial" w:eastAsia="Arial" w:hAnsi="Arial"/>
          <w:sz w:val="17"/>
          <w:szCs w:val="17"/>
          <w:i w:val="1"/>
          <w:iCs w:val="1"/>
          <w:color w:val="auto"/>
        </w:rPr>
        <w:t>Activities</w:t>
      </w:r>
      <w:r>
        <w:rPr>
          <w:rFonts w:ascii="Arial" w:cs="Arial" w:eastAsia="Arial" w:hAnsi="Arial"/>
          <w:sz w:val="17"/>
          <w:szCs w:val="17"/>
          <w:color w:val="auto"/>
        </w:rPr>
        <w:t>. We estimate that total costs associated with the 2005 and planned 2006 workforce reductions will approximate $2.6 million, of which $2.2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was charged to expense in the fourth quarter of 2005 and $0.4 million was charged to expense in the first half of 2006. We anticipate cost savings of approximately $8 million in 2006 resulting from the implementation of our workforce reduction.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Our additions to property, plant, and equipment totaled $1.0 million and $3.8 million for the first half of 2006 and 2005, respectively. During the remainder of 2006, we expect to incur approximately $2 million to $4 million in capital expenditures which will primarily consist of equipment for our manufacturing, research, and development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We expect to continue to incur substantial funding requirements primarily for research and development activities (including preclinical and clinical testing). Before taking into account reimbursements from sanofi-aventis, we currently anticipate that approximately 55%-65% of our expenditures for 2006 will be directed toward the preclinical and clinical development of product candidates, including the VEGF Trap, VEGF Trap-Eye, and IL-1 Trap; approximately 20%-25% of our expenditures for 2006 will be applied to our basic research activities and the continued development of our novel technology platforms; and the remainder of our expenditures for 2006 will be used for capital expenditures and general corporate purposes.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 with sanofi-aventis.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w:t>
      </w:r>
    </w:p>
    <w:p>
      <w:pPr>
        <w:spacing w:after="0" w:line="59"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62"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We believe that our existing capital resources will enable us to meet operating needs through at least mid-2008.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We have no off-balance sheet arrangements and do not guarantee the obligations of any other entity. As of June 30, 2006,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In January 2005, we filed a shelf registration statement on Form S-3 to sell, in one or more offerings, up to $200.0 million of equity or debt securities, together or separately, which registration statement was declared effective in February 2005. However, there is no assurance that we will be able to complete any such offerings of securities.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During the six months ended June 30, 2006, there were no changes to our critical accounting policies and significant judgments and estimates, as described in our Annual Report on Form 10-K for the year ended December 31, 2005.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estimated that a one percent change in interest rates would result in an approximately $0.9 million and $1.1 million change in the fair market value of our investment portfolio at June 30, 2006 and 2005, respectively. The decrease in the impact of an interest rate change at June 30, 2006, compared to June 30, 2005, is due to decreases in our investment portfolio’s balance and duration to maturity at the end of June 2006 versus the end of June 2005.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within the time periods specified in applicable rules and forms of the Securities and Exchange Commission, and is accumulated and communicated to our management, including our chief executive officer and chief financial officer, as appropriate to allow timely decisions regarding required disclosure.</w:t>
      </w:r>
    </w:p>
    <w:p>
      <w:pPr>
        <w:spacing w:after="0" w:line="70"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June 30, 2006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uncertainties not currently known to us or that we currently deem immaterial may also impair our business operations. Furthermore, additional risks and uncertainties are described under other captions in this report and in our Annual Report on Form 10-K for the year ended December 31, 2005 and should be considered by our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62"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From inception on January 8, 1988 through June 30, 2006, we had a cumulative loss of $629.2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 We currently receive contract manufacturing revenue from our agreement with Merck and, until June 30, 2005, we received contract research and development revenue from our agreement with The Procter &amp; Gamble Company. Our agreement with Procter &amp; Gamble expired in June 2005 and our agreement with Merck will expire before the end of 2006. The expiration of these agreements results in a significant loss of revenue to the Company.</w:t>
      </w:r>
    </w:p>
    <w:p>
      <w:pPr>
        <w:spacing w:after="0" w:line="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in the future, which may not be available to us, and which may force us to delay, reduce or eliminate our product development programs or commercialization efforts.</w:t>
      </w:r>
    </w:p>
    <w:p>
      <w:pPr>
        <w:spacing w:after="0" w:line="62" w:lineRule="exact"/>
        <w:rPr>
          <w:sz w:val="20"/>
          <w:szCs w:val="20"/>
          <w:color w:val="auto"/>
        </w:rPr>
      </w:pPr>
    </w:p>
    <w:p>
      <w:pPr>
        <w:ind w:right="100" w:firstLine="222"/>
        <w:spacing w:after="0" w:line="290"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will enable us to meet operating needs through at least mid-2008; however, our projected revenue may decrease or our expenses may increase and that would lead to our capital being consumed significantly before such time. We will likely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62"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We have a significant amount of convertible debt and semi-annual interest payment obligations. This debt, unless converted to shares of our common stock, will mature in October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59" w:lineRule="exact"/>
        <w:rPr>
          <w:sz w:val="20"/>
          <w:szCs w:val="20"/>
          <w:color w:val="auto"/>
        </w:rPr>
      </w:pPr>
    </w:p>
    <w:p>
      <w:pPr>
        <w:ind w:right="120" w:firstLine="222"/>
        <w:spacing w:after="0" w:line="273" w:lineRule="auto"/>
        <w:rPr>
          <w:sz w:val="20"/>
          <w:szCs w:val="20"/>
          <w:color w:val="auto"/>
        </w:rPr>
      </w:pPr>
      <w:r>
        <w:rPr>
          <w:rFonts w:ascii="Arial" w:cs="Arial" w:eastAsia="Arial" w:hAnsi="Arial"/>
          <w:sz w:val="17"/>
          <w:szCs w:val="17"/>
          <w:color w:val="auto"/>
        </w:rPr>
        <w:t>We intend to study our lead product candidates, the VEGF Trap, VEGF Trap-Eye, and IL-1 Trap, in a wide variety of indications. We intend to study the VEGF Trap in a variety of cancer settings, the VEGF Trap-Eye in different eye diseases and ophthalmologic indications, and the IL-1 Trap in a variety of systemic inflammatory disorders. Many of these current trials are exploratory studies designed to identify what diseases and uses, if any, are best suited for our product candidates. It is likely that our product candidates will not demonstrate the requisite efficacy and/or safety profile to support continued development for most of the indications that are to be studied. In fact, our product candidates may not demonstrate the requisite efficacy and safety profile to support the continued development for any of the indications or uses.</w:t>
      </w:r>
    </w:p>
    <w:p>
      <w:pPr>
        <w:spacing w:after="0" w:line="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16"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of sufficient supplies of the product candidate,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 For example, we are studying higher doses of the IL-1 Trap in different diseases after a phase 2 trial using lower doses of the IL-1 Trap in subjects with rheumatoid arthritis failed to achieve its primary endpoint.</w:t>
      </w:r>
    </w:p>
    <w:p>
      <w:pPr>
        <w:spacing w:after="0" w:line="64"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the product candidate(s), and our business, financial condition, and results of operations may be materially harmed.</w:t>
      </w:r>
    </w:p>
    <w:p>
      <w:pPr>
        <w:spacing w:after="0" w:line="6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62"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conducted to date,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58"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Our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These risks, based on the clinical and preclinical experience of systemically delivered VEGF inhibitors, including the systemic delivery of the VEGF Trap, include bleeding, hypertension, and proteinuria. These serious side effects and other serious side effects have been reported in our systemic VEGF Trap studies in cancer and diseases of the eye. In addition, patients given infusions of any protein, including the VEGF Trap delivered through intravenous administration, may develop severe hypersensitivity reactions, referred to as infusion reactions. These and other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complications or side effects could harm the development of the VEGF Trap for the treatment of cancer or the VEGF Trap-Eye for the treatment of diseases of the eye.</w:t>
      </w:r>
    </w:p>
    <w:p>
      <w:pPr>
        <w:spacing w:after="0" w:line="62" w:lineRule="exact"/>
        <w:rPr>
          <w:sz w:val="20"/>
          <w:szCs w:val="20"/>
          <w:color w:val="auto"/>
        </w:rPr>
      </w:pPr>
    </w:p>
    <w:p>
      <w:pPr>
        <w:ind w:right="80" w:firstLine="215"/>
        <w:spacing w:after="0" w:line="255" w:lineRule="auto"/>
        <w:rPr>
          <w:sz w:val="20"/>
          <w:szCs w:val="20"/>
          <w:color w:val="auto"/>
        </w:rPr>
      </w:pPr>
      <w:r>
        <w:rPr>
          <w:rFonts w:ascii="Arial" w:cs="Arial" w:eastAsia="Arial" w:hAnsi="Arial"/>
          <w:sz w:val="18"/>
          <w:szCs w:val="18"/>
          <w:color w:val="auto"/>
        </w:rPr>
        <w:t>Although the IL-1 Trap was generally well tolerated and was not associated with any drug-related serious adverse events in the phase 2 rheumatoid arthritis study completed in 2003, safety or tolerability concerns may arise as we test higher doses of the IL-1 Trap in patients with other inflammatory diseases and disorders. Like TNF-antagonists such as EnbrelÒ (Amgen) and RemicadeÒ (Centocor), the IL-1 Trap affects the immune defense system of the body by blocking some of its functions. Therefore, there may be an increased risk for infections to develop in patients treated with the IL-1 Trap. In addition, patients given infusions of the IL-1 Trap have developed hypersensitivity reactions, referred to as infusion reactions. These and other complications or side effects could harm the development of the IL-1 Trap.</w:t>
      </w:r>
    </w:p>
    <w:p>
      <w:pPr>
        <w:spacing w:after="0" w:line="8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62"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appearance is often delayed, so that there can be no assurance that neutralizing antibodies will not be created at a later date — in some cases even after pivotal clinical trials have been completed. Subjects who received the IL-1 Trap in clinical trials have developed antibodies. It is possible that as we test the VEGF Trap with more sensitive assays in different patient populations and larger clinical trials, we will find that subjects given the VEGF Trap develop antibodies to the product candidate.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117"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the VEGF Trap, VEGF Trap-Eye, and IL-1 Trap,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6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62"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w:t>
      </w:r>
    </w:p>
    <w:p>
      <w:pPr>
        <w:spacing w:after="0" w:line="73"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We are aware of patents and pending applications owned by Genentech that claim certain chimeric VEGF receptor compositions. Although we do not believe that the VEGF Trap or VEGF Trap-Eye infringes any valid claim in these patents or patent applications, Genentech could initiate a lawsuit for patent infringement and assert its patents are valid and cover the VEGF Trap or VEGF Trap-Eye. Genentech may be motivated to initiate such a lawsuit at some point in an effort to impair our ability to develop and sell the VEGF Trap or VEGF Trap-Eye, which represents a potential competitive threat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the VEGF Trap or VEGF Trap-Eye or in a damage award.</w:t>
      </w:r>
    </w:p>
    <w:p>
      <w:pPr>
        <w:spacing w:after="0" w:line="81"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16"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117"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7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16"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62"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securities laws and regulations have increased, and are likely to continue to increase, our costs.</w:t>
      </w:r>
    </w:p>
    <w:p>
      <w:pPr>
        <w:spacing w:after="0" w:line="117"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new rules and listing standards covering a variety of subjects. Compliance with these new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In future years, if we or our independent registered public accounting firm are unable to conclude that our internal control over financial reporting is effective, the market value of our common stock could be adversely affected.</w:t>
      </w:r>
    </w:p>
    <w:p>
      <w:pPr>
        <w:spacing w:after="0" w:line="62" w:lineRule="exact"/>
        <w:rPr>
          <w:sz w:val="20"/>
          <w:szCs w:val="20"/>
          <w:color w:val="auto"/>
        </w:rPr>
      </w:pPr>
    </w:p>
    <w:p>
      <w:pPr>
        <w:ind w:firstLine="215"/>
        <w:spacing w:after="0" w:line="253" w:lineRule="auto"/>
        <w:rPr>
          <w:sz w:val="20"/>
          <w:szCs w:val="20"/>
          <w:color w:val="auto"/>
        </w:rPr>
      </w:pPr>
      <w:r>
        <w:rPr>
          <w:rFonts w:ascii="Arial" w:cs="Arial" w:eastAsia="Arial" w:hAnsi="Arial"/>
          <w:sz w:val="18"/>
          <w:szCs w:val="18"/>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management’s assessment and on the effectiveness of our internal control over financial reporting. Our independent registered public accounting firm provided us with an unqualified report as to our assessment and the effectiveness of our internal control over financial reporting as of December 31, 2005, which report was included in our Annual Report on Form 10-K for the year ended December 31, 2005. However, we cannot assure you that management or our independent registered public accounting firm will be able to provide such an assessment or unqualified report as of future year-ends. In this event, investors could lose confidence in the reliability of our financial statements, which could result in a decrease in the market value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If our collaboration with sanofi-aventis for the VEGF Trap is terminated, our business operations and our ability to develop, manufacture, and commercialize the VEGF Trap in the time expected, or at all, would be harmed.</w:t>
      </w:r>
    </w:p>
    <w:p>
      <w:pPr>
        <w:spacing w:after="0" w:line="62"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We rely heavily on sanofi-aventis to assist with the development of the VEGF Trap oncology program. Sanofi-aventis funds all of the development expenses incurred by both companies in connection with the VEGF Trap oncology program. If the VEGF Trap oncology program continues, we will rely on sanofi-aventis to assist with funding the VEGF Trap program, provide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commercial manufacturing capacity, enroll and monitor clinical trials, obtain regulatory approval, particularly outside the United States, and provide sales and marketing support. While we cannot assure you that the VEGF Trap will ever be successfully developed and commercialized, if sanofi-aventis does not perform its obligations in a timely manner, or at all, our ability to develop, manufacture, and commercialize the VEGF Trap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cause significant delays in the development and/or manufacture of the VEGF Trap and result in substantial additional costs to us. We have no sales, marketing, or distribution capabilities and would have to develop or outsource these capabilities. Termination of the sanofi-aventis collaboration agreement would create substantial new and additional risks to the successful development of the VEGF Trap oncology program.</w:t>
      </w:r>
    </w:p>
    <w:p>
      <w:pPr>
        <w:spacing w:after="0" w:line="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w:t>
      </w:r>
    </w:p>
    <w:p>
      <w:pPr>
        <w:spacing w:after="0" w:line="62"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We depend upon third-party collaborators, including sanofi-aventis and service providers such as clinical research organizations, outside testing laboratories, clinical investigator sites, and third-party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could experience additional costs, delays, and difficulties in the development or ultimate commercialization of our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81"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73"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85" w:lineRule="exact"/>
        <w:rPr>
          <w:sz w:val="20"/>
          <w:szCs w:val="20"/>
          <w:color w:val="auto"/>
        </w:rPr>
      </w:pPr>
    </w:p>
    <w:p>
      <w:pPr>
        <w:ind w:right="220" w:firstLine="222"/>
        <w:spacing w:after="0" w:line="286" w:lineRule="auto"/>
        <w:rPr>
          <w:sz w:val="20"/>
          <w:szCs w:val="20"/>
          <w:color w:val="auto"/>
        </w:rPr>
      </w:pPr>
      <w:r>
        <w:rPr>
          <w:rFonts w:ascii="Arial" w:cs="Arial" w:eastAsia="Arial" w:hAnsi="Arial"/>
          <w:sz w:val="17"/>
          <w:szCs w:val="17"/>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have large-scale manufacturing operations in Rensselaer, New York. Under a long-term manufacturing agreement with Merck, which expires in October 2006, we produce an intermediate for a Merck pediatric vaccine at our facility in Rensselaer, New York. We also use our facilities to produce API for our own clinical and preclinical candidates. When we no longer use our facilities to manufacture the Merck intermediate or if clinical candidates are discontinued, we will have to absorb overhead costs and inefficiencies.</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of our raw materials are single-sourced from third parties; third-party supply failures could adversely affect our ability to supply our products.</w:t>
      </w:r>
    </w:p>
    <w:p>
      <w:pPr>
        <w:spacing w:after="0" w:line="152"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 This, in turn, could materially and adversely affect our ability to manufacture our product candidates for use in clinical trials, which could materially and adversely affect our business and future prospects.</w:t>
      </w:r>
    </w:p>
    <w:p>
      <w:pPr>
        <w:spacing w:after="0" w:line="50" w:lineRule="exact"/>
        <w:rPr>
          <w:sz w:val="20"/>
          <w:szCs w:val="20"/>
          <w:color w:val="auto"/>
        </w:rPr>
      </w:pPr>
    </w:p>
    <w:p>
      <w:pPr>
        <w:ind w:right="300" w:firstLine="215"/>
        <w:spacing w:after="0" w:line="308" w:lineRule="auto"/>
        <w:rPr>
          <w:sz w:val="20"/>
          <w:szCs w:val="20"/>
          <w:color w:val="auto"/>
        </w:rPr>
      </w:pPr>
      <w:r>
        <w:rPr>
          <w:rFonts w:ascii="Arial" w:cs="Arial" w:eastAsia="Arial" w:hAnsi="Arial"/>
          <w:sz w:val="17"/>
          <w:szCs w:val="17"/>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these biological source materials. If we are required to substitute for these sources to comply with European regulatory requirements, our clinical development activities may be delayed or interrupted.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62" w:lineRule="exact"/>
        <w:rPr>
          <w:sz w:val="20"/>
          <w:szCs w:val="20"/>
          <w:color w:val="auto"/>
        </w:rPr>
      </w:pPr>
    </w:p>
    <w:p>
      <w:pPr>
        <w:ind w:right="100" w:firstLine="222"/>
        <w:spacing w:after="0" w:line="270" w:lineRule="auto"/>
        <w:rPr>
          <w:sz w:val="20"/>
          <w:szCs w:val="20"/>
          <w:color w:val="auto"/>
        </w:rPr>
      </w:pPr>
      <w:r>
        <w:rPr>
          <w:rFonts w:ascii="Arial" w:cs="Arial" w:eastAsia="Arial" w:hAnsi="Arial"/>
          <w:sz w:val="17"/>
          <w:szCs w:val="17"/>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any products that we may obtain regulatory approval for and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the VEGF Trap in cancer indications, should it be approved in the future by regulatory authorities for marketing. We will have to rely on a third party or devote significant resources to develop our own sales, marketing, and distribution capabilities for our other product candidates, including the VEGF Trap-Eye, and we may be unsuccessful in developing our own sales, marketing, and distribution organization.</w:t>
      </w:r>
    </w:p>
    <w:p>
      <w:pPr>
        <w:spacing w:after="0" w:line="7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Even if our product candidates are approved for marketing, their commercial success is highly uncertain because our competitors may get to the marketplace before we do with better or lower cost drugs or the market for our product candidates may be too small to support commercialization or sufficient profitability.</w:t>
      </w:r>
    </w:p>
    <w:p>
      <w:pPr>
        <w:spacing w:after="0" w:line="73"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64" w:lineRule="exact"/>
        <w:rPr>
          <w:sz w:val="20"/>
          <w:szCs w:val="20"/>
          <w:color w:val="auto"/>
        </w:rPr>
      </w:pPr>
    </w:p>
    <w:p>
      <w:pPr>
        <w:ind w:right="160" w:firstLine="225"/>
        <w:spacing w:after="0" w:line="297" w:lineRule="auto"/>
        <w:rPr>
          <w:sz w:val="20"/>
          <w:szCs w:val="20"/>
          <w:color w:val="auto"/>
        </w:rPr>
      </w:pPr>
      <w:r>
        <w:rPr>
          <w:rFonts w:ascii="Arial" w:cs="Arial" w:eastAsia="Arial" w:hAnsi="Arial"/>
          <w:sz w:val="16"/>
          <w:szCs w:val="16"/>
          <w:color w:val="auto"/>
        </w:rPr>
        <w:t>Genentech has an approved VEGF antagonist, Avastin</w:t>
      </w:r>
      <w:r>
        <w:rPr>
          <w:rFonts w:ascii="Arial" w:cs="Arial" w:eastAsia="Arial" w:hAnsi="Arial"/>
          <w:sz w:val="13"/>
          <w:szCs w:val="13"/>
          <w:color w:val="auto"/>
        </w:rPr>
        <w:t>®</w:t>
      </w:r>
      <w:r>
        <w:rPr>
          <w:rFonts w:ascii="Arial" w:cs="Arial" w:eastAsia="Arial" w:hAnsi="Arial"/>
          <w:sz w:val="16"/>
          <w:szCs w:val="16"/>
          <w:color w:val="auto"/>
        </w:rPr>
        <w:t xml:space="preserve"> (Genentech), on the market for treating certain cancers and many different pharmaceutical and biotechnology companies are working to develop competing VEGF antagonists, including Novartis, OSI Pharmaceuticals, and Pfizer. Many of these molecules are farther along in development than the VEGF Trap and may offer competitive advantages over our molecule</w:t>
      </w:r>
      <w:r>
        <w:rPr>
          <w:rFonts w:ascii="Arial" w:cs="Arial" w:eastAsia="Arial" w:hAnsi="Arial"/>
          <w:sz w:val="16"/>
          <w:szCs w:val="16"/>
          <w:b w:val="1"/>
          <w:bCs w:val="1"/>
          <w:color w:val="auto"/>
        </w:rPr>
        <w:t>.</w:t>
      </w:r>
      <w:r>
        <w:rPr>
          <w:rFonts w:ascii="Arial" w:cs="Arial" w:eastAsia="Arial" w:hAnsi="Arial"/>
          <w:sz w:val="16"/>
          <w:szCs w:val="16"/>
          <w:color w:val="auto"/>
        </w:rPr>
        <w:t xml:space="preserve"> Novartis has an ongoing phase 3 clinical development program evaluating an orally delivered VEGF tyrosine kinase inhibitor in different cancer settings. Onyx Pharmaceuticals and Bayer have received approval from the FDA to market and sell the first oral medication that targets tumor cell growth and new vasculature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formation that fuels the growth of tumors. The marketing approvals for Genentech’s VEGF antagonist, Avastin, and their extensive, ongoing clinical development plan for Avastin in other cancer indications, may make it more difficult for us to enroll patients in clinical trials to support the VEGF Trap and to obtain regulatory approval of the VEGF Trap in these cancer settings. This may delay or impair our ability to successfully develop and commercialize the VEGF Trap. In addition, even if the VEGF Trap is ever approved for sale for the treatment of certain cancers, it will be difficult for our drug to compete against Avastin and the Onyx/Bayer kinase inhibitor,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81"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 market for eye diseases is also very competitive. OSI Pharmaceuticals and Pfizer are marketing an approved VEGF inhibitor (Macugen</w:t>
      </w:r>
      <w:r>
        <w:rPr>
          <w:rFonts w:ascii="Arial" w:cs="Arial" w:eastAsia="Arial" w:hAnsi="Arial"/>
          <w:sz w:val="13"/>
          <w:szCs w:val="13"/>
          <w:color w:val="auto"/>
        </w:rPr>
        <w:t>®</w:t>
      </w:r>
      <w:r>
        <w:rPr>
          <w:rFonts w:ascii="Arial" w:cs="Arial" w:eastAsia="Arial" w:hAnsi="Arial"/>
          <w:sz w:val="16"/>
          <w:szCs w:val="16"/>
          <w:color w:val="auto"/>
        </w:rPr>
        <w:t>) for age-related macular degeneration (wet AMD). Novartis and Genentech are collaborating on the commercialization and further development of a VEGF antibody fragment (Lucentis™) for the treatment of wet AMD and other eye indications that was approved by the FDA in June 2006. In addition, it has been reported that ophthalmologists are using a third-party reformulated version of Genentech’s approved VEGF antagonist, Avastin, with success for the treatment of wet AMD. The marketing approval of Macugen and Lucentis and the potential off-label use of Avastin make it more difficult for us to enroll patients in our clinical trials and successfully develop the VEGF Trap-Eye. Even if the VEGF Trap-Eye is ever approved for sale for the treatment of eye diseases, it may be difficult for our drug to compete against Lucentis or Macugen, because doctors and patients will have significant experience using these medicines. Moreover, the relatively low cost of therapy with Avastin in patients with wet AMD presents a further competitive challenge in this indication.</w:t>
      </w:r>
    </w:p>
    <w:p>
      <w:pPr>
        <w:spacing w:after="0" w:line="58" w:lineRule="exact"/>
        <w:rPr>
          <w:sz w:val="20"/>
          <w:szCs w:val="20"/>
          <w:color w:val="auto"/>
        </w:rPr>
      </w:pPr>
    </w:p>
    <w:p>
      <w:pPr>
        <w:jc w:val="center"/>
        <w:ind w:right="760"/>
        <w:spacing w:after="0"/>
        <w:rPr>
          <w:sz w:val="20"/>
          <w:szCs w:val="20"/>
          <w:color w:val="auto"/>
        </w:rPr>
      </w:pPr>
      <w:r>
        <w:rPr>
          <w:rFonts w:ascii="Arial" w:cs="Arial" w:eastAsia="Arial" w:hAnsi="Arial"/>
          <w:sz w:val="17"/>
          <w:szCs w:val="17"/>
          <w:color w:val="auto"/>
        </w:rPr>
        <w:t>The availability of highly effective FDA approved TNF-antagonists such as Enbrel</w:t>
      </w:r>
      <w:r>
        <w:rPr>
          <w:rFonts w:ascii="Arial" w:cs="Arial" w:eastAsia="Arial" w:hAnsi="Arial"/>
          <w:sz w:val="14"/>
          <w:szCs w:val="14"/>
          <w:color w:val="auto"/>
        </w:rPr>
        <w:t>®</w:t>
      </w:r>
      <w:r>
        <w:rPr>
          <w:rFonts w:ascii="Arial" w:cs="Arial" w:eastAsia="Arial" w:hAnsi="Arial"/>
          <w:sz w:val="17"/>
          <w:szCs w:val="17"/>
          <w:color w:val="auto"/>
        </w:rPr>
        <w:t xml:space="preserve"> (Amgen), Remicade</w:t>
      </w:r>
      <w:r>
        <w:rPr>
          <w:rFonts w:ascii="Arial" w:cs="Arial" w:eastAsia="Arial" w:hAnsi="Arial"/>
          <w:sz w:val="14"/>
          <w:szCs w:val="14"/>
          <w:color w:val="auto"/>
        </w:rPr>
        <w:t>®</w:t>
      </w:r>
      <w:r>
        <w:rPr>
          <w:rFonts w:ascii="Arial" w:cs="Arial" w:eastAsia="Arial" w:hAnsi="Arial"/>
          <w:sz w:val="17"/>
          <w:szCs w:val="17"/>
          <w:color w:val="auto"/>
        </w:rPr>
        <w:t xml:space="preserve"> (Centocor), and Humira</w:t>
      </w:r>
      <w:r>
        <w:rPr>
          <w:rFonts w:ascii="Arial" w:cs="Arial" w:eastAsia="Arial" w:hAnsi="Arial"/>
          <w:sz w:val="14"/>
          <w:szCs w:val="14"/>
          <w:color w:val="auto"/>
        </w:rPr>
        <w:t>®</w:t>
      </w:r>
      <w:r>
        <w:rPr>
          <w:rFonts w:ascii="Arial" w:cs="Arial" w:eastAsia="Arial" w:hAnsi="Arial"/>
          <w:sz w:val="17"/>
          <w:szCs w:val="17"/>
          <w:color w:val="auto"/>
        </w:rPr>
        <w:t xml:space="preserve"> (Abbott</w:t>
      </w:r>
    </w:p>
    <w:p>
      <w:pPr>
        <w:spacing w:after="0" w:line="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Laboratories), and the IL-1 receptor antagonist Kineret</w:t>
      </w:r>
      <w:r>
        <w:rPr>
          <w:rFonts w:ascii="Arial" w:cs="Arial" w:eastAsia="Arial" w:hAnsi="Arial"/>
          <w:sz w:val="15"/>
          <w:szCs w:val="15"/>
          <w:color w:val="auto"/>
        </w:rPr>
        <w:t>®</w:t>
      </w:r>
      <w:r>
        <w:rPr>
          <w:rFonts w:ascii="Arial" w:cs="Arial" w:eastAsia="Arial" w:hAnsi="Arial"/>
          <w:sz w:val="18"/>
          <w:szCs w:val="18"/>
          <w:color w:val="auto"/>
        </w:rPr>
        <w:t xml:space="preserve"> (Amgen), and other marketed therapies makes it more difficult to successfully develop and commercialize the IL-1 Trap. This is one of the reasons we discontinued the development of the IL-1 Trap in adult rheumatoid arthritis. In addition, even if the IL-1 Trap is ever approved for sale, it will be difficult for our drug to compete against these FDA approved TNF-antagonists in indications where both are useful because doctors and patients will have significant experience using these effective medicines. Moreover, in such indications these approved therapeutics may offer competitive advantages over the IL-1 Trap, such as requiring fewer injections.</w:t>
      </w:r>
    </w:p>
    <w:p>
      <w:pPr>
        <w:spacing w:after="0" w:line="84" w:lineRule="exact"/>
        <w:rPr>
          <w:sz w:val="20"/>
          <w:szCs w:val="20"/>
          <w:color w:val="auto"/>
        </w:rPr>
      </w:pPr>
    </w:p>
    <w:p>
      <w:pPr>
        <w:ind w:right="200" w:firstLine="222"/>
        <w:spacing w:after="0" w:line="297" w:lineRule="auto"/>
        <w:rPr>
          <w:sz w:val="20"/>
          <w:szCs w:val="20"/>
          <w:color w:val="auto"/>
        </w:rPr>
      </w:pPr>
      <w:r>
        <w:rPr>
          <w:rFonts w:ascii="Arial" w:cs="Arial" w:eastAsia="Arial" w:hAnsi="Arial"/>
          <w:sz w:val="16"/>
          <w:szCs w:val="16"/>
          <w:color w:val="auto"/>
        </w:rPr>
        <w:t>There are both small molecules and antibodies in development by third parties that are designed to block the synthesis of interleukin-1 or inhibit the signaling of interleukin-1. For example, Novartis is developing an antibody to interleukin-1 and Amgen is developing an antibody to the interleukin-1 receptor. These drug candidates could offer competitive advantages over the IL-1 Trap. The successful development of these competing molecules could delay or impair our ability to successfully develop and commercialize the IL-1 Trap. For example, we may find it difficult to enroll patients in clinical trials for the IL-1 Trap if the companies developing these competing interleukin-1 inhibitors commence clinical trials in the same indications.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 xml:space="preserve">We are developing the IL-1 Trap for the treatment of a spectrum of rare diseases associated with mutations in the </w:t>
      </w:r>
      <w:r>
        <w:rPr>
          <w:rFonts w:ascii="Arial" w:cs="Arial" w:eastAsia="Arial" w:hAnsi="Arial"/>
          <w:sz w:val="18"/>
          <w:szCs w:val="18"/>
          <w:i w:val="1"/>
          <w:iCs w:val="1"/>
          <w:color w:val="auto"/>
        </w:rPr>
        <w:t>CIAS</w:t>
      </w:r>
      <w:r>
        <w:rPr>
          <w:rFonts w:ascii="Arial" w:cs="Arial" w:eastAsia="Arial" w:hAnsi="Arial"/>
          <w:sz w:val="18"/>
          <w:szCs w:val="18"/>
          <w:color w:val="auto"/>
        </w:rPr>
        <w:t>1 gene. These rare genetic disorders affect a small group of people, estimated to be between several hundred and a few thousand. There may be too few patients with these genetic disorders to profitably commercialize the IL-1 Trap in this indication.</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on obtaining coverage and reimbursement for use of these products from third-party payers.</w:t>
      </w:r>
    </w:p>
    <w:p>
      <w:pPr>
        <w:spacing w:after="0" w:line="62"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Sales of biopharmaceutical products largely depend on the reimbursement of patients’ medical expenses by government health care programs and private health insurers. Without the financial support of the governments or third-party payers, the market for any biopharmaceutical product will be limited. These third-party payers increasingly challenge the price and examine the cost-effectiveness of products and services. Significant uncertainty exists as to the reimbursement status of any new therapeutic, particularly if there exist lower-cost standards of care. Third-party payers may not reimburse sales of our products, which would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62"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are highly dependent on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Murray A. Goldberg, our Senior Vice President, Finance &amp; Administration, Chief Financial Officer, Treasurer, and Assistant Secretary, Neil Stahl, Ph.D., our Senior Vice President, Preclinical Development and Biomolecular Science, and Randall G. Rupp, Ph.D., our Senior Vice President, Manufacturing Operations.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17" w:lineRule="exact"/>
        <w:rPr>
          <w:sz w:val="20"/>
          <w:szCs w:val="20"/>
          <w:color w:val="auto"/>
        </w:rPr>
      </w:pPr>
    </w:p>
    <w:p>
      <w:pPr>
        <w:ind w:right="360" w:firstLine="312"/>
        <w:spacing w:after="0" w:line="308" w:lineRule="auto"/>
        <w:rPr>
          <w:sz w:val="20"/>
          <w:szCs w:val="20"/>
          <w:color w:val="auto"/>
        </w:rPr>
      </w:pPr>
      <w:r>
        <w:rPr>
          <w:rFonts w:ascii="Arial" w:cs="Arial" w:eastAsia="Arial" w:hAnsi="Arial"/>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38" w:lineRule="exact"/>
        <w:rPr>
          <w:sz w:val="20"/>
          <w:szCs w:val="20"/>
          <w:color w:val="auto"/>
        </w:rPr>
      </w:pPr>
    </w:p>
    <w:p>
      <w:pPr>
        <w:ind w:left="800" w:hanging="454"/>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progress, delays, or adverse results in clinical trials;</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announcement of technological innovations or product candidates by us or competitors;</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fluctuations in our operating results;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800" w:hanging="454"/>
        <w:spacing w:after="0"/>
        <w:tabs>
          <w:tab w:leader="none" w:pos="8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public concern as to the safety or effectiveness of our product candidates;</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developments in our relationship with collaborative partners;</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developments in the biotechnology industry or in government regulation of healthcare;</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large sales of our common stock by our executive officers, directors, or significant shareholders;</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arrivals and departures of key personnel; and</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general market conditions.</w:t>
      </w:r>
    </w:p>
    <w:p>
      <w:pPr>
        <w:spacing w:after="0" w:line="117" w:lineRule="exact"/>
        <w:rPr>
          <w:sz w:val="20"/>
          <w:szCs w:val="20"/>
          <w:color w:val="auto"/>
        </w:rPr>
      </w:pPr>
    </w:p>
    <w:p>
      <w:pPr>
        <w:jc w:val="both"/>
        <w:ind w:right="160" w:firstLine="312"/>
        <w:spacing w:after="0" w:line="26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62"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 small number of our shareholders beneficially own a substantial amount of our common stock. As of April 13, 2006, our seven largest shareholders, including sanofi-aventis, beneficially owned 47.9%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April 13, 2006. As of April 13, 2006, sanofi-aventis owned 2,799,552 shares of Common Stock, representing approximately 5.1% of the shares of Common Stock then outstanding. Under our stock purchase agreement with sanofi-aventis, through September 5, 2006, sanofi-aventis may sell no more than 250,000 of these shares in any calendar quarter. After September 5, 2006, sanofi-aventis may sell no more than 500,000 of these shares in any calendar quarter.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April 13, 2006, holders of Class A Stock held 4.1% of all shares of Common Stock and Class A Stock then outstanding, and had 29.7% of the combined voting power of all of Common Stock and Class A Stock then outstanding.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company taking corporate actions that you may not consider to be in your best interest and may affect the price of our Common Stock. As of April 13, 2006:</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right="40" w:hanging="454"/>
        <w:spacing w:after="0" w:line="259" w:lineRule="auto"/>
        <w:tabs>
          <w:tab w:leader="none" w:pos="8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current officers and directors beneficially owned 14.6% of our outstanding shares of Common Stock, assuming conversion of their Class A Stock into Common Stock and the exercise of all options held by such persons which are exercisable within 60 days of April 13, 2006, and 33.2% of the combined voting power of our outstanding shares of Common Stock and Class A Stock, assuming the exercise of all options held by such persons which are exercisable within 60 days of April 13, 2006; and</w:t>
      </w:r>
    </w:p>
    <w:p>
      <w:pPr>
        <w:spacing w:after="0" w:line="92" w:lineRule="exact"/>
        <w:rPr>
          <w:rFonts w:ascii="Arial" w:cs="Arial" w:eastAsia="Arial" w:hAnsi="Arial"/>
          <w:sz w:val="18"/>
          <w:szCs w:val="18"/>
          <w:b w:val="1"/>
          <w:bCs w:val="1"/>
          <w:color w:val="auto"/>
        </w:rPr>
      </w:pPr>
    </w:p>
    <w:p>
      <w:pPr>
        <w:ind w:left="800" w:hanging="454"/>
        <w:spacing w:after="0" w:line="276" w:lineRule="auto"/>
        <w:tabs>
          <w:tab w:leader="none" w:pos="80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our seven largest shareholders beneficially owned 47.9%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April 13, 2006. In addition, these seven shareholders held 54.3% of the combined voting power of our outstanding shares of Common Stock and Class A Stock, assuming the exercise of all options held by our Chief Executive Officer and our Chairman which are exercisable within 60 days of April 13, 2006.</w:t>
      </w:r>
    </w:p>
    <w:p>
      <w:pPr>
        <w:spacing w:after="0" w:line="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rights agreement, and of New York corporate law, could deter, delay, or prevent an acquisition or other “change in control” of us and could adversely affect the price of our common stock.</w:t>
      </w:r>
    </w:p>
    <w:p>
      <w:pPr>
        <w:spacing w:after="0" w:line="62"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Our amended and restated certificate of incorporation, our by-laws, our rights agreement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80" w:lineRule="exact"/>
        <w:rPr>
          <w:sz w:val="20"/>
          <w:szCs w:val="20"/>
          <w:color w:val="auto"/>
        </w:rPr>
      </w:pPr>
    </w:p>
    <w:p>
      <w:pPr>
        <w:ind w:left="800" w:hanging="454"/>
        <w:spacing w:after="0" w:line="277" w:lineRule="auto"/>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75" w:lineRule="exact"/>
        <w:rPr>
          <w:rFonts w:ascii="Arial" w:cs="Arial" w:eastAsia="Arial" w:hAnsi="Arial"/>
          <w:sz w:val="18"/>
          <w:szCs w:val="18"/>
          <w:b w:val="1"/>
          <w:bCs w:val="1"/>
          <w:color w:val="auto"/>
        </w:rPr>
      </w:pPr>
    </w:p>
    <w:p>
      <w:pPr>
        <w:ind w:left="800" w:hanging="454"/>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130" w:lineRule="exact"/>
        <w:rPr>
          <w:rFonts w:ascii="Arial" w:cs="Arial" w:eastAsia="Arial" w:hAnsi="Arial"/>
          <w:sz w:val="18"/>
          <w:szCs w:val="18"/>
          <w:b w:val="1"/>
          <w:bCs w:val="1"/>
          <w:color w:val="auto"/>
        </w:rPr>
      </w:pPr>
    </w:p>
    <w:p>
      <w:pPr>
        <w:ind w:left="800" w:right="180" w:hanging="454"/>
        <w:spacing w:after="0" w:line="264" w:lineRule="auto"/>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86" w:lineRule="exact"/>
        <w:rPr>
          <w:rFonts w:ascii="Arial" w:cs="Arial" w:eastAsia="Arial" w:hAnsi="Arial"/>
          <w:sz w:val="18"/>
          <w:szCs w:val="18"/>
          <w:b w:val="1"/>
          <w:bCs w:val="1"/>
          <w:color w:val="auto"/>
        </w:rPr>
      </w:pPr>
    </w:p>
    <w:p>
      <w:pPr>
        <w:ind w:left="800" w:hanging="454"/>
        <w:spacing w:after="0" w:line="308" w:lineRule="auto"/>
        <w:tabs>
          <w:tab w:leader="none" w:pos="80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51" w:lineRule="exact"/>
        <w:rPr>
          <w:rFonts w:ascii="Arial" w:cs="Arial" w:eastAsia="Arial" w:hAnsi="Arial"/>
          <w:sz w:val="17"/>
          <w:szCs w:val="17"/>
          <w:b w:val="1"/>
          <w:bCs w:val="1"/>
          <w:color w:val="auto"/>
        </w:rPr>
      </w:pPr>
    </w:p>
    <w:p>
      <w:pPr>
        <w:ind w:left="800" w:right="300" w:hanging="454"/>
        <w:spacing w:after="0" w:line="277" w:lineRule="auto"/>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800" w:right="120" w:hanging="454"/>
        <w:spacing w:after="0" w:line="264" w:lineRule="auto"/>
        <w:tabs>
          <w:tab w:leader="none" w:pos="8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 xml:space="preserve">under the New York Business Corporation Law, a plan of merger or consolidation of the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influence over matters requiring shareholder approval.”</w:t>
      </w:r>
    </w:p>
    <w:p>
      <w:pPr>
        <w:spacing w:after="0" w:line="73"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We have a shareholder rights plan which could make it more difficult for a third party to acquire us without the support of our board of directors and principal shareholders. In addition, many of our stock options issued under our 2000 Long-Term Incentive Plan may become fully vested in connection with a “change in control” of the Company, as defined in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On June 9, 2006, we conducted our Annual Meeting of Shareholders pursuant to due notice. A quorum being present either in person or by proxy, the shareholders voted on the following matters:</w:t>
      </w:r>
    </w:p>
    <w:p>
      <w:pPr>
        <w:spacing w:after="0" w:line="62" w:lineRule="exact"/>
        <w:rPr>
          <w:sz w:val="20"/>
          <w:szCs w:val="20"/>
          <w:color w:val="auto"/>
        </w:rPr>
      </w:pPr>
    </w:p>
    <w:p>
      <w:pPr>
        <w:ind w:left="400" w:hanging="167"/>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elect four Directors to hold office for a three-year term as Class III directors, and until their successors are duly elected and qualified.</w:t>
      </w:r>
    </w:p>
    <w:p>
      <w:pPr>
        <w:spacing w:after="0" w:line="117" w:lineRule="exact"/>
        <w:rPr>
          <w:rFonts w:ascii="Arial" w:cs="Arial" w:eastAsia="Arial" w:hAnsi="Arial"/>
          <w:sz w:val="18"/>
          <w:szCs w:val="18"/>
          <w:color w:val="auto"/>
        </w:rPr>
      </w:pPr>
    </w:p>
    <w:p>
      <w:pPr>
        <w:ind w:right="240" w:firstLine="233"/>
        <w:spacing w:after="0" w:line="277" w:lineRule="auto"/>
        <w:tabs>
          <w:tab w:leader="none" w:pos="40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registered public accounting firm for our fiscal year ending December 31, 2006.</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other matters were voted on. The number of votes cast was: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4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color w:val="auto"/>
                <w:w w:val="95"/>
              </w:rPr>
              <w:t>For</w:t>
            </w:r>
          </w:p>
        </w:tc>
        <w:tc>
          <w:tcPr>
            <w:tcW w:w="800" w:type="dxa"/>
            <w:vAlign w:val="bottom"/>
          </w:tcPr>
          <w:p>
            <w:pPr>
              <w:jc w:val="right"/>
              <w:ind w:right="54"/>
              <w:spacing w:after="0"/>
              <w:rPr>
                <w:sz w:val="20"/>
                <w:szCs w:val="20"/>
                <w:color w:val="auto"/>
              </w:rPr>
            </w:pPr>
            <w:r>
              <w:rPr>
                <w:rFonts w:ascii="Arial" w:cs="Arial" w:eastAsia="Arial" w:hAnsi="Arial"/>
                <w:sz w:val="14"/>
                <w:szCs w:val="14"/>
                <w:color w:val="auto"/>
              </w:rPr>
              <w:t>Withheld</w:t>
            </w: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1.  Election of Class II Directors</w:t>
            </w:r>
          </w:p>
        </w:tc>
        <w:tc>
          <w:tcPr>
            <w:tcW w:w="8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9240" w:type="dxa"/>
            <w:vAlign w:val="bottom"/>
          </w:tcPr>
          <w:p>
            <w:pPr>
              <w:ind w:left="420"/>
              <w:spacing w:after="0"/>
              <w:rPr>
                <w:sz w:val="20"/>
                <w:szCs w:val="20"/>
                <w:color w:val="auto"/>
              </w:rPr>
            </w:pPr>
            <w:r>
              <w:rPr>
                <w:rFonts w:ascii="Arial" w:cs="Arial" w:eastAsia="Arial" w:hAnsi="Arial"/>
                <w:sz w:val="18"/>
                <w:szCs w:val="18"/>
                <w:color w:val="auto"/>
              </w:rPr>
              <w:t>Charles A. Baker.</w:t>
            </w:r>
          </w:p>
        </w:tc>
        <w:tc>
          <w:tcPr>
            <w:tcW w:w="138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68,193,948</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1,341,920</w:t>
            </w: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Michael S. Brown, M.D.</w:t>
            </w:r>
          </w:p>
        </w:tc>
        <w:tc>
          <w:tcPr>
            <w:tcW w:w="13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68,530,409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1,005,459</w:t>
            </w:r>
          </w:p>
        </w:tc>
      </w:tr>
      <w:tr>
        <w:trPr>
          <w:trHeight w:val="216"/>
        </w:trPr>
        <w:tc>
          <w:tcPr>
            <w:tcW w:w="9240" w:type="dxa"/>
            <w:vAlign w:val="bottom"/>
          </w:tcPr>
          <w:p>
            <w:pPr>
              <w:ind w:left="420"/>
              <w:spacing w:after="0"/>
              <w:rPr>
                <w:sz w:val="20"/>
                <w:szCs w:val="20"/>
                <w:color w:val="auto"/>
              </w:rPr>
            </w:pPr>
            <w:r>
              <w:rPr>
                <w:rFonts w:ascii="Arial" w:cs="Arial" w:eastAsia="Arial" w:hAnsi="Arial"/>
                <w:sz w:val="18"/>
                <w:szCs w:val="18"/>
                <w:color w:val="auto"/>
              </w:rPr>
              <w:t>Arthur F. Ryan</w:t>
            </w:r>
          </w:p>
        </w:tc>
        <w:tc>
          <w:tcPr>
            <w:tcW w:w="138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68,681,939</w:t>
            </w:r>
          </w:p>
        </w:tc>
        <w:tc>
          <w:tcPr>
            <w:tcW w:w="800" w:type="dxa"/>
            <w:vAlign w:val="bottom"/>
          </w:tcPr>
          <w:p>
            <w:pPr>
              <w:jc w:val="right"/>
              <w:spacing w:after="0"/>
              <w:rPr>
                <w:sz w:val="20"/>
                <w:szCs w:val="20"/>
                <w:color w:val="auto"/>
              </w:rPr>
            </w:pPr>
            <w:r>
              <w:rPr>
                <w:rFonts w:ascii="Arial" w:cs="Arial" w:eastAsia="Arial" w:hAnsi="Arial"/>
                <w:sz w:val="18"/>
                <w:szCs w:val="18"/>
                <w:color w:val="auto"/>
              </w:rPr>
              <w:t>853,929</w:t>
            </w: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George L. Sing</w:t>
            </w:r>
          </w:p>
        </w:tc>
        <w:tc>
          <w:tcPr>
            <w:tcW w:w="13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68,239,673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1,296,195</w:t>
            </w:r>
          </w:p>
        </w:tc>
      </w:tr>
    </w:tbl>
    <w:p>
      <w:pPr>
        <w:spacing w:after="0" w:line="94"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terms of office of Leonard S. Schleifer, M.D., Ph.D., Eric M. Shooter, Ph.D., George D. Yancopoulos, M.D., Ph.D., Alfred G. Gilman, M.D., Ph.D., Joseph L. Goldstein, M.D., and P. Roy Vagelos, M.D. continued after the meeting.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60" w:type="dxa"/>
            <w:vAlign w:val="bottom"/>
            <w:vMerge w:val="restart"/>
          </w:tcPr>
          <w:p>
            <w:pPr>
              <w:jc w:val="right"/>
              <w:ind w:right="1350"/>
              <w:spacing w:after="0"/>
              <w:rPr>
                <w:sz w:val="20"/>
                <w:szCs w:val="20"/>
                <w:color w:val="auto"/>
              </w:rPr>
            </w:pPr>
            <w:r>
              <w:rPr>
                <w:rFonts w:ascii="Arial" w:cs="Arial" w:eastAsia="Arial" w:hAnsi="Arial"/>
                <w:sz w:val="18"/>
                <w:szCs w:val="18"/>
                <w:color w:val="auto"/>
                <w:w w:val="92"/>
              </w:rPr>
              <w:t>2. Ratification of the Appointment of Independent Registered Public Accounting Firm</w:t>
            </w:r>
          </w:p>
        </w:tc>
        <w:tc>
          <w:tcPr>
            <w:tcW w:w="1580" w:type="dxa"/>
            <w:vAlign w:val="bottom"/>
            <w:gridSpan w:val="2"/>
          </w:tcPr>
          <w:p>
            <w:pPr>
              <w:ind w:left="360"/>
              <w:spacing w:after="0"/>
              <w:rPr>
                <w:sz w:val="20"/>
                <w:szCs w:val="20"/>
                <w:color w:val="auto"/>
              </w:rPr>
            </w:pPr>
            <w:r>
              <w:rPr>
                <w:rFonts w:ascii="Arial" w:cs="Arial" w:eastAsia="Arial" w:hAnsi="Arial"/>
                <w:sz w:val="14"/>
                <w:szCs w:val="14"/>
                <w:color w:val="auto"/>
              </w:rPr>
              <w:t>For</w:t>
            </w: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Against</w:t>
            </w:r>
          </w:p>
        </w:tc>
        <w:tc>
          <w:tcPr>
            <w:tcW w:w="820" w:type="dxa"/>
            <w:vAlign w:val="bottom"/>
            <w:gridSpan w:val="2"/>
          </w:tcPr>
          <w:p>
            <w:pPr>
              <w:ind w:left="140"/>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24"/>
        </w:trPr>
        <w:tc>
          <w:tcPr>
            <w:tcW w:w="7660" w:type="dxa"/>
            <w:vAlign w:val="bottom"/>
            <w:vMerge w:val="continue"/>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69,093,166</w:t>
            </w:r>
          </w:p>
        </w:tc>
        <w:tc>
          <w:tcPr>
            <w:tcW w:w="660" w:type="dxa"/>
            <w:vAlign w:val="bottom"/>
          </w:tcPr>
          <w:p>
            <w:pPr>
              <w:spacing w:after="0"/>
              <w:rPr>
                <w:sz w:val="19"/>
                <w:szCs w:val="19"/>
                <w:color w:val="auto"/>
              </w:rPr>
            </w:pP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6"/>
              </w:rPr>
              <w:t>105,312</w:t>
            </w:r>
          </w:p>
        </w:tc>
        <w:tc>
          <w:tcPr>
            <w:tcW w:w="660" w:type="dxa"/>
            <w:vAlign w:val="bottom"/>
          </w:tcPr>
          <w:p>
            <w:pPr>
              <w:spacing w:after="0"/>
              <w:rPr>
                <w:sz w:val="19"/>
                <w:szCs w:val="19"/>
                <w:color w:val="auto"/>
              </w:rPr>
            </w:pPr>
          </w:p>
        </w:tc>
        <w:tc>
          <w:tcPr>
            <w:tcW w:w="7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9"/>
              </w:rPr>
              <w:t>337,390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7660" w:type="dxa"/>
            <w:vAlign w:val="bottom"/>
          </w:tcPr>
          <w:p>
            <w:pPr>
              <w:jc w:val="right"/>
              <w:ind w:right="1770"/>
              <w:spacing w:after="0"/>
              <w:rPr>
                <w:sz w:val="20"/>
                <w:szCs w:val="20"/>
                <w:color w:val="auto"/>
              </w:rPr>
            </w:pPr>
            <w:r>
              <w:rPr>
                <w:rFonts w:ascii="Arial" w:cs="Arial" w:eastAsia="Arial" w:hAnsi="Arial"/>
                <w:sz w:val="18"/>
                <w:szCs w:val="18"/>
                <w:color w:val="auto"/>
              </w:rPr>
              <w:t>52</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6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-3175</wp:posOffset>
            </wp:positionV>
            <wp:extent cx="67151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tabs>
          <w:tab w:leader="none" w:pos="8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 Statement re: computation of ratio of earnings to combined fixed charges.</w:t>
      </w:r>
    </w:p>
    <w:p>
      <w:pPr>
        <w:spacing w:after="0" w:line="20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Certification of CEO pursuant to Rule 13a-14(a) under the Securities and Exchange Act of 1934.</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 Certification of CFO pursuant to Rule 13a-14(a) under the Securities and Exchange Act of 1934.</w:t>
      </w:r>
    </w:p>
    <w:p>
      <w:pPr>
        <w:spacing w:after="0" w:line="225" w:lineRule="exact"/>
        <w:rPr>
          <w:sz w:val="20"/>
          <w:szCs w:val="20"/>
          <w:color w:val="auto"/>
        </w:rPr>
      </w:pPr>
    </w:p>
    <w:p>
      <w:pPr>
        <w:jc w:val="right"/>
        <w:ind w:left="5620" w:right="4419" w:hanging="5612"/>
        <w:spacing w:after="0" w:line="589" w:lineRule="auto"/>
        <w:tabs>
          <w:tab w:leader="none" w:pos="8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 Certification of CEO and CFO pursuant to 18 U.S.C. Section 1350.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Date: August 8, 2006</w:t>
      </w:r>
      <w:r>
        <w:rPr>
          <w:sz w:val="20"/>
          <w:szCs w:val="20"/>
          <w:color w:val="auto"/>
        </w:rPr>
        <w:tab/>
      </w:r>
      <w:r>
        <w:rPr>
          <w:rFonts w:ascii="Arial" w:cs="Arial" w:eastAsia="Arial" w:hAnsi="Arial"/>
          <w:sz w:val="17"/>
          <w:szCs w:val="17"/>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14605</wp:posOffset>
            </wp:positionV>
            <wp:extent cx="28727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Finance &amp; Administration,</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Treasurer, and</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Assistant Secretary</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80"/>
          </w:cols>
          <w:pgMar w:left="240" w:top="419"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2"/>
              </w:rPr>
              <w:t>Six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40" w:type="dxa"/>
            <w:vAlign w:val="bottom"/>
            <w:gridSpan w:val="4"/>
            <w:vMerge w:val="restart"/>
          </w:tcPr>
          <w:p>
            <w:pPr>
              <w:ind w:left="120"/>
              <w:spacing w:after="0"/>
              <w:rPr>
                <w:sz w:val="20"/>
                <w:szCs w:val="20"/>
                <w:color w:val="auto"/>
              </w:rPr>
            </w:pPr>
            <w:r>
              <w:rPr>
                <w:rFonts w:ascii="Arial" w:cs="Arial" w:eastAsia="Arial" w:hAnsi="Arial"/>
                <w:sz w:val="14"/>
                <w:szCs w:val="14"/>
                <w:color w:val="auto"/>
              </w:rPr>
              <w:t>Years ended December 31,</w:t>
            </w: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ind w:right="174"/>
              <w:spacing w:after="0"/>
              <w:rPr>
                <w:sz w:val="20"/>
                <w:szCs w:val="20"/>
                <w:color w:val="auto"/>
              </w:rPr>
            </w:pPr>
            <w:r>
              <w:rPr>
                <w:rFonts w:ascii="Arial" w:cs="Arial" w:eastAsia="Arial" w:hAnsi="Arial"/>
                <w:sz w:val="14"/>
                <w:szCs w:val="14"/>
                <w:color w:val="auto"/>
                <w:w w:val="92"/>
              </w:rPr>
              <w:t>ended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vMerge w:val="continue"/>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center"/>
              <w:ind w:right="174"/>
              <w:spacing w:after="0" w:line="154"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312"/>
              <w:spacing w:after="0" w:line="142" w:lineRule="exact"/>
              <w:rPr>
                <w:sz w:val="20"/>
                <w:szCs w:val="20"/>
                <w:color w:val="auto"/>
              </w:rPr>
            </w:pPr>
            <w:r>
              <w:rPr>
                <w:rFonts w:ascii="Arial" w:cs="Arial" w:eastAsia="Arial" w:hAnsi="Arial"/>
                <w:sz w:val="14"/>
                <w:szCs w:val="14"/>
                <w:color w:val="auto"/>
              </w:rPr>
              <w:t>2001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Arial" w:cs="Arial" w:eastAsia="Arial" w:hAnsi="Arial"/>
                <w:sz w:val="14"/>
                <w:szCs w:val="14"/>
                <w:color w:val="auto"/>
              </w:rPr>
              <w:t>2002</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Arial" w:cs="Arial" w:eastAsia="Arial" w:hAnsi="Arial"/>
                <w:sz w:val="14"/>
                <w:szCs w:val="14"/>
                <w:color w:val="auto"/>
              </w:rPr>
              <w:t>2003</w:t>
            </w:r>
          </w:p>
        </w:tc>
        <w:tc>
          <w:tcPr>
            <w:tcW w:w="400" w:type="dxa"/>
            <w:vAlign w:val="bottom"/>
          </w:tcPr>
          <w:p>
            <w:pPr>
              <w:spacing w:after="0"/>
              <w:rPr>
                <w:sz w:val="12"/>
                <w:szCs w:val="12"/>
                <w:color w:val="auto"/>
              </w:rPr>
            </w:pPr>
          </w:p>
        </w:tc>
        <w:tc>
          <w:tcPr>
            <w:tcW w:w="10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2004</w:t>
            </w:r>
          </w:p>
        </w:tc>
        <w:tc>
          <w:tcPr>
            <w:tcW w:w="1460" w:type="dxa"/>
            <w:vAlign w:val="bottom"/>
            <w:gridSpan w:val="2"/>
          </w:tcPr>
          <w:p>
            <w:pPr>
              <w:jc w:val="right"/>
              <w:ind w:right="290"/>
              <w:spacing w:after="0" w:line="142" w:lineRule="exact"/>
              <w:rPr>
                <w:sz w:val="20"/>
                <w:szCs w:val="20"/>
                <w:color w:val="auto"/>
              </w:rPr>
            </w:pPr>
            <w:r>
              <w:rPr>
                <w:rFonts w:ascii="Arial" w:cs="Arial" w:eastAsia="Arial" w:hAnsi="Arial"/>
                <w:sz w:val="14"/>
                <w:szCs w:val="14"/>
                <w:color w:val="auto"/>
              </w:rPr>
              <w:t>2005</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ind w:right="174"/>
              <w:spacing w:after="0" w:line="142" w:lineRule="exact"/>
              <w:rPr>
                <w:sz w:val="20"/>
                <w:szCs w:val="20"/>
                <w:color w:val="auto"/>
              </w:rPr>
            </w:pPr>
            <w:r>
              <w:rPr>
                <w:rFonts w:ascii="Arial" w:cs="Arial" w:eastAsia="Arial" w:hAnsi="Arial"/>
                <w:sz w:val="14"/>
                <w:szCs w:val="14"/>
                <w:color w:val="auto"/>
                <w:w w:val="89"/>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200"/>
              <w:spacing w:after="0" w:line="201" w:lineRule="exact"/>
              <w:rPr>
                <w:sz w:val="20"/>
                <w:szCs w:val="20"/>
                <w:color w:val="auto"/>
              </w:rPr>
            </w:pPr>
            <w:r>
              <w:rPr>
                <w:rFonts w:ascii="Arial" w:cs="Arial" w:eastAsia="Arial" w:hAnsi="Arial"/>
                <w:sz w:val="18"/>
                <w:szCs w:val="18"/>
                <w:color w:val="auto"/>
              </w:rPr>
              <w:t>Income (loss) from continuing</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400"/>
              <w:spacing w:after="0"/>
              <w:rPr>
                <w:sz w:val="20"/>
                <w:szCs w:val="20"/>
                <w:color w:val="auto"/>
              </w:rPr>
            </w:pPr>
            <w:r>
              <w:rPr>
                <w:rFonts w:ascii="Arial" w:cs="Arial" w:eastAsia="Arial" w:hAnsi="Arial"/>
                <w:sz w:val="18"/>
                <w:szCs w:val="18"/>
                <w:color w:val="auto"/>
              </w:rPr>
              <w:t>operations before income</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400"/>
              <w:spacing w:after="0"/>
              <w:rPr>
                <w:sz w:val="20"/>
                <w:szCs w:val="20"/>
                <w:color w:val="auto"/>
              </w:rPr>
            </w:pPr>
            <w:r>
              <w:rPr>
                <w:rFonts w:ascii="Arial" w:cs="Arial" w:eastAsia="Arial" w:hAnsi="Arial"/>
                <w:sz w:val="18"/>
                <w:szCs w:val="18"/>
                <w:color w:val="auto"/>
              </w:rPr>
              <w:t>(loss) from equity investee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w w:val="89"/>
              </w:rPr>
              <w:t>(75,178)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w w:val="88"/>
              </w:rPr>
              <w:t>(124,350)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w w:val="88"/>
              </w:rPr>
              <w:t>(107,395)</w:t>
            </w:r>
          </w:p>
        </w:tc>
        <w:tc>
          <w:tcPr>
            <w:tcW w:w="400" w:type="dxa"/>
            <w:vAlign w:val="bottom"/>
          </w:tcPr>
          <w:p>
            <w:pPr>
              <w:spacing w:after="0"/>
              <w:rPr>
                <w:sz w:val="20"/>
                <w:szCs w:val="20"/>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$41,565</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$(95,456)</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w w:val="89"/>
              </w:rPr>
              <w:t>(44,769)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3,888</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13,685</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14,108</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14,060</w:t>
            </w:r>
          </w:p>
        </w:tc>
        <w:tc>
          <w:tcPr>
            <w:tcW w:w="1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13,687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6,817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capitalized</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40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20"/>
                <w:szCs w:val="20"/>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78</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(222)</w:t>
            </w:r>
          </w:p>
        </w:tc>
        <w:tc>
          <w:tcPr>
            <w:tcW w:w="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(276)</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2920" w:type="dxa"/>
            <w:vAlign w:val="bottom"/>
            <w:gridSpan w:val="2"/>
          </w:tcPr>
          <w:p>
            <w:pPr>
              <w:spacing w:after="0"/>
              <w:rPr>
                <w:sz w:val="20"/>
                <w:szCs w:val="20"/>
                <w:color w:val="auto"/>
              </w:rPr>
            </w:pPr>
            <w:r>
              <w:rPr>
                <w:rFonts w:ascii="Arial" w:cs="Arial" w:eastAsia="Arial" w:hAnsi="Arial"/>
                <w:sz w:val="18"/>
                <w:szCs w:val="18"/>
                <w:color w:val="auto"/>
              </w:rPr>
              <w:t>Adjusted earnings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9"/>
              </w:rPr>
              <w:t>(71,290)</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8"/>
              </w:rPr>
              <w:t>(110,887)</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(93,530)</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$55,703</w:t>
            </w:r>
          </w:p>
        </w:tc>
        <w:tc>
          <w:tcPr>
            <w:tcW w:w="14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$(81,691)</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89"/>
              </w:rPr>
              <w:t>(37,913)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2,657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11,859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11,932</w:t>
            </w:r>
          </w:p>
        </w:tc>
        <w:tc>
          <w:tcPr>
            <w:tcW w:w="40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$12,175</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$ 12,046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222</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276</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200"/>
              <w:spacing w:after="0" w:line="201" w:lineRule="exact"/>
              <w:rPr>
                <w:sz w:val="20"/>
                <w:szCs w:val="20"/>
                <w:color w:val="auto"/>
              </w:rPr>
            </w:pPr>
            <w:r>
              <w:rPr>
                <w:rFonts w:ascii="Arial" w:cs="Arial" w:eastAsia="Arial" w:hAnsi="Arial"/>
                <w:sz w:val="18"/>
                <w:szCs w:val="18"/>
                <w:color w:val="auto"/>
              </w:rPr>
              <w:t>Assumed interest component of</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400"/>
              <w:spacing w:after="0"/>
              <w:rPr>
                <w:sz w:val="20"/>
                <w:szCs w:val="20"/>
                <w:color w:val="auto"/>
              </w:rPr>
            </w:pPr>
            <w:r>
              <w:rPr>
                <w:rFonts w:ascii="Arial" w:cs="Arial" w:eastAsia="Arial" w:hAnsi="Arial"/>
                <w:sz w:val="18"/>
                <w:szCs w:val="18"/>
                <w:color w:val="auto"/>
              </w:rPr>
              <w:t>rental charges</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1,231</w:t>
            </w: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1,604</w:t>
            </w: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1,900</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1,885</w:t>
            </w:r>
          </w:p>
        </w:tc>
        <w:tc>
          <w:tcPr>
            <w:tcW w:w="14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1,641</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3,888</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13,685</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14,108</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$14,060</w:t>
            </w:r>
          </w:p>
        </w:tc>
        <w:tc>
          <w:tcPr>
            <w:tcW w:w="14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$ 13,687</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6,817</w:t>
            </w:r>
          </w:p>
        </w:tc>
        <w:tc>
          <w:tcPr>
            <w:tcW w:w="0" w:type="dxa"/>
            <w:vAlign w:val="bottom"/>
          </w:tcPr>
          <w:p>
            <w:pPr>
              <w:spacing w:after="0"/>
              <w:rPr>
                <w:sz w:val="1"/>
                <w:szCs w:val="1"/>
                <w:color w:val="auto"/>
              </w:rPr>
            </w:pPr>
          </w:p>
        </w:tc>
      </w:tr>
      <w:tr>
        <w:trPr>
          <w:trHeight w:val="20"/>
        </w:trPr>
        <w:tc>
          <w:tcPr>
            <w:tcW w:w="292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92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(A)</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(A)</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(A)</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3.96</w:t>
            </w:r>
          </w:p>
        </w:tc>
        <w:tc>
          <w:tcPr>
            <w:tcW w:w="380" w:type="dxa"/>
            <w:vAlign w:val="bottom"/>
          </w:tcPr>
          <w:p>
            <w:pPr>
              <w:spacing w:after="0"/>
              <w:rPr>
                <w:sz w:val="24"/>
                <w:szCs w:val="24"/>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(A)</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right="20" w:hanging="452"/>
        <w:spacing w:after="0" w:line="34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Due to the registrant’s losses for the years ended December 31, 2001, 2002, 2003, and 2005, and for the six months ended June 30, 2006, the ratio coverage was less than 1:1. To achieve a coverage ratio of 1:1, the registrant must generate additional earnings of the amounts shown in the table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Six months</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740" w:type="dxa"/>
            <w:vAlign w:val="bottom"/>
            <w:gridSpan w:val="4"/>
            <w:vMerge w:val="restart"/>
          </w:tcPr>
          <w:p>
            <w:pPr>
              <w:ind w:left="260"/>
              <w:spacing w:after="0"/>
              <w:rPr>
                <w:sz w:val="20"/>
                <w:szCs w:val="20"/>
                <w:color w:val="auto"/>
              </w:rPr>
            </w:pPr>
            <w:r>
              <w:rPr>
                <w:rFonts w:ascii="Arial" w:cs="Arial" w:eastAsia="Arial" w:hAnsi="Arial"/>
                <w:sz w:val="14"/>
                <w:szCs w:val="14"/>
                <w:color w:val="auto"/>
              </w:rPr>
              <w:t>Years ended December 31,</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54"/>
        </w:trPr>
        <w:tc>
          <w:tcPr>
            <w:tcW w:w="3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vMerge w:val="continue"/>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gridSpan w:val="2"/>
          </w:tcPr>
          <w:p>
            <w:pPr>
              <w:jc w:val="center"/>
              <w:ind w:right="20"/>
              <w:spacing w:after="0" w:line="154"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42"/>
        </w:trPr>
        <w:tc>
          <w:tcPr>
            <w:tcW w:w="3320" w:type="dxa"/>
            <w:vAlign w:val="bottom"/>
            <w:vMerge w:val="restart"/>
          </w:tcPr>
          <w:p>
            <w:pPr>
              <w:spacing w:after="0"/>
              <w:rPr>
                <w:sz w:val="20"/>
                <w:szCs w:val="20"/>
                <w:color w:val="auto"/>
              </w:rPr>
            </w:pPr>
            <w:r>
              <w:rPr>
                <w:rFonts w:ascii="Arial" w:cs="Arial" w:eastAsia="Arial" w:hAnsi="Arial"/>
                <w:sz w:val="18"/>
                <w:szCs w:val="18"/>
                <w:color w:val="auto"/>
              </w:rPr>
              <w:t>Coverage deficiency</w:t>
            </w:r>
          </w:p>
        </w:tc>
        <w:tc>
          <w:tcPr>
            <w:tcW w:w="1840" w:type="dxa"/>
            <w:vAlign w:val="bottom"/>
          </w:tcPr>
          <w:p>
            <w:pPr>
              <w:spacing w:after="0"/>
              <w:rPr>
                <w:sz w:val="12"/>
                <w:szCs w:val="12"/>
                <w:color w:val="auto"/>
              </w:rPr>
            </w:pPr>
          </w:p>
        </w:tc>
        <w:tc>
          <w:tcPr>
            <w:tcW w:w="700" w:type="dxa"/>
            <w:vAlign w:val="bottom"/>
          </w:tcPr>
          <w:p>
            <w:pPr>
              <w:jc w:val="right"/>
              <w:ind w:right="119"/>
              <w:spacing w:after="0" w:line="142" w:lineRule="exact"/>
              <w:rPr>
                <w:sz w:val="20"/>
                <w:szCs w:val="20"/>
                <w:color w:val="auto"/>
              </w:rPr>
            </w:pPr>
            <w:r>
              <w:rPr>
                <w:rFonts w:ascii="Arial" w:cs="Arial" w:eastAsia="Arial" w:hAnsi="Arial"/>
                <w:sz w:val="14"/>
                <w:szCs w:val="14"/>
                <w:color w:val="auto"/>
              </w:rPr>
              <w:t>2001</w:t>
            </w:r>
          </w:p>
        </w:tc>
        <w:tc>
          <w:tcPr>
            <w:tcW w:w="1380" w:type="dxa"/>
            <w:vAlign w:val="bottom"/>
            <w:gridSpan w:val="2"/>
          </w:tcPr>
          <w:p>
            <w:pPr>
              <w:jc w:val="right"/>
              <w:ind w:right="139"/>
              <w:spacing w:after="0" w:line="142" w:lineRule="exact"/>
              <w:rPr>
                <w:sz w:val="20"/>
                <w:szCs w:val="20"/>
                <w:color w:val="auto"/>
              </w:rPr>
            </w:pPr>
            <w:r>
              <w:rPr>
                <w:rFonts w:ascii="Arial" w:cs="Arial" w:eastAsia="Arial" w:hAnsi="Arial"/>
                <w:sz w:val="14"/>
                <w:szCs w:val="14"/>
                <w:color w:val="auto"/>
              </w:rPr>
              <w:t>2002</w:t>
            </w:r>
          </w:p>
        </w:tc>
        <w:tc>
          <w:tcPr>
            <w:tcW w:w="660" w:type="dxa"/>
            <w:vAlign w:val="bottom"/>
          </w:tcPr>
          <w:p>
            <w:pPr>
              <w:spacing w:after="0"/>
              <w:rPr>
                <w:sz w:val="12"/>
                <w:szCs w:val="12"/>
                <w:color w:val="auto"/>
              </w:rPr>
            </w:pPr>
          </w:p>
        </w:tc>
        <w:tc>
          <w:tcPr>
            <w:tcW w:w="720" w:type="dxa"/>
            <w:vAlign w:val="bottom"/>
          </w:tcPr>
          <w:p>
            <w:pPr>
              <w:jc w:val="right"/>
              <w:ind w:right="139"/>
              <w:spacing w:after="0" w:line="142" w:lineRule="exact"/>
              <w:rPr>
                <w:sz w:val="20"/>
                <w:szCs w:val="20"/>
                <w:color w:val="auto"/>
              </w:rPr>
            </w:pPr>
            <w:r>
              <w:rPr>
                <w:rFonts w:ascii="Arial" w:cs="Arial" w:eastAsia="Arial" w:hAnsi="Arial"/>
                <w:sz w:val="14"/>
                <w:szCs w:val="14"/>
                <w:color w:val="auto"/>
              </w:rPr>
              <w:t>2003</w:t>
            </w:r>
          </w:p>
        </w:tc>
        <w:tc>
          <w:tcPr>
            <w:tcW w:w="66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color w:val="auto"/>
              </w:rPr>
              <w:t>2005</w:t>
            </w:r>
          </w:p>
        </w:tc>
        <w:tc>
          <w:tcPr>
            <w:tcW w:w="340" w:type="dxa"/>
            <w:vAlign w:val="bottom"/>
          </w:tcPr>
          <w:p>
            <w:pPr>
              <w:spacing w:after="0"/>
              <w:rPr>
                <w:sz w:val="12"/>
                <w:szCs w:val="12"/>
                <w:color w:val="auto"/>
              </w:rPr>
            </w:pPr>
          </w:p>
        </w:tc>
        <w:tc>
          <w:tcPr>
            <w:tcW w:w="1020" w:type="dxa"/>
            <w:vAlign w:val="bottom"/>
            <w:gridSpan w:val="2"/>
          </w:tcPr>
          <w:p>
            <w:pPr>
              <w:jc w:val="right"/>
              <w:ind w:right="124"/>
              <w:spacing w:after="0" w:line="142" w:lineRule="exact"/>
              <w:rPr>
                <w:sz w:val="20"/>
                <w:szCs w:val="20"/>
                <w:color w:val="auto"/>
              </w:rPr>
            </w:pPr>
            <w:r>
              <w:rPr>
                <w:rFonts w:ascii="Arial" w:cs="Arial" w:eastAsia="Arial" w:hAnsi="Arial"/>
                <w:sz w:val="14"/>
                <w:szCs w:val="14"/>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$ 75,178</w:t>
            </w:r>
          </w:p>
        </w:tc>
        <w:tc>
          <w:tcPr>
            <w:tcW w:w="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$ 124,572</w:t>
            </w:r>
          </w:p>
        </w:tc>
        <w:tc>
          <w:tcPr>
            <w:tcW w:w="6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$ 107,638</w:t>
            </w:r>
          </w:p>
        </w:tc>
        <w:tc>
          <w:tcPr>
            <w:tcW w:w="6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$ 95,378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$ 44,730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1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 w:hanging="437"/>
        <w:spacing w:after="0" w:line="264" w:lineRule="auto"/>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ind w:left="1120" w:hanging="437"/>
        <w:spacing w:after="0" w:line="264"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00" w:hanging="452"/>
        <w:spacing w:after="0" w:line="30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720" w:hanging="437"/>
        <w:spacing w:after="0" w:line="342" w:lineRule="auto"/>
        <w:tabs>
          <w:tab w:leader="none" w:pos="11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420" w:hanging="437"/>
        <w:spacing w:after="0" w:line="277" w:lineRule="auto"/>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Date: August 8, 2006</w:t>
      </w:r>
      <w:r>
        <w:rPr>
          <w:sz w:val="20"/>
          <w:szCs w:val="20"/>
          <w:color w:val="auto"/>
        </w:rPr>
        <w:tab/>
      </w:r>
      <w:r>
        <w:rPr>
          <w:rFonts w:ascii="Arial" w:cs="Arial" w:eastAsia="Arial" w:hAnsi="Arial"/>
          <w:sz w:val="16"/>
          <w:szCs w:val="16"/>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25387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40"/>
          </w:cols>
          <w:pgMar w:left="240" w:top="936" w:right="3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11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 w:hanging="437"/>
        <w:spacing w:after="0" w:line="264" w:lineRule="auto"/>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ind w:left="1120" w:hanging="437"/>
        <w:spacing w:after="0" w:line="264" w:lineRule="auto"/>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00" w:hanging="452"/>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720" w:hanging="437"/>
        <w:spacing w:after="0" w:line="342" w:lineRule="auto"/>
        <w:tabs>
          <w:tab w:leader="none" w:pos="11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420" w:hanging="437"/>
        <w:spacing w:after="0" w:line="277" w:lineRule="auto"/>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Date: August 8, 2006</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25387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Senior Vice President, Finance &amp;</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Administration, Chief Financial 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Treasurer, and Assistant Secretary</w:t>
      </w:r>
    </w:p>
    <w:p>
      <w:pPr>
        <w:sectPr>
          <w:pgSz w:w="11900" w:h="16838" w:orient="portrait"/>
          <w:cols w:equalWidth="0" w:num="1">
            <w:col w:w="11340"/>
          </w:cols>
          <w:pgMar w:left="240" w:top="935" w:right="31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June 30, 2006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79" w:lineRule="exact"/>
        <w:rPr>
          <w:sz w:val="20"/>
          <w:szCs w:val="20"/>
          <w:color w:val="auto"/>
        </w:rPr>
      </w:pPr>
    </w:p>
    <w:p>
      <w:pPr>
        <w:ind w:left="480" w:hanging="247"/>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2006</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lowerRoman"/>
      <w:start w:val="3"/>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32"/>
    </w:lvl>
  </w:abstractNum>
  <w:abstractNum w:abstractNumId="15">
    <w:nsid w:val="257130A3"/>
    <w:multiLevelType w:val="hybridMultilevel"/>
    <w:lvl w:ilvl="0">
      <w:lvlJc w:val="left"/>
      <w:lvlText w:val="(%1)"/>
      <w:numFmt w:val="upperLetter"/>
      <w:start w:val="1"/>
    </w:lvl>
  </w:abstractNum>
  <w:abstractNum w:abstractNumId="16">
    <w:nsid w:val="62BBD95A"/>
    <w:multiLevelType w:val="hybridMultilevel"/>
    <w:lvl w:ilvl="0">
      <w:lvlJc w:val="left"/>
      <w:lvlText w:val="%1."/>
      <w:numFmt w:val="decimal"/>
      <w:start w:val="1"/>
    </w:lvl>
    <w:lvl w:ilvl="1">
      <w:lvlJc w:val="left"/>
      <w:lvlText w:val="%2)"/>
      <w:numFmt w:val="lowerLetter"/>
      <w:start w:val="1"/>
    </w:lvl>
  </w:abstractNum>
  <w:abstractNum w:abstractNumId="17">
    <w:nsid w:val="436C6125"/>
    <w:multiLevelType w:val="hybridMultilevel"/>
    <w:lvl w:ilvl="0">
      <w:lvlJc w:val="left"/>
      <w:lvlText w:val="%1"/>
      <w:numFmt w:val="decimal"/>
      <w:start w:val="1"/>
    </w:lvl>
    <w:lvl w:ilvl="1">
      <w:lvlJc w:val="left"/>
      <w:lvlText w:val="%2)"/>
      <w:numFmt w:val="lowerLetter"/>
      <w:start w:val="4"/>
    </w:lvl>
  </w:abstractNum>
  <w:abstractNum w:abstractNumId="18">
    <w:nsid w:val="628C895D"/>
    <w:multiLevelType w:val="hybridMultilevel"/>
    <w:lvl w:ilvl="0">
      <w:lvlJc w:val="left"/>
      <w:lvlText w:val="%1."/>
      <w:numFmt w:val="decimal"/>
      <w:start w:val="5"/>
    </w:lvl>
    <w:lvl w:ilvl="1">
      <w:lvlJc w:val="left"/>
      <w:lvlText w:val="%2)"/>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4"/>
    </w:lvl>
  </w:abstractNum>
  <w:abstractNum w:abstractNumId="21">
    <w:nsid w:val="2443A858"/>
    <w:multiLevelType w:val="hybridMultilevel"/>
    <w:lvl w:ilvl="0">
      <w:lvlJc w:val="left"/>
      <w:lvlText w:val="%1."/>
      <w:numFmt w:val="decimal"/>
      <w:start w:val="5"/>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2019-12-11T22:26:22Z</dcterms:created>
  <dcterms:modified xsi:type="dcterms:W3CDTF">2019-12-11T22:26:22Z</dcterms:modified>
</cp:coreProperties>
</file>