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Guarini Kathryn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777 OLD SAW MILL RIVER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TARRYTOWN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10591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REGENERON PHARMACEUTICALS, INC.</w:t>
              </w:r>
            </w:hyperlink>
            <w:r>
              <w:rPr/>
              <w:t xml:space="preserve"> [ </w:t>
            </w:r>
            <w:r>
              <w:rPr>
                <w:rFonts w:ascii="Times;serif" w:hAnsi="Times;serif"/>
                <w:color w:val="0000FF"/>
                <w:sz w:val="24"/>
                <w:shd w:fill="FFFFFF" w:val="clear"/>
              </w:rPr>
              <w:t>REGN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719.37</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719.37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Disposition/acquisition made pursuant to a plan intended to comply with Rule 10b5-1(c) adopted on February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the date of the Company's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Guarini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2352" TargetMode="External"/><Relationship Id="rId5" Type="http://schemas.openxmlformats.org/officeDocument/2006/relationships/hyperlink" Target="http://www.sec.gov/cgi-bin/browse-edgar?action=getcompany&amp;CIK=00008725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3540</Characters>
  <CharactersWithSpaces>4112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