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00075886F1</w:t>
      </w:r>
    </w:p>
    <w:p>
      <w:pPr>
        <w:ind w:left="3580"/>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10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George A. Vandeman, Esq.</w:t>
      </w:r>
    </w:p>
    <w:p>
      <w:pPr>
        <w:ind w:left="5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Amgen Inc.</w:t>
      </w:r>
    </w:p>
    <w:p>
      <w:pPr>
        <w:ind w:left="540"/>
        <w:spacing w:after="0" w:line="238" w:lineRule="auto"/>
        <w:rPr>
          <w:sz w:val="20"/>
          <w:szCs w:val="20"/>
          <w:color w:val="auto"/>
        </w:rPr>
      </w:pPr>
      <w:r>
        <w:rPr>
          <w:rFonts w:ascii="Courier New" w:cs="Courier New" w:eastAsia="Courier New" w:hAnsi="Courier New"/>
          <w:sz w:val="18"/>
          <w:szCs w:val="18"/>
          <w:color w:val="auto"/>
        </w:rPr>
        <w:t>Amgen Center</w:t>
      </w:r>
    </w:p>
    <w:p>
      <w:pPr>
        <w:ind w:left="540"/>
        <w:spacing w:after="0"/>
        <w:rPr>
          <w:sz w:val="20"/>
          <w:szCs w:val="20"/>
          <w:color w:val="auto"/>
        </w:rPr>
      </w:pPr>
      <w:r>
        <w:rPr>
          <w:rFonts w:ascii="Courier New" w:cs="Courier New" w:eastAsia="Courier New" w:hAnsi="Courier New"/>
          <w:sz w:val="18"/>
          <w:szCs w:val="18"/>
          <w:color w:val="auto"/>
        </w:rPr>
        <w:t>1840 DeHavilland Drive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Michael W. Sturrock, Esq.</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Latham &amp; Watkins</w:t>
      </w:r>
    </w:p>
    <w:p>
      <w:pPr>
        <w:spacing w:after="0" w:line="238" w:lineRule="auto"/>
        <w:rPr>
          <w:sz w:val="20"/>
          <w:szCs w:val="20"/>
          <w:color w:val="auto"/>
        </w:rPr>
      </w:pPr>
      <w:r>
        <w:rPr>
          <w:rFonts w:ascii="Courier New" w:cs="Courier New" w:eastAsia="Courier New" w:hAnsi="Courier New"/>
          <w:sz w:val="18"/>
          <w:szCs w:val="18"/>
          <w:color w:val="auto"/>
        </w:rPr>
        <w:t>633 West Fifth Street</w:t>
      </w:r>
    </w:p>
    <w:p>
      <w:pPr>
        <w:spacing w:after="0"/>
        <w:rPr>
          <w:sz w:val="20"/>
          <w:szCs w:val="20"/>
          <w:color w:val="auto"/>
        </w:rPr>
      </w:pPr>
      <w:r>
        <w:rPr>
          <w:rFonts w:ascii="Courier New" w:cs="Courier New" w:eastAsia="Courier New" w:hAnsi="Courier New"/>
          <w:sz w:val="18"/>
          <w:szCs w:val="18"/>
          <w:color w:val="auto"/>
        </w:rPr>
        <w:t>Suite 4000</w:t>
      </w:r>
    </w:p>
    <w:p>
      <w:pPr>
        <w:spacing w:after="0" w:line="237" w:lineRule="auto"/>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(213) 485-1234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90071</w:t>
      </w:r>
    </w:p>
    <w:p>
      <w:pPr>
        <w:spacing w:after="0" w:line="221" w:lineRule="exact"/>
        <w:rPr>
          <w:sz w:val="24"/>
          <w:szCs w:val="24"/>
          <w:color w:val="auto"/>
        </w:rPr>
      </w:pPr>
    </w:p>
    <w:p>
      <w:pPr>
        <w:sectPr>
          <w:pgSz w:w="11900" w:h="16838" w:orient="portrait"/>
          <w:cols w:equalWidth="0" w:num="3">
            <w:col w:w="4020" w:space="720"/>
            <w:col w:w="2640" w:space="0"/>
            <w:col w:w="2839"/>
          </w:cols>
          <w:pgMar w:left="240" w:top="1055" w:right="1440" w:bottom="1440" w:gutter="0" w:footer="0" w:header="0"/>
          <w:type w:val="continuous"/>
        </w:sect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Thousand Oaks, CA</w:t>
      </w:r>
      <w:r>
        <w:rPr>
          <w:sz w:val="20"/>
          <w:szCs w:val="20"/>
          <w:color w:val="auto"/>
        </w:rPr>
        <w:tab/>
      </w:r>
      <w:r>
        <w:rPr>
          <w:rFonts w:ascii="Courier New" w:cs="Courier New" w:eastAsia="Courier New" w:hAnsi="Courier New"/>
          <w:sz w:val="16"/>
          <w:szCs w:val="16"/>
          <w:color w:val="auto"/>
        </w:rPr>
        <w:t>91320-1789</w:t>
      </w:r>
    </w:p>
    <w:p>
      <w:pPr>
        <w:ind w:left="540"/>
        <w:spacing w:after="0" w:line="238" w:lineRule="auto"/>
        <w:rPr>
          <w:sz w:val="20"/>
          <w:szCs w:val="20"/>
          <w:color w:val="auto"/>
        </w:rPr>
      </w:pPr>
      <w:r>
        <w:rPr>
          <w:rFonts w:ascii="Courier New" w:cs="Courier New" w:eastAsia="Courier New" w:hAnsi="Courier New"/>
          <w:sz w:val="18"/>
          <w:szCs w:val="18"/>
          <w:color w:val="auto"/>
        </w:rPr>
        <w:t>(805) 447-1000</w:t>
      </w:r>
    </w:p>
    <w:p>
      <w:pPr>
        <w:sectPr>
          <w:pgSz w:w="11900" w:h="16838" w:orient="portrait"/>
          <w:cols w:equalWidth="0" w:num="1">
            <w:col w:w="10219"/>
          </w:cols>
          <w:pgMar w:left="240" w:top="1055" w:right="1440" w:bottom="1440" w:gutter="0" w:footer="0" w:header="0"/>
          <w:type w:val="continuous"/>
        </w:sectPr>
      </w:pPr>
    </w:p>
    <w:p>
      <w:pPr>
        <w:spacing w:after="0" w:line="208" w:lineRule="exact"/>
        <w:rPr>
          <w:sz w:val="24"/>
          <w:szCs w:val="24"/>
          <w:color w:val="auto"/>
        </w:rPr>
      </w:pPr>
    </w:p>
    <w:p>
      <w:pPr>
        <w:ind w:left="1700" w:right="335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36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March 4, 1996</w:t>
      </w:r>
    </w:p>
    <w:p>
      <w:pPr>
        <w:ind w:left="2320"/>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ind w:left="3280"/>
        <w:spacing w:after="0"/>
        <w:rPr>
          <w:sz w:val="20"/>
          <w:szCs w:val="20"/>
          <w:color w:val="auto"/>
        </w:rPr>
      </w:pPr>
      <w:r>
        <w:rPr>
          <w:rFonts w:ascii="Courier New" w:cs="Courier New" w:eastAsia="Courier New" w:hAnsi="Courier New"/>
          <w:sz w:val="18"/>
          <w:szCs w:val="18"/>
          <w:color w:val="auto"/>
        </w:rPr>
        <w:t>of this Statement)</w:t>
      </w:r>
    </w:p>
    <w:p>
      <w:pPr>
        <w:spacing w:after="0" w:line="3"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13d- 1(b)(3) or (4), check the following box / /.</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055"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4840" w:val="left"/>
        </w:tabs>
        <w:rPr>
          <w:sz w:val="20"/>
          <w:szCs w:val="20"/>
          <w:color w:val="auto"/>
        </w:rPr>
      </w:pPr>
      <w:r>
        <w:rPr>
          <w:rFonts w:ascii="Courier New" w:cs="Courier New" w:eastAsia="Courier New" w:hAnsi="Courier New"/>
          <w:sz w:val="18"/>
          <w:szCs w:val="18"/>
          <w:color w:val="auto"/>
        </w:rPr>
        <w:t>CUSIP No. 00075886F1</w:t>
      </w:r>
      <w:r>
        <w:rPr>
          <w:sz w:val="20"/>
          <w:szCs w:val="20"/>
          <w:color w:val="auto"/>
        </w:rPr>
        <w:tab/>
      </w:r>
      <w:r>
        <w:rPr>
          <w:rFonts w:ascii="Courier New" w:cs="Courier New" w:eastAsia="Courier New" w:hAnsi="Courier New"/>
          <w:sz w:val="16"/>
          <w:szCs w:val="16"/>
          <w:color w:val="auto"/>
        </w:rPr>
        <w:t>Page 2 of 5 Pages</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PERSON</w:t>
      </w:r>
    </w:p>
    <w:p>
      <w:pPr>
        <w:ind w:left="1160"/>
        <w:spacing w:after="0"/>
        <w:rPr>
          <w:sz w:val="20"/>
          <w:szCs w:val="20"/>
          <w:color w:val="auto"/>
        </w:rPr>
      </w:pPr>
      <w:r>
        <w:rPr>
          <w:rFonts w:ascii="Courier New" w:cs="Courier New" w:eastAsia="Courier New" w:hAnsi="Courier New"/>
          <w:sz w:val="18"/>
          <w:szCs w:val="18"/>
          <w:color w:val="auto"/>
        </w:rPr>
        <w:t>AMGEN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CHECK THE APPROPRIATE BOX IF MEMBER OF A GROUP*   (a)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6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75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 WC</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5</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w w:val="98"/>
              </w:rPr>
              <w:t>CHECK BOX IF DISCLOSURE OF</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REQUIRED PURSUANT TO ITEMS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2(d) or 2(e)</w:t>
            </w:r>
          </w:p>
        </w:tc>
        <w:tc>
          <w:tcPr>
            <w:tcW w:w="9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1,438,766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840" w:type="dxa"/>
            <w:vAlign w:val="bottom"/>
          </w:tcPr>
          <w:p>
            <w:pPr>
              <w:jc w:val="right"/>
              <w:ind w:right="341"/>
              <w:spacing w:after="0"/>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40" w:type="dxa"/>
            <w:vAlign w:val="bottom"/>
          </w:tcPr>
          <w:p>
            <w:pPr>
              <w:jc w:val="right"/>
              <w:ind w:right="341"/>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1,438,766</w:t>
            </w:r>
          </w:p>
        </w:tc>
      </w:tr>
    </w:tbl>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960" w:right="4939" w:hanging="845"/>
        <w:spacing w:after="0" w:line="235" w:lineRule="auto"/>
        <w:tabs>
          <w:tab w:leader="none" w:pos="274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1"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1,438,766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CHECK</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8.3%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663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PERSON REPORTING*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1122" w:right="1440" w:bottom="144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This Amendment No. 3 to Schedule 13D is being filed by Amgen Inc., a</w:t>
      </w:r>
    </w:p>
    <w:p>
      <w:pPr>
        <w:spacing w:after="0" w:line="238" w:lineRule="auto"/>
        <w:rPr>
          <w:sz w:val="20"/>
          <w:szCs w:val="20"/>
          <w:color w:val="auto"/>
        </w:rPr>
      </w:pPr>
      <w:r>
        <w:rPr>
          <w:rFonts w:ascii="Courier New" w:cs="Courier New" w:eastAsia="Courier New" w:hAnsi="Courier New"/>
          <w:sz w:val="18"/>
          <w:szCs w:val="18"/>
          <w:color w:val="auto"/>
        </w:rPr>
        <w:t>Delaware corporation (the "Reporting Person"), to amend the Schedule 13D filed</w:t>
      </w:r>
    </w:p>
    <w:p>
      <w:pPr>
        <w:spacing w:after="0"/>
        <w:rPr>
          <w:sz w:val="20"/>
          <w:szCs w:val="20"/>
          <w:color w:val="auto"/>
        </w:rPr>
      </w:pPr>
      <w:r>
        <w:rPr>
          <w:rFonts w:ascii="Courier New" w:cs="Courier New" w:eastAsia="Courier New" w:hAnsi="Courier New"/>
          <w:sz w:val="18"/>
          <w:szCs w:val="18"/>
          <w:color w:val="auto"/>
        </w:rPr>
        <w:t>on July 26, 1995, as amended by Amendment No. 1 filed on September 25,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Amendment No. 2 filed on December 6, 1995 (the "Schedule 13D"), relating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common stock, $.001 par value per share (the "Common Stock") of Regeneron</w:t>
      </w:r>
    </w:p>
    <w:p>
      <w:pPr>
        <w:spacing w:after="0"/>
        <w:tabs>
          <w:tab w:leader="none" w:pos="4100" w:val="left"/>
        </w:tabs>
        <w:rPr>
          <w:sz w:val="20"/>
          <w:szCs w:val="20"/>
          <w:color w:val="auto"/>
        </w:rPr>
      </w:pPr>
      <w:r>
        <w:rPr>
          <w:rFonts w:ascii="Courier New" w:cs="Courier New" w:eastAsia="Courier New" w:hAnsi="Courier New"/>
          <w:sz w:val="18"/>
          <w:szCs w:val="18"/>
          <w:color w:val="auto"/>
        </w:rPr>
        <w:t>Pharmaceuticals, Inc. (the "Issuer").</w:t>
      </w:r>
      <w:r>
        <w:rPr>
          <w:sz w:val="20"/>
          <w:szCs w:val="20"/>
          <w:color w:val="auto"/>
        </w:rPr>
        <w:tab/>
      </w:r>
      <w:r>
        <w:rPr>
          <w:rFonts w:ascii="Courier New" w:cs="Courier New" w:eastAsia="Courier New" w:hAnsi="Courier New"/>
          <w:sz w:val="16"/>
          <w:szCs w:val="16"/>
          <w:color w:val="auto"/>
        </w:rPr>
        <w:t>Unless otherwise indicated, all</w:t>
      </w:r>
    </w:p>
    <w:p>
      <w:pPr>
        <w:spacing w:after="0"/>
        <w:rPr>
          <w:sz w:val="20"/>
          <w:szCs w:val="20"/>
          <w:color w:val="auto"/>
        </w:rPr>
      </w:pPr>
      <w:r>
        <w:rPr>
          <w:rFonts w:ascii="Courier New" w:cs="Courier New" w:eastAsia="Courier New" w:hAnsi="Courier New"/>
          <w:sz w:val="18"/>
          <w:szCs w:val="18"/>
          <w:color w:val="auto"/>
        </w:rPr>
        <w:t>capitalized terms used herein but not defined herein shall have the meaning</w:t>
      </w:r>
    </w:p>
    <w:p>
      <w:pPr>
        <w:spacing w:after="0" w:line="237" w:lineRule="auto"/>
        <w:rPr>
          <w:sz w:val="20"/>
          <w:szCs w:val="20"/>
          <w:color w:val="auto"/>
        </w:rPr>
      </w:pPr>
      <w:r>
        <w:rPr>
          <w:rFonts w:ascii="Courier New" w:cs="Courier New" w:eastAsia="Courier New" w:hAnsi="Courier New"/>
          <w:sz w:val="18"/>
          <w:szCs w:val="18"/>
          <w:color w:val="auto"/>
        </w:rPr>
        <w:t>assigned to them in the Schedule 13D.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Item 4 to Schedule 13D is hereby amended and supplemented to add the following information:</w:t>
      </w:r>
    </w:p>
    <w:p>
      <w:pPr>
        <w:spacing w:after="0" w:line="208" w:lineRule="exact"/>
        <w:rPr>
          <w:sz w:val="20"/>
          <w:szCs w:val="20"/>
          <w:color w:val="auto"/>
        </w:rPr>
      </w:pPr>
    </w:p>
    <w:p>
      <w:pPr>
        <w:ind w:right="2099" w:firstLine="1053"/>
        <w:spacing w:after="0" w:line="270" w:lineRule="auto"/>
        <w:rPr>
          <w:sz w:val="20"/>
          <w:szCs w:val="20"/>
          <w:color w:val="auto"/>
        </w:rPr>
      </w:pPr>
      <w:r>
        <w:rPr>
          <w:rFonts w:ascii="Courier New" w:cs="Courier New" w:eastAsia="Courier New" w:hAnsi="Courier New"/>
          <w:sz w:val="16"/>
          <w:szCs w:val="16"/>
          <w:color w:val="auto"/>
        </w:rPr>
        <w:t>On March 4, 1996, the Reporting Person filed a notice, pursuant to the Hart-Scott-Rodino Antitrust Improvement Act of 1976, as amended (the "Act"), seeking clearance to purchase, subject to the Standstill Restrictions described in the Schedule 13D (one of which generally prohibits the Reporting Person from acquiring more than 20% of the outstanding shares of capital stock of the Issuer) and depending on general market and economic conditions affecting the Issuer and other relevant factors, additional shares of Common Stock of the Issuer from time to time in open market transactions, private transactions or otherwise; provided, however, that the shares of Common Stock to be acquired together with shares of the capital stock of the Issuer presently owned by the Reporting Person shall not exceed an aggregate of 25% of the outstanding voting securities of the Issuer. Such purchases, if any, which may be made by the Reporting Person following receipt of clearance under the Act will be for investment purposes.</w:t>
      </w:r>
    </w:p>
    <w:p>
      <w:pPr>
        <w:spacing w:after="0" w:line="38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Subject to the receipt of clearance under the Act and the Standstill Restrictions and depending on general market and economic conditions affecting the Issuer and other relevant factors, the Reporting Person may purchase additional shares of Common Stock or dispose of some or all of its shares of Common Stock from time to time in open market transactions, private transactions or otherwise.</w:t>
      </w:r>
    </w:p>
    <w:p>
      <w:pPr>
        <w:spacing w:after="0" w:line="210"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Except as set forth in the Schedule 13D, the Reporting Person has no present plans or proposals with respect to any material change in the Issuer's business or corporate structure or which relate to or would result in:</w:t>
      </w:r>
    </w:p>
    <w:p>
      <w:pPr>
        <w:spacing w:after="0" w:line="178" w:lineRule="exact"/>
        <w:rPr>
          <w:sz w:val="20"/>
          <w:szCs w:val="20"/>
          <w:color w:val="auto"/>
        </w:rPr>
      </w:pPr>
    </w:p>
    <w:p>
      <w:pPr>
        <w:ind w:left="540" w:right="2099" w:firstLine="1048"/>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the Issuer, or the disposition of securities of the Issuer;</w:t>
      </w:r>
    </w:p>
    <w:p>
      <w:pPr>
        <w:spacing w:after="0" w:line="208" w:lineRule="exact"/>
        <w:rPr>
          <w:rFonts w:ascii="Courier New" w:cs="Courier New" w:eastAsia="Courier New" w:hAnsi="Courier New"/>
          <w:sz w:val="18"/>
          <w:szCs w:val="18"/>
          <w:color w:val="auto"/>
        </w:rPr>
      </w:pPr>
    </w:p>
    <w:p>
      <w:pPr>
        <w:ind w:left="540" w:right="2099" w:firstLine="1048"/>
        <w:spacing w:after="0" w:line="23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the Issuer or any of its subsidiaries;</w:t>
      </w:r>
    </w:p>
    <w:p>
      <w:pPr>
        <w:spacing w:after="0" w:line="208" w:lineRule="exact"/>
        <w:rPr>
          <w:rFonts w:ascii="Courier New" w:cs="Courier New" w:eastAsia="Courier New" w:hAnsi="Courier New"/>
          <w:sz w:val="18"/>
          <w:szCs w:val="18"/>
          <w:color w:val="auto"/>
        </w:rPr>
      </w:pPr>
    </w:p>
    <w:p>
      <w:pPr>
        <w:ind w:left="540" w:right="2199" w:firstLine="1048"/>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the Issuer or any of its subsidiaries;</w:t>
      </w:r>
    </w:p>
    <w:p>
      <w:pPr>
        <w:spacing w:after="0" w:line="208" w:lineRule="exact"/>
        <w:rPr>
          <w:rFonts w:ascii="Courier New" w:cs="Courier New" w:eastAsia="Courier New" w:hAnsi="Courier New"/>
          <w:sz w:val="18"/>
          <w:szCs w:val="18"/>
          <w:color w:val="auto"/>
        </w:rPr>
      </w:pPr>
    </w:p>
    <w:p>
      <w:pPr>
        <w:ind w:left="540" w:right="1999" w:firstLine="1048"/>
        <w:spacing w:after="0" w:line="279"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the Issuer,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540" w:right="2619" w:firstLine="1048"/>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the Issuer;</w:t>
      </w:r>
    </w:p>
    <w:p>
      <w:pPr>
        <w:spacing w:after="0" w:line="208" w:lineRule="exact"/>
        <w:rPr>
          <w:rFonts w:ascii="Courier New" w:cs="Courier New" w:eastAsia="Courier New" w:hAnsi="Courier New"/>
          <w:sz w:val="18"/>
          <w:szCs w:val="18"/>
          <w:color w:val="auto"/>
        </w:rPr>
      </w:pPr>
    </w:p>
    <w:p>
      <w:pPr>
        <w:ind w:left="540" w:right="1879" w:firstLine="1048"/>
        <w:spacing w:after="0" w:line="23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Issuer's charter, bylaws or instruments corresponding thereto or other actions which may impede the acquisition of control of the Issuer by any person;</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the Issuer to be delisted from a national securities exchange or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540" w:right="1779" w:firstLine="1048"/>
        <w:spacing w:after="0" w:line="23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the Issuer becoming eligible for termination of registration pursuant to Section 12(g)(4) of the Securities Exchange Act of 1934; or</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Paragraphs (a) through (e) of Item 5 to Schedule 13D are hereby amended and restated in their entirety as follows:</w:t>
      </w:r>
    </w:p>
    <w:p>
      <w:pPr>
        <w:sectPr>
          <w:pgSz w:w="11900" w:h="16838" w:orient="portrait"/>
          <w:cols w:equalWidth="0" w:num="1">
            <w:col w:w="10219"/>
          </w:cols>
          <w:pgMar w:left="240" w:top="919" w:right="1440" w:bottom="0" w:gutter="0" w:footer="0" w:header="0"/>
        </w:sectPr>
      </w:pPr>
    </w:p>
    <w:bookmarkStart w:id="3" w:name="page4"/>
    <w:bookmarkEnd w:id="3"/>
    <w:p>
      <w:pPr>
        <w:ind w:left="-1061" w:right="2099" w:firstLine="1061"/>
        <w:spacing w:after="0" w:line="237" w:lineRule="auto"/>
        <w:tabs>
          <w:tab w:leader="none" w:pos="41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close of business on March 4, 1996, the Reporting Person beneficially owned 1,438,766 shares of Common Stock (which includes 788,766 shares of Common Stock issuable if and when the shares of Class A Stock are converted into shares of Common Stock). Such shares of Common Stock constitute approximately 8.3% of the total number of shares of Common Stock outstanding as of March 4, 1996, assuming the conversion of the shares of Class A Stock beneficially owned by the Reporting Person into shares of Common Stock, and based upon 16,445,931 shares of Common Stock outstanding as of November 10, 1995 as set forth in the Issuer's Form 10-Q filed with the Securities and Exchange Commission on November 14, 1995.</w:t>
      </w:r>
    </w:p>
    <w:p>
      <w:pPr>
        <w:spacing w:after="0" w:line="214" w:lineRule="exact"/>
        <w:rPr>
          <w:rFonts w:ascii="Courier New" w:cs="Courier New" w:eastAsia="Courier New" w:hAnsi="Courier New"/>
          <w:sz w:val="18"/>
          <w:szCs w:val="18"/>
          <w:color w:val="auto"/>
        </w:rPr>
      </w:pPr>
    </w:p>
    <w:p>
      <w:pPr>
        <w:jc w:val="both"/>
        <w:ind w:left="-1061" w:right="1879" w:firstLine="1061"/>
        <w:spacing w:after="0" w:line="236" w:lineRule="auto"/>
        <w:tabs>
          <w:tab w:leader="none" w:pos="51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to direct the vote, and the sole power to dispose or to direct the disposition of, the Shares beneficially owned by the Reporting Person.</w:t>
      </w:r>
    </w:p>
    <w:p>
      <w:pPr>
        <w:spacing w:after="0" w:line="203" w:lineRule="exact"/>
        <w:rPr>
          <w:rFonts w:ascii="Courier New" w:cs="Courier New" w:eastAsia="Courier New" w:hAnsi="Courier New"/>
          <w:sz w:val="18"/>
          <w:szCs w:val="18"/>
          <w:color w:val="auto"/>
        </w:rPr>
      </w:pPr>
    </w:p>
    <w:p>
      <w:pPr>
        <w:ind w:left="519" w:hanging="519"/>
        <w:spacing w:after="0"/>
        <w:tabs>
          <w:tab w:leader="none" w:pos="51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19"/>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9158"/>
          </w:cols>
          <w:pgMar w:left="1301" w:top="142" w:right="1440" w:bottom="1440" w:gutter="0" w:footer="0" w:header="0"/>
        </w:sectPr>
      </w:pPr>
    </w:p>
    <w:bookmarkStart w:id="4" w:name="page5"/>
    <w:bookmarkEnd w:id="4"/>
    <w:p>
      <w:pPr>
        <w:ind w:left="520" w:hanging="519"/>
        <w:spacing w:after="0"/>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20" w:hanging="519"/>
        <w:spacing w:after="0"/>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9159"/>
          </w:cols>
          <w:pgMar w:left="1300" w:top="71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certify that the information set forth in this amendment is true, complete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correct.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George A. Vandeman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George A. Vandeman</w:t>
      </w:r>
    </w:p>
    <w:p>
      <w:pPr>
        <w:jc w:val="center"/>
        <w:ind w:left="820"/>
        <w:spacing w:after="0" w:line="237" w:lineRule="auto"/>
        <w:tabs>
          <w:tab w:leader="none" w:pos="280" w:val="left"/>
        </w:tabs>
        <w:rPr>
          <w:sz w:val="20"/>
          <w:szCs w:val="20"/>
          <w:color w:val="auto"/>
        </w:rPr>
      </w:pPr>
      <w:r>
        <w:rPr>
          <w:rFonts w:ascii="Courier New" w:cs="Courier New" w:eastAsia="Courier New" w:hAnsi="Courier New"/>
          <w:sz w:val="18"/>
          <w:szCs w:val="18"/>
          <w:color w:val="auto"/>
        </w:rPr>
        <w:t>Title:</w:t>
        <w:tab/>
        <w:t>Senior Vice President, General</w:t>
      </w:r>
    </w:p>
    <w:p>
      <w:pPr>
        <w:jc w:val="center"/>
        <w:ind w:left="30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0"/>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2019-12-20T00:22:13Z</dcterms:created>
  <dcterms:modified xsi:type="dcterms:W3CDTF">2019-12-20T00:22:13Z</dcterms:modified>
</cp:coreProperties>
</file>