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744,500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5,793,460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5,793,460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13.001%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5,793,460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5,793,460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13.001%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5,793,460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5,793,460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13.001%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5,793,460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13.001%</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744,500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5,793,460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4,449,700 shares or 9.985% of the total outstanding Common Stock at June 30, 2003.</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Regeneron Pharmaceuticals</w:t>
      </w:r>
    </w:p>
    <w:p>
      <w:pPr>
        <w:spacing w:after="0"/>
        <w:rPr>
          <w:sz w:val="20"/>
          <w:szCs w:val="20"/>
          <w:color w:val="auto"/>
        </w:rPr>
      </w:pPr>
      <w:r>
        <w:rPr>
          <w:rFonts w:ascii="Courier New" w:cs="Courier New" w:eastAsia="Courier New" w:hAnsi="Courier New"/>
          <w:sz w:val="18"/>
          <w:szCs w:val="18"/>
          <w:color w:val="auto"/>
        </w:rPr>
        <w:t>Incorporated at June 30, 2003 is true, complete and correct.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July 10,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5,048,960 shares or 11.330% of the Common Stock</w:t>
      </w:r>
    </w:p>
    <w:p>
      <w:pPr>
        <w:spacing w:after="0"/>
        <w:rPr>
          <w:sz w:val="20"/>
          <w:szCs w:val="20"/>
          <w:color w:val="auto"/>
        </w:rPr>
      </w:pPr>
      <w:r>
        <w:rPr>
          <w:rFonts w:ascii="Courier New" w:cs="Courier New" w:eastAsia="Courier New" w:hAnsi="Courier New"/>
          <w:sz w:val="18"/>
          <w:szCs w:val="18"/>
          <w:color w:val="auto"/>
        </w:rPr>
        <w:t>outstanding of Regeneron Pharmaceuticals Incorporated</w:t>
      </w:r>
    </w:p>
    <w:p>
      <w:pPr>
        <w:spacing w:after="0" w:line="237" w:lineRule="auto"/>
        <w:rPr>
          <w:sz w:val="20"/>
          <w:szCs w:val="20"/>
          <w:color w:val="auto"/>
        </w:rPr>
      </w:pPr>
      <w:r>
        <w:rPr>
          <w:rFonts w:ascii="Courier New" w:cs="Courier New" w:eastAsia="Courier New" w:hAnsi="Courier New"/>
          <w:sz w:val="18"/>
          <w:szCs w:val="18"/>
          <w:color w:val="auto"/>
        </w:rPr>
        <w:t>("the Company") as a result of acting as investment adviser</w:t>
      </w:r>
    </w:p>
    <w:p>
      <w:pPr>
        <w:spacing w:after="0"/>
        <w:rPr>
          <w:sz w:val="20"/>
          <w:szCs w:val="20"/>
          <w:color w:val="auto"/>
        </w:rPr>
      </w:pPr>
      <w:r>
        <w:rPr>
          <w:rFonts w:ascii="Courier New" w:cs="Courier New" w:eastAsia="Courier New" w:hAnsi="Courier New"/>
          <w:sz w:val="18"/>
          <w:szCs w:val="18"/>
          <w:color w:val="auto"/>
        </w:rPr>
        <w:t>to various investment companies registered under Section 8</w:t>
      </w:r>
    </w:p>
    <w:p>
      <w:pPr>
        <w:spacing w:after="0" w:line="237" w:lineRule="auto"/>
        <w:rPr>
          <w:sz w:val="20"/>
          <w:szCs w:val="20"/>
          <w:color w:val="auto"/>
        </w:rPr>
      </w:pPr>
      <w:r>
        <w:rPr>
          <w:rFonts w:ascii="Courier New" w:cs="Courier New" w:eastAsia="Courier New" w:hAnsi="Courier New"/>
          <w:sz w:val="18"/>
          <w:szCs w:val="18"/>
          <w:color w:val="auto"/>
        </w:rPr>
        <w:t>of the Investment Company Act of 1940. The number of</w:t>
      </w:r>
    </w:p>
    <w:p>
      <w:pPr>
        <w:spacing w:after="0" w:line="238" w:lineRule="auto"/>
        <w:rPr>
          <w:sz w:val="20"/>
          <w:szCs w:val="20"/>
          <w:color w:val="auto"/>
        </w:rPr>
      </w:pPr>
      <w:r>
        <w:rPr>
          <w:rFonts w:ascii="Courier New" w:cs="Courier New" w:eastAsia="Courier New" w:hAnsi="Courier New"/>
          <w:sz w:val="18"/>
          <w:szCs w:val="18"/>
          <w:color w:val="auto"/>
        </w:rPr>
        <w:t>shares of Common Stock of Regeneron Pharmaceuticals</w:t>
      </w:r>
    </w:p>
    <w:p>
      <w:pPr>
        <w:spacing w:after="0"/>
        <w:rPr>
          <w:sz w:val="20"/>
          <w:szCs w:val="20"/>
          <w:color w:val="auto"/>
        </w:rPr>
      </w:pPr>
      <w:r>
        <w:rPr>
          <w:rFonts w:ascii="Courier New" w:cs="Courier New" w:eastAsia="Courier New" w:hAnsi="Courier New"/>
          <w:sz w:val="18"/>
          <w:szCs w:val="18"/>
          <w:color w:val="auto"/>
        </w:rPr>
        <w:t>Incorporated owned by the investment companies at June 30,</w:t>
      </w:r>
    </w:p>
    <w:p>
      <w:pPr>
        <w:spacing w:after="0" w:line="237" w:lineRule="auto"/>
        <w:rPr>
          <w:sz w:val="20"/>
          <w:szCs w:val="20"/>
          <w:color w:val="auto"/>
        </w:rPr>
      </w:pPr>
      <w:r>
        <w:rPr>
          <w:rFonts w:ascii="Courier New" w:cs="Courier New" w:eastAsia="Courier New" w:hAnsi="Courier New"/>
          <w:sz w:val="18"/>
          <w:szCs w:val="18"/>
          <w:color w:val="auto"/>
        </w:rPr>
        <w:t>2003 included 66,112 shares of Common Stock resulting</w:t>
      </w:r>
    </w:p>
    <w:p>
      <w:pPr>
        <w:spacing w:after="0"/>
        <w:rPr>
          <w:sz w:val="20"/>
          <w:szCs w:val="20"/>
          <w:color w:val="auto"/>
        </w:rPr>
      </w:pPr>
      <w:r>
        <w:rPr>
          <w:rFonts w:ascii="Courier New" w:cs="Courier New" w:eastAsia="Courier New" w:hAnsi="Courier New"/>
          <w:sz w:val="18"/>
          <w:szCs w:val="18"/>
          <w:color w:val="auto"/>
        </w:rPr>
        <w:t>from the assumed conversion of $2,000,000 principal amount</w:t>
      </w:r>
    </w:p>
    <w:p>
      <w:pPr>
        <w:spacing w:after="0" w:line="237" w:lineRule="auto"/>
        <w:rPr>
          <w:sz w:val="20"/>
          <w:szCs w:val="20"/>
          <w:color w:val="auto"/>
        </w:rPr>
      </w:pPr>
      <w:r>
        <w:rPr>
          <w:rFonts w:ascii="Courier New" w:cs="Courier New" w:eastAsia="Courier New" w:hAnsi="Courier New"/>
          <w:sz w:val="18"/>
          <w:szCs w:val="18"/>
          <w:color w:val="auto"/>
        </w:rPr>
        <w:t>of REGENERON PHAR CV 5.5 10/17/08 (33.056 shares of</w:t>
      </w:r>
    </w:p>
    <w:p>
      <w:pPr>
        <w:spacing w:after="0"/>
        <w:rPr>
          <w:sz w:val="20"/>
          <w:szCs w:val="20"/>
          <w:color w:val="auto"/>
        </w:rPr>
      </w:pPr>
      <w:r>
        <w:rPr>
          <w:rFonts w:ascii="Courier New" w:cs="Courier New" w:eastAsia="Courier New" w:hAnsi="Courier New"/>
          <w:sz w:val="18"/>
          <w:szCs w:val="18"/>
          <w:color w:val="auto"/>
        </w:rPr>
        <w:t>Common Stock for each $1,000 principal amount of</w:t>
      </w:r>
    </w:p>
    <w:p>
      <w:pPr>
        <w:spacing w:after="0" w:line="237" w:lineRule="auto"/>
        <w:rPr>
          <w:sz w:val="20"/>
          <w:szCs w:val="20"/>
          <w:color w:val="auto"/>
        </w:rPr>
      </w:pPr>
      <w:r>
        <w:rPr>
          <w:rFonts w:ascii="Courier New" w:cs="Courier New" w:eastAsia="Courier New" w:hAnsi="Courier New"/>
          <w:sz w:val="18"/>
          <w:szCs w:val="18"/>
          <w:color w:val="auto"/>
        </w:rPr>
        <w:t>debenture).</w:t>
      </w:r>
    </w:p>
    <w:p>
      <w:pPr>
        <w:spacing w:after="0" w:line="207"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4,449,700 shares or</w:t>
      </w:r>
    </w:p>
    <w:p>
      <w:pPr>
        <w:ind w:right="4419"/>
        <w:spacing w:after="0" w:line="236" w:lineRule="auto"/>
        <w:rPr>
          <w:sz w:val="20"/>
          <w:szCs w:val="20"/>
          <w:color w:val="auto"/>
        </w:rPr>
      </w:pPr>
      <w:r>
        <w:rPr>
          <w:rFonts w:ascii="Courier New" w:cs="Courier New" w:eastAsia="Courier New" w:hAnsi="Courier New"/>
          <w:sz w:val="18"/>
          <w:szCs w:val="18"/>
          <w:color w:val="auto"/>
        </w:rPr>
        <w:t>9.985%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5,048,960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563,100 shares or 1.264%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563,100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563,100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w:t>
      </w:r>
    </w:p>
    <w:p>
      <w:pPr>
        <w:sectPr>
          <w:pgSz w:w="11900" w:h="16838" w:orient="portrait"/>
          <w:cols w:equalWidth="0" w:num="1">
            <w:col w:w="10219"/>
          </w:cols>
          <w:pgMar w:left="240" w:top="136" w:right="1440" w:bottom="0" w:gutter="0" w:footer="0" w:header="0"/>
        </w:sectPr>
      </w:pPr>
    </w:p>
    <w:bookmarkStart w:id="3" w:name="page4"/>
    <w:bookmarkEnd w:id="3"/>
    <w:p>
      <w:pPr>
        <w:ind w:right="4419"/>
        <w:spacing w:after="0" w:line="237" w:lineRule="auto"/>
        <w:rPr>
          <w:sz w:val="20"/>
          <w:szCs w:val="20"/>
          <w:color w:val="auto"/>
        </w:rPr>
      </w:pPr>
      <w:r>
        <w:rPr>
          <w:rFonts w:ascii="Courier New" w:cs="Courier New" w:eastAsia="Courier New" w:hAnsi="Courier New"/>
          <w:sz w:val="18"/>
          <w:szCs w:val="18"/>
          <w:color w:val="auto"/>
        </w:rPr>
        <w:t>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9"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181,400 shares or 0.407%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181,400 shares or 0.407% of the Common Stock outstanding of Regeneron Pharmaceuticals Incorporated.</w:t>
      </w: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73"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w:t>
      </w:r>
    </w:p>
    <w:p>
      <w:pPr>
        <w:sectPr>
          <w:pgSz w:w="11900" w:h="16838" w:orient="portrait"/>
          <w:cols w:equalWidth="0" w:num="1">
            <w:col w:w="10219"/>
          </w:cols>
          <w:pgMar w:left="240" w:top="142" w:right="1440" w:bottom="0" w:gutter="0" w:footer="0" w:header="0"/>
        </w:sectPr>
      </w:pPr>
    </w:p>
    <w:bookmarkStart w:id="4" w:name="page5"/>
    <w:bookmarkEnd w:id="4"/>
    <w:p>
      <w:pPr>
        <w:ind w:right="3679"/>
        <w:spacing w:after="0" w:line="237" w:lineRule="auto"/>
        <w:rPr>
          <w:sz w:val="20"/>
          <w:szCs w:val="20"/>
          <w:color w:val="auto"/>
        </w:rPr>
      </w:pPr>
      <w:r>
        <w:rPr>
          <w:rFonts w:ascii="Courier New" w:cs="Courier New" w:eastAsia="Courier New" w:hAnsi="Courier New"/>
          <w:sz w:val="18"/>
          <w:szCs w:val="18"/>
          <w:color w:val="auto"/>
        </w:rPr>
        <w:t>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09"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181,400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July 10, 2003, agree and consent to the joint filing on their behalf of this Schedule 13G in connection with their beneficial ownership of the Common Stock of Regeneron Pharmaceuticals Incorporated at June 30,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42"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2019-12-19T21:26:32Z</dcterms:created>
  <dcterms:modified xsi:type="dcterms:W3CDTF">2019-12-19T21:26:32Z</dcterms:modified>
</cp:coreProperties>
</file>