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2099"/>
        <w:spacing w:after="0" w:line="238" w:lineRule="auto"/>
        <w:rPr>
          <w:sz w:val="20"/>
          <w:szCs w:val="20"/>
          <w:color w:val="auto"/>
        </w:rPr>
      </w:pPr>
      <w:r>
        <w:rPr>
          <w:rFonts w:ascii="Courier New" w:cs="Courier New" w:eastAsia="Courier New" w:hAnsi="Courier New"/>
          <w:sz w:val="18"/>
          <w:szCs w:val="18"/>
          <w:color w:val="auto"/>
        </w:rPr>
        <w:t>UNITED STATES</w:t>
      </w: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line="237"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13D</w:t>
      </w:r>
    </w:p>
    <w:p>
      <w:pPr>
        <w:spacing w:after="0" w:line="207" w:lineRule="exact"/>
        <w:rPr>
          <w:sz w:val="24"/>
          <w:szCs w:val="24"/>
          <w:color w:val="auto"/>
        </w:rPr>
      </w:pPr>
    </w:p>
    <w:p>
      <w:pPr>
        <w:ind w:left="1900"/>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200" w:lineRule="exact"/>
        <w:rPr>
          <w:sz w:val="24"/>
          <w:szCs w:val="24"/>
          <w:color w:val="auto"/>
        </w:rPr>
      </w:pPr>
    </w:p>
    <w:p>
      <w:pPr>
        <w:spacing w:after="0" w:line="22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REGENERON PHARMACEUTICALS INC.</w:t>
      </w:r>
    </w:p>
    <w:p>
      <w:pPr>
        <w:ind w:left="32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COMMON STOCK, $.001 PAR VALUE</w:t>
      </w:r>
    </w:p>
    <w:p>
      <w:pPr>
        <w:ind w:left="25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00075886F1</w:t>
      </w:r>
    </w:p>
    <w:p>
      <w:pPr>
        <w:jc w:val="center"/>
        <w:ind w:right="1999"/>
        <w:spacing w:after="0" w:line="238" w:lineRule="auto"/>
        <w:rPr>
          <w:sz w:val="20"/>
          <w:szCs w:val="20"/>
          <w:color w:val="auto"/>
        </w:rPr>
      </w:pPr>
      <w:r>
        <w:rPr>
          <w:rFonts w:ascii="Courier New" w:cs="Courier New" w:eastAsia="Courier New" w:hAnsi="Courier New"/>
          <w:sz w:val="18"/>
          <w:szCs w:val="18"/>
          <w:color w:val="auto"/>
        </w:rPr>
        <w:t>(CUSIP Number)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George A. Vandeman, Esq.</w:t>
      </w:r>
    </w:p>
    <w:p>
      <w:pPr>
        <w:spacing w:after="0" w:line="238" w:lineRule="auto"/>
        <w:rPr>
          <w:sz w:val="20"/>
          <w:szCs w:val="20"/>
          <w:color w:val="auto"/>
        </w:rPr>
      </w:pPr>
      <w:r>
        <w:rPr>
          <w:rFonts w:ascii="Courier New" w:cs="Courier New" w:eastAsia="Courier New" w:hAnsi="Courier New"/>
          <w:sz w:val="18"/>
          <w:szCs w:val="18"/>
          <w:color w:val="auto"/>
        </w:rPr>
        <w:t>Senior Vice President,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General Counsel and Secretary</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Amgen Inc.</w:t>
      </w:r>
    </w:p>
    <w:p>
      <w:pPr>
        <w:spacing w:after="0" w:line="238" w:lineRule="auto"/>
        <w:rPr>
          <w:sz w:val="20"/>
          <w:szCs w:val="20"/>
          <w:color w:val="auto"/>
        </w:rPr>
      </w:pPr>
      <w:r>
        <w:rPr>
          <w:rFonts w:ascii="Courier New" w:cs="Courier New" w:eastAsia="Courier New" w:hAnsi="Courier New"/>
          <w:sz w:val="18"/>
          <w:szCs w:val="18"/>
          <w:color w:val="auto"/>
        </w:rPr>
        <w:t>Amgen Center</w:t>
      </w:r>
    </w:p>
    <w:p>
      <w:pPr>
        <w:spacing w:after="0"/>
        <w:rPr>
          <w:sz w:val="20"/>
          <w:szCs w:val="20"/>
          <w:color w:val="auto"/>
        </w:rPr>
      </w:pPr>
      <w:r>
        <w:rPr>
          <w:rFonts w:ascii="Courier New" w:cs="Courier New" w:eastAsia="Courier New" w:hAnsi="Courier New"/>
          <w:sz w:val="18"/>
          <w:szCs w:val="18"/>
          <w:color w:val="auto"/>
        </w:rPr>
        <w:t>1840 DeHavilland Drive</w:t>
      </w:r>
    </w:p>
    <w:p>
      <w:pPr>
        <w:spacing w:after="0" w:line="237" w:lineRule="auto"/>
        <w:rPr>
          <w:sz w:val="20"/>
          <w:szCs w:val="20"/>
          <w:color w:val="auto"/>
        </w:rPr>
      </w:pPr>
      <w:r>
        <w:rPr>
          <w:rFonts w:ascii="Courier New" w:cs="Courier New" w:eastAsia="Courier New" w:hAnsi="Courier New"/>
          <w:sz w:val="18"/>
          <w:szCs w:val="18"/>
          <w:color w:val="auto"/>
        </w:rPr>
        <w:t>Thousand Oaks, CA 91320-1789</w:t>
      </w:r>
    </w:p>
    <w:p>
      <w:pPr>
        <w:spacing w:after="0" w:line="238" w:lineRule="auto"/>
        <w:rPr>
          <w:sz w:val="20"/>
          <w:szCs w:val="20"/>
          <w:color w:val="auto"/>
        </w:rPr>
      </w:pPr>
      <w:r>
        <w:rPr>
          <w:rFonts w:ascii="Courier New" w:cs="Courier New" w:eastAsia="Courier New" w:hAnsi="Courier New"/>
          <w:sz w:val="18"/>
          <w:szCs w:val="18"/>
          <w:color w:val="auto"/>
        </w:rPr>
        <w:t>(805) 447-1000</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with a copy to:</w:t>
      </w:r>
    </w:p>
    <w:p>
      <w:pPr>
        <w:spacing w:after="0" w:line="238" w:lineRule="auto"/>
        <w:rPr>
          <w:sz w:val="20"/>
          <w:szCs w:val="20"/>
          <w:color w:val="auto"/>
        </w:rPr>
      </w:pPr>
      <w:r>
        <w:rPr>
          <w:rFonts w:ascii="Courier New" w:cs="Courier New" w:eastAsia="Courier New" w:hAnsi="Courier New"/>
          <w:sz w:val="18"/>
          <w:szCs w:val="18"/>
          <w:color w:val="auto"/>
        </w:rPr>
        <w:t>Gary Olson, Esq.</w:t>
      </w:r>
    </w:p>
    <w:p>
      <w:pPr>
        <w:spacing w:after="0"/>
        <w:rPr>
          <w:sz w:val="20"/>
          <w:szCs w:val="20"/>
          <w:color w:val="auto"/>
        </w:rPr>
      </w:pPr>
      <w:r>
        <w:rPr>
          <w:rFonts w:ascii="Courier New" w:cs="Courier New" w:eastAsia="Courier New" w:hAnsi="Courier New"/>
          <w:sz w:val="18"/>
          <w:szCs w:val="18"/>
          <w:color w:val="auto"/>
        </w:rPr>
        <w:t>Latham &amp; Watkins</w:t>
      </w:r>
    </w:p>
    <w:p>
      <w:pPr>
        <w:spacing w:after="0" w:line="237" w:lineRule="auto"/>
        <w:rPr>
          <w:sz w:val="20"/>
          <w:szCs w:val="20"/>
          <w:color w:val="auto"/>
        </w:rPr>
      </w:pPr>
      <w:r>
        <w:rPr>
          <w:rFonts w:ascii="Courier New" w:cs="Courier New" w:eastAsia="Courier New" w:hAnsi="Courier New"/>
          <w:sz w:val="18"/>
          <w:szCs w:val="18"/>
          <w:color w:val="auto"/>
        </w:rPr>
        <w:t>633 West Fifth Street</w:t>
      </w:r>
    </w:p>
    <w:p>
      <w:pPr>
        <w:spacing w:after="0" w:line="238" w:lineRule="auto"/>
        <w:rPr>
          <w:sz w:val="20"/>
          <w:szCs w:val="20"/>
          <w:color w:val="auto"/>
        </w:rPr>
      </w:pPr>
      <w:r>
        <w:rPr>
          <w:rFonts w:ascii="Courier New" w:cs="Courier New" w:eastAsia="Courier New" w:hAnsi="Courier New"/>
          <w:sz w:val="18"/>
          <w:szCs w:val="18"/>
          <w:color w:val="auto"/>
        </w:rPr>
        <w:t>Suite 4000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Los Angeles, California 90071</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(213) 485-1234</w:t>
      </w:r>
    </w:p>
    <w:p>
      <w:pPr>
        <w:spacing w:after="0" w:line="604" w:lineRule="exact"/>
        <w:rPr>
          <w:sz w:val="24"/>
          <w:szCs w:val="24"/>
          <w:color w:val="auto"/>
        </w:rPr>
      </w:pPr>
    </w:p>
    <w:p>
      <w:pPr>
        <w:sectPr>
          <w:pgSz w:w="11900" w:h="16838" w:orient="portrait"/>
          <w:cols w:equalWidth="0" w:num="2">
            <w:col w:w="4560" w:space="720"/>
            <w:col w:w="4939"/>
          </w:cols>
          <w:pgMar w:left="240" w:top="244" w:right="1440" w:bottom="1440" w:gutter="0" w:footer="0" w:header="0"/>
          <w:type w:val="continuous"/>
        </w:sectPr>
      </w:pP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320" w:type="dxa"/>
            <w:vAlign w:val="bottom"/>
            <w:gridSpan w:val="5"/>
          </w:tcPr>
          <w:p>
            <w:pPr>
              <w:ind w:left="1700"/>
              <w:spacing w:after="0"/>
              <w:rPr>
                <w:sz w:val="20"/>
                <w:szCs w:val="20"/>
                <w:color w:val="auto"/>
              </w:rPr>
            </w:pPr>
            <w:r>
              <w:rPr>
                <w:rFonts w:ascii="Courier New" w:cs="Courier New" w:eastAsia="Courier New" w:hAnsi="Courier New"/>
                <w:sz w:val="18"/>
                <w:szCs w:val="18"/>
                <w:color w:val="auto"/>
              </w:rPr>
              <w:t>(Name, Address and Telephone Number of Person</w:t>
            </w:r>
          </w:p>
        </w:tc>
        <w:tc>
          <w:tcPr>
            <w:tcW w:w="102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Authorized</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 Receive</w:t>
            </w:r>
          </w:p>
        </w:tc>
        <w:tc>
          <w:tcPr>
            <w:tcW w:w="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Notices</w:t>
            </w:r>
          </w:p>
        </w:tc>
        <w:tc>
          <w:tcPr>
            <w:tcW w:w="2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Communications)</w:t>
            </w:r>
          </w:p>
        </w:tc>
        <w:tc>
          <w:tcPr>
            <w:tcW w:w="1020" w:type="dxa"/>
            <w:vAlign w:val="bottom"/>
          </w:tcPr>
          <w:p>
            <w:pPr>
              <w:spacing w:after="0"/>
              <w:rPr>
                <w:sz w:val="17"/>
                <w:szCs w:val="17"/>
                <w:color w:val="auto"/>
              </w:rPr>
            </w:pPr>
          </w:p>
        </w:tc>
      </w:tr>
      <w:tr>
        <w:trPr>
          <w:trHeight w:val="608"/>
        </w:trPr>
        <w:tc>
          <w:tcPr>
            <w:tcW w:w="2580" w:type="dxa"/>
            <w:vAlign w:val="bottom"/>
          </w:tcPr>
          <w:p>
            <w:pPr>
              <w:spacing w:after="0"/>
              <w:rPr>
                <w:sz w:val="24"/>
                <w:szCs w:val="24"/>
                <w:color w:val="auto"/>
              </w:rPr>
            </w:pPr>
          </w:p>
        </w:tc>
        <w:tc>
          <w:tcPr>
            <w:tcW w:w="20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September 22,</w:t>
            </w:r>
          </w:p>
        </w:tc>
        <w:tc>
          <w:tcPr>
            <w:tcW w:w="2720" w:type="dxa"/>
            <w:vAlign w:val="bottom"/>
          </w:tcPr>
          <w:p>
            <w:pPr>
              <w:ind w:left="40"/>
              <w:spacing w:after="0"/>
              <w:rPr>
                <w:sz w:val="20"/>
                <w:szCs w:val="20"/>
                <w:color w:val="auto"/>
              </w:rPr>
            </w:pPr>
            <w:r>
              <w:rPr>
                <w:rFonts w:ascii="Courier New" w:cs="Courier New" w:eastAsia="Courier New" w:hAnsi="Courier New"/>
                <w:sz w:val="18"/>
                <w:szCs w:val="18"/>
                <w:color w:val="auto"/>
              </w:rPr>
              <w:t>1995</w:t>
            </w:r>
          </w:p>
        </w:tc>
        <w:tc>
          <w:tcPr>
            <w:tcW w:w="1020" w:type="dxa"/>
            <w:vAlign w:val="bottom"/>
          </w:tcPr>
          <w:p>
            <w:pPr>
              <w:spacing w:after="0"/>
              <w:rPr>
                <w:sz w:val="24"/>
                <w:szCs w:val="24"/>
                <w:color w:val="auto"/>
              </w:rPr>
            </w:pPr>
          </w:p>
        </w:tc>
      </w:tr>
      <w:tr>
        <w:trPr>
          <w:trHeight w:val="203"/>
        </w:trPr>
        <w:tc>
          <w:tcPr>
            <w:tcW w:w="3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(Date of Event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which</w:t>
            </w:r>
          </w:p>
        </w:tc>
        <w:tc>
          <w:tcPr>
            <w:tcW w:w="29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Requires Filing</w:t>
            </w:r>
          </w:p>
        </w:tc>
        <w:tc>
          <w:tcPr>
            <w:tcW w:w="10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4740" w:type="dxa"/>
            <w:vAlign w:val="bottom"/>
            <w:gridSpan w:val="4"/>
          </w:tcPr>
          <w:p>
            <w:pPr>
              <w:ind w:left="580"/>
              <w:spacing w:after="0" w:line="203" w:lineRule="exact"/>
              <w:rPr>
                <w:sz w:val="20"/>
                <w:szCs w:val="20"/>
                <w:color w:val="auto"/>
              </w:rPr>
            </w:pPr>
            <w:r>
              <w:rPr>
                <w:rFonts w:ascii="Courier New" w:cs="Courier New" w:eastAsia="Courier New" w:hAnsi="Courier New"/>
                <w:sz w:val="18"/>
                <w:szCs w:val="18"/>
                <w:color w:val="auto"/>
              </w:rPr>
              <w:t>of this Statement)</w:t>
            </w:r>
          </w:p>
        </w:tc>
        <w:tc>
          <w:tcPr>
            <w:tcW w:w="1020" w:type="dxa"/>
            <w:vAlign w:val="bottom"/>
          </w:tcPr>
          <w:p>
            <w:pPr>
              <w:spacing w:after="0"/>
              <w:rPr>
                <w:sz w:val="17"/>
                <w:szCs w:val="17"/>
                <w:color w:val="auto"/>
              </w:rPr>
            </w:pPr>
          </w:p>
        </w:tc>
      </w:tr>
      <w:tr>
        <w:trPr>
          <w:trHeight w:val="810"/>
        </w:trPr>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w w:val="97"/>
              </w:rPr>
              <w:t>If the filing person has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previously</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filed</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a</w:t>
            </w:r>
          </w:p>
        </w:tc>
        <w:tc>
          <w:tcPr>
            <w:tcW w:w="2720" w:type="dxa"/>
            <w:vAlign w:val="bottom"/>
          </w:tcPr>
          <w:p>
            <w:pPr>
              <w:ind w:left="40"/>
              <w:spacing w:after="0"/>
              <w:rPr>
                <w:sz w:val="20"/>
                <w:szCs w:val="20"/>
                <w:color w:val="auto"/>
              </w:rPr>
            </w:pPr>
            <w:r>
              <w:rPr>
                <w:rFonts w:ascii="Courier New" w:cs="Courier New" w:eastAsia="Courier New" w:hAnsi="Courier New"/>
                <w:sz w:val="18"/>
                <w:szCs w:val="18"/>
                <w:color w:val="auto"/>
                <w:w w:val="98"/>
              </w:rPr>
              <w:t>statement on Schedule 13G</w:t>
            </w:r>
          </w:p>
        </w:tc>
        <w:tc>
          <w:tcPr>
            <w:tcW w:w="102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r>
      <w:tr>
        <w:trPr>
          <w:trHeight w:val="203"/>
        </w:trPr>
        <w:tc>
          <w:tcPr>
            <w:tcW w:w="3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report the acquisition which is the</w:t>
            </w:r>
          </w:p>
        </w:tc>
        <w:tc>
          <w:tcPr>
            <w:tcW w:w="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subject</w:t>
            </w:r>
          </w:p>
        </w:tc>
        <w:tc>
          <w:tcPr>
            <w:tcW w:w="2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of this Schedule 13D, and</w:t>
            </w:r>
          </w:p>
        </w:tc>
        <w:tc>
          <w:tcPr>
            <w:tcW w:w="1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is filing</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this schedule because of</w:t>
            </w: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Rule 13d-1(b)(3)</w:t>
            </w:r>
          </w:p>
        </w:tc>
        <w:tc>
          <w:tcPr>
            <w:tcW w:w="29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or (4), check the following</w:t>
            </w:r>
          </w:p>
        </w:tc>
        <w:tc>
          <w:tcPr>
            <w:tcW w:w="1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box [ ].</w:t>
            </w:r>
          </w:p>
        </w:tc>
      </w:tr>
    </w:tbl>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the statement. [ ] (A fee is not required only if the reporting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209"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ind w:left="3480"/>
        <w:spacing w:after="0" w:line="238" w:lineRule="auto"/>
        <w:rPr>
          <w:sz w:val="20"/>
          <w:szCs w:val="20"/>
          <w:color w:val="auto"/>
        </w:rPr>
      </w:pPr>
      <w:r>
        <w:rPr>
          <w:rFonts w:ascii="Courier New" w:cs="Courier New" w:eastAsia="Courier New" w:hAnsi="Courier New"/>
          <w:sz w:val="18"/>
          <w:szCs w:val="18"/>
          <w:color w:val="auto"/>
        </w:rPr>
        <w:t>SCHEDULE 13D</w:t>
      </w:r>
    </w:p>
    <w:p>
      <w:pPr>
        <w:spacing w:after="0" w:line="202"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No. 00075886F1</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PERSON</w:t>
      </w:r>
    </w:p>
    <w:p>
      <w:pPr>
        <w:ind w:left="960"/>
        <w:spacing w:after="0"/>
        <w:rPr>
          <w:sz w:val="20"/>
          <w:szCs w:val="20"/>
          <w:color w:val="auto"/>
        </w:rPr>
      </w:pPr>
      <w:r>
        <w:rPr>
          <w:rFonts w:ascii="Courier New" w:cs="Courier New" w:eastAsia="Courier New" w:hAnsi="Courier New"/>
          <w:sz w:val="18"/>
          <w:szCs w:val="18"/>
          <w:color w:val="auto"/>
        </w:rPr>
        <w:t>AMGEN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right"/>
        <w:ind w:left="220" w:right="2319"/>
        <w:spacing w:after="0" w:line="235" w:lineRule="auto"/>
        <w:rPr>
          <w:sz w:val="20"/>
          <w:szCs w:val="20"/>
          <w:color w:val="auto"/>
        </w:rPr>
      </w:pPr>
      <w:r>
        <w:rPr>
          <w:rFonts w:ascii="Courier New" w:cs="Courier New" w:eastAsia="Courier New" w:hAnsi="Courier New"/>
          <w:sz w:val="18"/>
          <w:szCs w:val="18"/>
          <w:color w:val="auto"/>
        </w:rPr>
        <w:t>2   CHECK THE APPROPRIATE BOX IF MEMBER OF A GROUP*               (a) [ ] (b) [ ]</w:t>
      </w:r>
    </w:p>
    <w:p>
      <w:pPr>
        <w:spacing w:after="0" w:line="6"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7899" w:hanging="105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SOURCE OF FUNDS* WC</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8" w:lineRule="exact"/>
        <w:rPr>
          <w:sz w:val="20"/>
          <w:szCs w:val="20"/>
          <w:color w:val="auto"/>
        </w:rPr>
      </w:pPr>
    </w:p>
    <w:p>
      <w:pPr>
        <w:ind w:left="640" w:right="2319" w:hanging="419"/>
        <w:spacing w:after="0" w:line="235" w:lineRule="auto"/>
        <w:tabs>
          <w:tab w:leader="none" w:pos="62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CHECK BOX IF DISCLOSURE OF LEGAL PROCEEDINGS IS REQUIRED [ ] PURSUANT TO ITEMS 2(d) or 2(e)</w:t>
      </w:r>
    </w:p>
    <w:p>
      <w:pPr>
        <w:spacing w:after="0" w:line="6"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779" w:hanging="632"/>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 CITIZENSHIP OR PLACE OF ORGANIZATION DELAWARE</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   SOLE VOTING POWER</w:t>
      </w:r>
    </w:p>
    <w:tbl>
      <w:tblPr>
        <w:tblLayout w:type="fixed"/>
        <w:tblInd w:w="120" w:type="dxa"/>
        <w:tblCellMar>
          <w:top w:w="0" w:type="dxa"/>
          <w:left w:w="0" w:type="dxa"/>
          <w:bottom w:w="0" w:type="dxa"/>
          <w:right w:w="0" w:type="dxa"/>
        </w:tblCellMar>
      </w:tblPr>
      <w:tr>
        <w:trPr>
          <w:trHeight w:val="203"/>
        </w:trPr>
        <w:tc>
          <w:tcPr>
            <w:tcW w:w="1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40" w:type="dxa"/>
            <w:vAlign w:val="bottom"/>
          </w:tcPr>
          <w:p>
            <w:pPr>
              <w:jc w:val="right"/>
              <w:ind w:right="3492"/>
              <w:spacing w:after="0"/>
              <w:rPr>
                <w:sz w:val="20"/>
                <w:szCs w:val="20"/>
                <w:color w:val="auto"/>
              </w:rPr>
            </w:pPr>
            <w:r>
              <w:rPr>
                <w:rFonts w:ascii="Courier New" w:cs="Courier New" w:eastAsia="Courier New" w:hAnsi="Courier New"/>
                <w:sz w:val="18"/>
                <w:szCs w:val="18"/>
                <w:color w:val="auto"/>
              </w:rPr>
              <w:t>1,083,766</w:t>
            </w:r>
          </w:p>
        </w:tc>
      </w:tr>
      <w:tr>
        <w:trPr>
          <w:trHeight w:val="203"/>
        </w:trPr>
        <w:tc>
          <w:tcPr>
            <w:tcW w:w="1940" w:type="dxa"/>
            <w:vAlign w:val="bottom"/>
          </w:tcPr>
          <w:p>
            <w:pPr>
              <w:spacing w:after="0"/>
              <w:rPr>
                <w:sz w:val="17"/>
                <w:szCs w:val="17"/>
                <w:color w:val="auto"/>
              </w:rPr>
            </w:pPr>
          </w:p>
        </w:tc>
        <w:tc>
          <w:tcPr>
            <w:tcW w:w="6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w:t>
            </w:r>
          </w:p>
        </w:tc>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220" w:type="dxa"/>
            <w:vAlign w:val="bottom"/>
          </w:tcPr>
          <w:p>
            <w:pPr>
              <w:spacing w:after="0"/>
              <w:rPr>
                <w:sz w:val="17"/>
                <w:szCs w:val="17"/>
                <w:color w:val="auto"/>
              </w:rPr>
            </w:pPr>
          </w:p>
        </w:tc>
        <w:tc>
          <w:tcPr>
            <w:tcW w:w="4840" w:type="dxa"/>
            <w:vAlign w:val="bottom"/>
          </w:tcPr>
          <w:p>
            <w:pPr>
              <w:jc w:val="right"/>
              <w:ind w:right="4232"/>
              <w:spacing w:after="0" w:line="203" w:lineRule="exact"/>
              <w:rPr>
                <w:sz w:val="20"/>
                <w:szCs w:val="20"/>
                <w:color w:val="auto"/>
              </w:rPr>
            </w:pPr>
            <w:r>
              <w:rPr>
                <w:rFonts w:ascii="Courier New" w:cs="Courier New" w:eastAsia="Courier New" w:hAnsi="Courier New"/>
                <w:sz w:val="18"/>
                <w:szCs w:val="18"/>
                <w:color w:val="auto"/>
              </w:rPr>
              <w:t>N/A</w:t>
            </w: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w:t>
            </w:r>
          </w:p>
        </w:tc>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220" w:type="dxa"/>
            <w:vAlign w:val="bottom"/>
          </w:tcPr>
          <w:p>
            <w:pPr>
              <w:spacing w:after="0"/>
              <w:rPr>
                <w:sz w:val="17"/>
                <w:szCs w:val="17"/>
                <w:color w:val="auto"/>
              </w:rPr>
            </w:pPr>
          </w:p>
        </w:tc>
        <w:tc>
          <w:tcPr>
            <w:tcW w:w="4840" w:type="dxa"/>
            <w:vAlign w:val="bottom"/>
          </w:tcPr>
          <w:p>
            <w:pPr>
              <w:jc w:val="right"/>
              <w:ind w:right="3392"/>
              <w:spacing w:after="0" w:line="203" w:lineRule="exact"/>
              <w:rPr>
                <w:sz w:val="20"/>
                <w:szCs w:val="20"/>
                <w:color w:val="auto"/>
              </w:rPr>
            </w:pPr>
            <w:r>
              <w:rPr>
                <w:rFonts w:ascii="Courier New" w:cs="Courier New" w:eastAsia="Courier New" w:hAnsi="Courier New"/>
                <w:sz w:val="18"/>
                <w:szCs w:val="18"/>
                <w:color w:val="auto"/>
              </w:rPr>
              <w:t>1,083,766</w:t>
            </w: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6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4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w:t>
            </w:r>
          </w:p>
        </w:tc>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40" w:type="dxa"/>
            <w:vAlign w:val="bottom"/>
          </w:tcPr>
          <w:p>
            <w:pPr>
              <w:jc w:val="right"/>
              <w:ind w:right="4232"/>
              <w:spacing w:after="0" w:line="203" w:lineRule="exact"/>
              <w:rPr>
                <w:sz w:val="20"/>
                <w:szCs w:val="20"/>
                <w:color w:val="auto"/>
              </w:rPr>
            </w:pPr>
            <w:r>
              <w:rPr>
                <w:rFonts w:ascii="Courier New" w:cs="Courier New" w:eastAsia="Courier New" w:hAnsi="Courier New"/>
                <w:sz w:val="18"/>
                <w:szCs w:val="18"/>
                <w:color w:val="auto"/>
              </w:rPr>
              <w:t>N/A</w:t>
            </w:r>
          </w:p>
        </w:tc>
      </w:tr>
      <w:tr>
        <w:trPr>
          <w:trHeight w:val="203"/>
        </w:trPr>
        <w:tc>
          <w:tcPr>
            <w:tcW w:w="1940" w:type="dxa"/>
            <w:vAlign w:val="bottom"/>
          </w:tcPr>
          <w:p>
            <w:pPr>
              <w:spacing w:after="0"/>
              <w:rPr>
                <w:sz w:val="17"/>
                <w:szCs w:val="17"/>
                <w:color w:val="auto"/>
              </w:rPr>
            </w:pPr>
          </w:p>
        </w:tc>
        <w:tc>
          <w:tcPr>
            <w:tcW w:w="6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640" w:right="5059" w:hanging="527"/>
        <w:spacing w:after="0" w:line="235" w:lineRule="auto"/>
        <w:tabs>
          <w:tab w:leader="none" w:pos="64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1,083,766</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620" w:val="left"/>
          <w:tab w:leader="none" w:pos="758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CHECK BOX IF THE AGGREGATE AMOUNT IN ROW (11) EXCLUDES</w:t>
      </w:r>
      <w:r>
        <w:rPr>
          <w:sz w:val="20"/>
          <w:szCs w:val="20"/>
          <w:color w:val="auto"/>
        </w:rPr>
        <w:tab/>
      </w:r>
      <w:r>
        <w:rPr>
          <w:rFonts w:ascii="Courier New" w:cs="Courier New" w:eastAsia="Courier New" w:hAnsi="Courier New"/>
          <w:sz w:val="16"/>
          <w:szCs w:val="16"/>
          <w:color w:val="auto"/>
        </w:rPr>
        <w:t>[ ]</w:t>
      </w:r>
    </w:p>
    <w:p>
      <w:pPr>
        <w:ind w:left="640"/>
        <w:spacing w:after="0" w:line="238" w:lineRule="auto"/>
        <w:rPr>
          <w:sz w:val="20"/>
          <w:szCs w:val="20"/>
          <w:color w:val="auto"/>
        </w:rPr>
      </w:pPr>
      <w:r>
        <w:rPr>
          <w:rFonts w:ascii="Courier New" w:cs="Courier New" w:eastAsia="Courier New" w:hAnsi="Courier New"/>
          <w:sz w:val="18"/>
          <w:szCs w:val="18"/>
          <w:color w:val="auto"/>
        </w:rPr>
        <w:t>CERTAIN SHARES*</w:t>
      </w:r>
    </w:p>
    <w:p>
      <w:pPr>
        <w:ind w:left="960"/>
        <w:spacing w:after="0"/>
        <w:rPr>
          <w:sz w:val="20"/>
          <w:szCs w:val="20"/>
          <w:color w:val="auto"/>
        </w:rPr>
      </w:pPr>
      <w:r>
        <w:rPr>
          <w:rFonts w:ascii="Courier New" w:cs="Courier New" w:eastAsia="Courier New" w:hAnsi="Courier New"/>
          <w:sz w:val="18"/>
          <w:szCs w:val="18"/>
          <w:color w:val="auto"/>
        </w:rPr>
        <w:t>N/A</w:t>
      </w:r>
    </w:p>
    <w:p>
      <w:pPr>
        <w:spacing w:after="0" w:line="3"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960" w:right="4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 PERCENT OF CLASS REPRESENTED BY AMOUNT IN ROW (11) 7.4%</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960" w:right="69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 TYPE OF PERSON REPORTING* CO</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2 of 8 Pages</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This Amendment No. 1 to Schedule 13D is being filed on behalf of Amgen Inc., a Delaware corporation (the "Reporting Person"), to amend the Schedule 13D filed on July 26, 1995 (the "Schedule 13D") relating to the common stock, $0.001 par value per share (the "Common Stock") of Regeneron Pharmaceuticals, Inc. (the "Issuer"). Unless otherwise indicated, all capitalized terms used herein but not defined herein shall have the meaning assigned to them in the Schedule 13D.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7"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Item 4 to Schedule 13D is hereby amended and supplemented to add the following information:</w:t>
      </w:r>
    </w:p>
    <w:p>
      <w:pPr>
        <w:spacing w:after="0" w:line="208" w:lineRule="exact"/>
        <w:rPr>
          <w:sz w:val="20"/>
          <w:szCs w:val="20"/>
          <w:color w:val="auto"/>
        </w:rPr>
      </w:pPr>
    </w:p>
    <w:p>
      <w:pPr>
        <w:ind w:right="1879" w:firstLine="843"/>
        <w:spacing w:after="0" w:line="269" w:lineRule="auto"/>
        <w:rPr>
          <w:sz w:val="20"/>
          <w:szCs w:val="20"/>
          <w:color w:val="auto"/>
        </w:rPr>
      </w:pPr>
      <w:r>
        <w:rPr>
          <w:rFonts w:ascii="Courier New" w:cs="Courier New" w:eastAsia="Courier New" w:hAnsi="Courier New"/>
          <w:sz w:val="16"/>
          <w:szCs w:val="16"/>
          <w:color w:val="auto"/>
        </w:rPr>
        <w:t>Pursuant to an agreement (the "Lock-Up Agreement"), dated as of September 22, 1995, by and between the Reporting Person and Morgan Stanley &amp; Co. Incorporated and Smith Barney Inc., as representatives of the underwriters in a proposed public offering (the "Public Offering") of approximately 3,000,000 shares of the Common Stock of the Issuer (the "Underwriters"), the Reporting Person has agreed not to, without the prior written consent of Morgan Stanley &amp; Co. Incorporated, (1) directly or indirectly offer, pledge, sell, contract to sell or purchase or otherwise transfer or dispose of any shares of Common Stock or any securities convertible into or exercisable or exchangeable for the Common Stock or (2) enter into any swap or other agreement that transfers any economic consequence of ownership of the Common Stock, in each case for a period beginning on September 22, 1995 (the date of the filing of a registration statement relating to the Public Offering) and ending 90 days after the date of the prospectus relating to the Public Offering. In addition, the Lock-Up Agreement provides that, without such prior written consent, the Reporting Person will not during such period make any demand for or exercise any right with respect to the registration of any shares of Common Stock or any security convertible into or exercisable or exchangeable for Common Stock. Pursuant to its terms, the Lock-Up Agreement shall automatically terminate and be of no further force and effect if the registration statement relating to the Public Offering is not declared effective by the Securities and Exchange Commission on or before November 15, 1995.</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3 of 8 Pages</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left="1160" w:right="2839" w:hanging="1158"/>
        <w:spacing w:after="0" w:line="235" w:lineRule="auto"/>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CONTRACTS, AGREEMENTS, UNDERSTANDINGS OR RELATIONSHIPS WITH RESPECT TO SECURITIES OF THE ISSUER.</w:t>
      </w:r>
    </w:p>
    <w:p>
      <w:pPr>
        <w:spacing w:after="0" w:line="208"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Item 6 to Schedule 13D is hereby amended and supplemented to add the following information:</w:t>
      </w:r>
    </w:p>
    <w:p>
      <w:pPr>
        <w:spacing w:after="0" w:line="208"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As described in Item 4, above, the Reporting Person has entered into the Lock-Up Agreement with respect to the Common Stock.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4 of 8 Pages</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ITEM 7. MATERIAL TO BE FILED AS EXHIBITS.</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7 of Schedule 13D is hereby amended and supplemented to add the following information:</w:t>
      </w:r>
    </w:p>
    <w:p>
      <w:pPr>
        <w:spacing w:after="0" w:line="208" w:lineRule="exact"/>
        <w:rPr>
          <w:sz w:val="20"/>
          <w:szCs w:val="20"/>
          <w:color w:val="auto"/>
        </w:rPr>
      </w:pPr>
    </w:p>
    <w:p>
      <w:pPr>
        <w:jc w:val="both"/>
        <w:ind w:left="860" w:right="2099" w:hanging="842"/>
        <w:spacing w:after="0" w:line="236" w:lineRule="auto"/>
        <w:tabs>
          <w:tab w:leader="none" w:pos="84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8"/>
          <w:szCs w:val="18"/>
          <w:color w:val="auto"/>
        </w:rPr>
        <w:t>Lock-Up Agreement, dated as of September 22, 1995, by and between the Reporting Person, Morgan Stanley &amp; Co. Incorporated and Smith Barney Inc.</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5 of 8 Pages</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99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AMGEN INC.</w:t>
      </w:r>
    </w:p>
    <w:p>
      <w:pPr>
        <w:spacing w:after="0" w:line="200" w:lineRule="exact"/>
        <w:rPr>
          <w:sz w:val="20"/>
          <w:szCs w:val="20"/>
          <w:color w:val="auto"/>
        </w:rPr>
      </w:pPr>
    </w:p>
    <w:p>
      <w:pPr>
        <w:spacing w:after="0" w:line="204"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8"/>
          <w:szCs w:val="18"/>
          <w:color w:val="auto"/>
        </w:rPr>
        <w:t>By: /s/ George A. Vandeman</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tabs>
          <w:tab w:leader="none" w:pos="5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George A. Vandeman</w:t>
      </w:r>
    </w:p>
    <w:p>
      <w:pPr>
        <w:jc w:val="right"/>
        <w:ind w:right="1999"/>
        <w:spacing w:after="0"/>
        <w:tabs>
          <w:tab w:leader="none" w:pos="31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Senior Vice President, General</w:t>
      </w:r>
    </w:p>
    <w:p>
      <w:pPr>
        <w:ind w:left="5060"/>
        <w:spacing w:after="0"/>
        <w:rPr>
          <w:sz w:val="20"/>
          <w:szCs w:val="20"/>
          <w:color w:val="auto"/>
        </w:rPr>
      </w:pPr>
      <w:r>
        <w:rPr>
          <w:rFonts w:ascii="Courier New" w:cs="Courier New" w:eastAsia="Courier New" w:hAnsi="Courier New"/>
          <w:sz w:val="18"/>
          <w:szCs w:val="18"/>
          <w:color w:val="auto"/>
        </w:rPr>
        <w:t>Counsel and Secretary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September 25, 1995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6 of 8 Pages</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8"/>
          <w:szCs w:val="18"/>
          <w:color w:val="auto"/>
        </w:rPr>
        <w:t>PAGE</w:t>
      </w:r>
    </w:p>
    <w:p>
      <w:pPr>
        <w:spacing w:after="0" w:line="4" w:lineRule="exact"/>
        <w:rPr>
          <w:sz w:val="20"/>
          <w:szCs w:val="20"/>
          <w:color w:val="auto"/>
        </w:rPr>
      </w:pPr>
    </w:p>
    <w:p>
      <w:pPr>
        <w:ind w:left="770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860" w:right="2739" w:hanging="842"/>
        <w:spacing w:after="0" w:line="236" w:lineRule="auto"/>
        <w:tabs>
          <w:tab w:leader="none" w:pos="84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8"/>
          <w:szCs w:val="18"/>
          <w:color w:val="auto"/>
        </w:rPr>
        <w:t>Lock-Up Agreement, dated as of September 22, 1995 by and between the Reporting Person, Morgan Stanley &amp; Co. Incorporated and Smith Barney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7 of 8 Pages</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EXHIBIT 7.2</w:t>
      </w:r>
    </w:p>
    <w:p>
      <w:pPr>
        <w:spacing w:after="0" w:line="200" w:lineRule="exact"/>
        <w:rPr>
          <w:sz w:val="20"/>
          <w:szCs w:val="20"/>
          <w:color w:val="auto"/>
        </w:rPr>
      </w:pPr>
    </w:p>
    <w:p>
      <w:pPr>
        <w:spacing w:after="0" w:line="204"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September 22, 1995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Morgan Stanley &amp; Co. Incorporated</w:t>
      </w:r>
    </w:p>
    <w:p>
      <w:pPr>
        <w:spacing w:after="0" w:line="238" w:lineRule="auto"/>
        <w:rPr>
          <w:sz w:val="20"/>
          <w:szCs w:val="20"/>
          <w:color w:val="auto"/>
        </w:rPr>
      </w:pPr>
      <w:r>
        <w:rPr>
          <w:rFonts w:ascii="Courier New" w:cs="Courier New" w:eastAsia="Courier New" w:hAnsi="Courier New"/>
          <w:sz w:val="18"/>
          <w:szCs w:val="18"/>
          <w:color w:val="auto"/>
        </w:rPr>
        <w:t>Smith Barney Inc.</w:t>
      </w:r>
    </w:p>
    <w:p>
      <w:pPr>
        <w:ind w:left="220"/>
        <w:spacing w:after="0"/>
        <w:rPr>
          <w:sz w:val="20"/>
          <w:szCs w:val="20"/>
          <w:color w:val="auto"/>
        </w:rPr>
      </w:pPr>
      <w:r>
        <w:rPr>
          <w:rFonts w:ascii="Courier New" w:cs="Courier New" w:eastAsia="Courier New" w:hAnsi="Courier New"/>
          <w:sz w:val="18"/>
          <w:szCs w:val="18"/>
          <w:color w:val="auto"/>
        </w:rPr>
        <w:t>c/o Morgan Stanley &amp; Co. Incorporated</w:t>
      </w:r>
    </w:p>
    <w:p>
      <w:pPr>
        <w:ind w:left="220"/>
        <w:spacing w:after="0" w:line="237" w:lineRule="auto"/>
        <w:rPr>
          <w:sz w:val="20"/>
          <w:szCs w:val="20"/>
          <w:color w:val="auto"/>
        </w:rPr>
      </w:pPr>
      <w:r>
        <w:rPr>
          <w:rFonts w:ascii="Courier New" w:cs="Courier New" w:eastAsia="Courier New" w:hAnsi="Courier New"/>
          <w:sz w:val="18"/>
          <w:szCs w:val="18"/>
          <w:color w:val="auto"/>
        </w:rPr>
        <w:t>1585 Broadway</w:t>
      </w:r>
    </w:p>
    <w:p>
      <w:pPr>
        <w:ind w:left="220"/>
        <w:spacing w:after="0" w:line="238" w:lineRule="auto"/>
        <w:rPr>
          <w:sz w:val="20"/>
          <w:szCs w:val="20"/>
          <w:color w:val="auto"/>
        </w:rPr>
      </w:pPr>
      <w:r>
        <w:rPr>
          <w:rFonts w:ascii="Courier New" w:cs="Courier New" w:eastAsia="Courier New" w:hAnsi="Courier New"/>
          <w:sz w:val="18"/>
          <w:szCs w:val="18"/>
          <w:color w:val="auto"/>
        </w:rPr>
        <w:t>New York, New York 10036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7" w:lineRule="exact"/>
        <w:rPr>
          <w:sz w:val="20"/>
          <w:szCs w:val="20"/>
          <w:color w:val="auto"/>
        </w:rPr>
      </w:pPr>
    </w:p>
    <w:p>
      <w:pPr>
        <w:ind w:right="1879" w:firstLine="843"/>
        <w:spacing w:after="0" w:line="272" w:lineRule="auto"/>
        <w:rPr>
          <w:sz w:val="20"/>
          <w:szCs w:val="20"/>
          <w:color w:val="auto"/>
        </w:rPr>
      </w:pPr>
      <w:r>
        <w:rPr>
          <w:rFonts w:ascii="Courier New" w:cs="Courier New" w:eastAsia="Courier New" w:hAnsi="Courier New"/>
          <w:sz w:val="16"/>
          <w:szCs w:val="16"/>
          <w:color w:val="auto"/>
        </w:rPr>
        <w:t>The undersigned understands that you, as Representatives of the several Underwriters, propose to enter into an Underwriting Agreement with Regeneron Pharmaceuticals, Inc., a New York corporation (the "Company"), providing for the public offering (the "Public Offering") by the several Underwriters, including yourselves, of approximately 3,000,000 shares (the "Shares") of the common stock, par value $.001 per share, of the Company (the "Common Stock").</w:t>
      </w:r>
    </w:p>
    <w:p>
      <w:pPr>
        <w:spacing w:after="0" w:line="186"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To induce the Underwriters to participate in the proposed Public Offering of the Shares, and for other good and valuable consideration receipt of which is hereby acknowledged, the undersigned hereby agrees that, without the prior written consent of Morgan Stanley &amp; Co. Incorporated on behalf of the Underwriters, it will not, during the period beginning on the date a registration statement relating to the Public Offering is filed with the Securities and Exchange Commission and ending 90 days after the date of the Prospectus, (1)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(whether such shares or any such securities are now owned by the undersigned or are hereafter acquired), or (2) enter into any swap or other agreement that transfers, in whole or in part, any of the economic consequences of ownership of the Common Stock, whether any such transaction described in clause (1) or (2) above is to be settled by delivery of Common Stock or such other securities, in cash or otherwise. In addition, the undersigned agrees that, without the prior written consent of Morgan Stanley &amp; Co. Incorporated on behalf of the Underwriters, it will not, during the period beginning on the date a registration statement relating to the Public Offering is filed with the Securities and Exchange Commission and ending 90 days after the date of the Prospectus, make any demand for or exercise any right with respect to, the registration of any shares of Common Stock or any security convertible into or exercisable or exchangeable for Common Stock.</w:t>
      </w:r>
    </w:p>
    <w:p>
      <w:pPr>
        <w:spacing w:after="0" w:line="212"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This agreement shall terminate and be of no further force and effect if the registration statement relating to the Public Offering of the Shares is not declared effective by the Securities and Exchange Commission on or before November 15, 1995.</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AMGEN INC.</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George A. Vandeman</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Senior Vice President</w:t>
      </w:r>
    </w:p>
    <w:p>
      <w:pPr>
        <w:ind w:left="4740"/>
        <w:spacing w:after="0" w:line="238" w:lineRule="auto"/>
        <w:rPr>
          <w:sz w:val="20"/>
          <w:szCs w:val="20"/>
          <w:color w:val="auto"/>
        </w:rPr>
      </w:pPr>
      <w:r>
        <w:rPr>
          <w:rFonts w:ascii="Courier New" w:cs="Courier New" w:eastAsia="Courier New" w:hAnsi="Courier New"/>
          <w:sz w:val="18"/>
          <w:szCs w:val="18"/>
          <w:color w:val="auto"/>
        </w:rPr>
        <w:t>General Counsel and Secretary</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Page 8 of 8 Pages</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2"/>
      <w:numFmt w:val="decimal"/>
      <w:start w:val="11"/>
    </w:lvl>
  </w:abstractNum>
  <w:abstractNum w:abstractNumId="4">
    <w:nsid w:val="46E87CCD"/>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2019-12-20T06:15:30Z</dcterms:created>
  <dcterms:modified xsi:type="dcterms:W3CDTF">2019-12-20T06:15:30Z</dcterms:modified>
</cp:coreProperties>
</file>