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CURRENT REPORT</w:t>
      </w:r>
    </w:p>
    <w:p>
      <w:pPr>
        <w:spacing w:after="0" w:line="157" w:lineRule="exact"/>
        <w:rPr>
          <w:sz w:val="24"/>
          <w:szCs w:val="24"/>
          <w:color w:val="auto"/>
        </w:rPr>
      </w:pPr>
    </w:p>
    <w:p>
      <w:pPr>
        <w:ind w:left="404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September 8, 2023 (June 9, 2023)</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REGENERON PHARMACEUTICALS,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(State or other jurisdiction of incorporation)</w:t>
      </w:r>
    </w:p>
    <w:p>
      <w:pPr>
        <w:spacing w:after="0" w:line="139" w:lineRule="exact"/>
        <w:rPr>
          <w:sz w:val="24"/>
          <w:szCs w:val="24"/>
          <w:color w:val="auto"/>
        </w:rPr>
      </w:pPr>
    </w:p>
    <w:tbl>
      <w:tblPr>
        <w:tblLayout w:type="fixed"/>
        <w:tblInd w:w="740" w:type="dxa"/>
        <w:tblCellMar>
          <w:top w:w="0" w:type="dxa"/>
          <w:left w:w="0" w:type="dxa"/>
          <w:bottom w:w="0" w:type="dxa"/>
          <w:right w:w="0" w:type="dxa"/>
        </w:tblCellMar>
      </w:tblPr>
      <w:tr>
        <w:trPr>
          <w:trHeight w:val="216"/>
        </w:trPr>
        <w:tc>
          <w:tcPr>
            <w:tcW w:w="5540" w:type="dxa"/>
            <w:vAlign w:val="bottom"/>
          </w:tcPr>
          <w:p>
            <w:pPr>
              <w:jc w:val="center"/>
              <w:ind w:right="1390"/>
              <w:spacing w:after="0"/>
              <w:rPr>
                <w:sz w:val="20"/>
                <w:szCs w:val="20"/>
                <w:color w:val="auto"/>
              </w:rPr>
            </w:pPr>
            <w:r>
              <w:rPr>
                <w:rFonts w:ascii="Arial" w:cs="Arial" w:eastAsia="Arial" w:hAnsi="Arial"/>
                <w:sz w:val="18"/>
                <w:szCs w:val="18"/>
                <w:b w:val="1"/>
                <w:bCs w:val="1"/>
                <w:color w:val="auto"/>
                <w:w w:val="90"/>
              </w:rPr>
              <w:t>000-19034</w:t>
            </w:r>
          </w:p>
        </w:tc>
        <w:tc>
          <w:tcPr>
            <w:tcW w:w="292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13-3444607</w:t>
            </w:r>
          </w:p>
        </w:tc>
      </w:tr>
      <w:tr>
        <w:trPr>
          <w:trHeight w:val="216"/>
        </w:trPr>
        <w:tc>
          <w:tcPr>
            <w:tcW w:w="5540" w:type="dxa"/>
            <w:vAlign w:val="bottom"/>
          </w:tcPr>
          <w:p>
            <w:pPr>
              <w:jc w:val="center"/>
              <w:ind w:right="1410"/>
              <w:spacing w:after="0"/>
              <w:rPr>
                <w:sz w:val="20"/>
                <w:szCs w:val="20"/>
                <w:color w:val="auto"/>
              </w:rPr>
            </w:pPr>
            <w:r>
              <w:rPr>
                <w:rFonts w:ascii="Arial" w:cs="Arial" w:eastAsia="Arial" w:hAnsi="Arial"/>
                <w:sz w:val="18"/>
                <w:szCs w:val="18"/>
                <w:b w:val="1"/>
                <w:bCs w:val="1"/>
                <w:color w:val="auto"/>
                <w:w w:val="87"/>
              </w:rPr>
              <w:t>(Commission</w:t>
            </w:r>
          </w:p>
        </w:tc>
        <w:tc>
          <w:tcPr>
            <w:tcW w:w="2920" w:type="dxa"/>
            <w:vAlign w:val="bottom"/>
          </w:tcPr>
          <w:p>
            <w:pPr>
              <w:jc w:val="center"/>
              <w:ind w:left="14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5540" w:type="dxa"/>
            <w:vAlign w:val="bottom"/>
          </w:tcPr>
          <w:p>
            <w:pPr>
              <w:jc w:val="center"/>
              <w:ind w:right="1410"/>
              <w:spacing w:after="0"/>
              <w:rPr>
                <w:sz w:val="20"/>
                <w:szCs w:val="20"/>
                <w:color w:val="auto"/>
              </w:rPr>
            </w:pPr>
            <w:r>
              <w:rPr>
                <w:rFonts w:ascii="Arial" w:cs="Arial" w:eastAsia="Arial" w:hAnsi="Arial"/>
                <w:sz w:val="18"/>
                <w:szCs w:val="18"/>
                <w:b w:val="1"/>
                <w:bCs w:val="1"/>
                <w:color w:val="auto"/>
                <w:w w:val="94"/>
              </w:rPr>
              <w:t>File Number)</w:t>
            </w:r>
          </w:p>
        </w:tc>
        <w:tc>
          <w:tcPr>
            <w:tcW w:w="2920" w:type="dxa"/>
            <w:vAlign w:val="bottom"/>
          </w:tcPr>
          <w:p>
            <w:pPr>
              <w:jc w:val="center"/>
              <w:ind w:left="141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5540" w:type="dxa"/>
            <w:vAlign w:val="bottom"/>
          </w:tcPr>
          <w:p>
            <w:pPr>
              <w:jc w:val="center"/>
              <w:ind w:right="141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92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10591-6707</w:t>
            </w:r>
          </w:p>
        </w:tc>
      </w:tr>
      <w:tr>
        <w:trPr>
          <w:trHeight w:val="234"/>
        </w:trPr>
        <w:tc>
          <w:tcPr>
            <w:tcW w:w="5540" w:type="dxa"/>
            <w:vAlign w:val="bottom"/>
          </w:tcPr>
          <w:p>
            <w:pPr>
              <w:jc w:val="center"/>
              <w:ind w:right="14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920" w:type="dxa"/>
            <w:vAlign w:val="bottom"/>
          </w:tcPr>
          <w:p>
            <w:pPr>
              <w:jc w:val="center"/>
              <w:ind w:left="143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(914) 847-7000</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REGN</w:t>
            </w:r>
          </w:p>
        </w:tc>
        <w:tc>
          <w:tcPr>
            <w:tcW w:w="4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202"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amendment is being filed to amend the Current Report on Form 8-K filed by Regeneron Pharmaceuticals, Inc. (“</w:t>
      </w:r>
      <w:r>
        <w:rPr>
          <w:rFonts w:ascii="Arial" w:cs="Arial" w:eastAsia="Arial" w:hAnsi="Arial"/>
          <w:sz w:val="18"/>
          <w:szCs w:val="18"/>
          <w:u w:val="single" w:color="auto"/>
          <w:color w:val="auto"/>
        </w:rPr>
        <w:t>Regeneron</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on June 14, 2023 (the “</w:t>
      </w:r>
      <w:r>
        <w:rPr>
          <w:rFonts w:ascii="Arial" w:cs="Arial" w:eastAsia="Arial" w:hAnsi="Arial"/>
          <w:sz w:val="18"/>
          <w:szCs w:val="18"/>
          <w:u w:val="single" w:color="auto"/>
          <w:color w:val="auto"/>
        </w:rPr>
        <w:t>Original Report</w:t>
      </w:r>
      <w:r>
        <w:rPr>
          <w:rFonts w:ascii="Arial" w:cs="Arial" w:eastAsia="Arial" w:hAnsi="Arial"/>
          <w:sz w:val="18"/>
          <w:szCs w:val="18"/>
          <w:color w:val="auto"/>
        </w:rPr>
        <w:t>”). The sole purpose of this amendment is to disclose, as required by the regulations of the Securities and Exchange Commission, Regeneron’s decision regarding the frequency of future advisory shareholder votes on executive compensation. No changes have been made to the Original Report.</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At the 2023 Annual Meeting of Shareholders of the Company held on June 9, 2023, Regeneron’s shareholders voted, among other matters, on a proposal on the frequency of future advisory shareholder votes on executive compensation. As reported by the Company in the Original Report, a frequency of every one year received a majority of the votes cast on the proposal. Based on these results and the recommendation of the Compensation Committee and the Corporate Governance and Compliance Committee of Regeneron’s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on September 8, 2023 the Board determined that future advisory shareholder votes on executive compensation will continue to be held every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Joseph J. LaRosa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600"/>
      </w:cols>
      <w:pgMar w:left="320" w:top="90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2023-09-08T16:11:09Z</dcterms:created>
  <dcterms:modified xsi:type="dcterms:W3CDTF">2023-09-08T16:11:09Z</dcterms:modified>
</cp:coreProperties>
</file>