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SECURITIES AND EXCHANGE COMMISSION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00" w:lineRule="exact"/>
        <w:rPr>
          <w:sz w:val="20"/>
          <w:szCs w:val="20"/>
          <w:color w:val="auto"/>
        </w:rPr>
      </w:pPr>
    </w:p>
    <w:p>
      <w:pPr>
        <w:spacing w:after="0" w:line="28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1720" w:right="3300" w:hanging="1719"/>
        <w:spacing w:after="0" w:line="261" w:lineRule="auto"/>
        <w:tabs>
          <w:tab w:leader="none" w:pos="17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QUARTERLY REPORT PURSUANT TO SECTION 13 OR 15(d) OF THE SECURITIES EXCHANGE ACT OF 1934</w:t>
      </w:r>
    </w:p>
    <w:p>
      <w:pPr>
        <w:spacing w:after="0" w:line="19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 the quarterly period ended September 30,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TRANSITION REPORT PURSUANT TO SECTION 13 OR 15 (d) OF THE SECURITIES EXCHANGE ACT OF 1934</w:t>
      </w:r>
    </w:p>
    <w:p>
      <w:pPr>
        <w:spacing w:after="0" w:line="200" w:lineRule="exact"/>
        <w:rPr>
          <w:sz w:val="20"/>
          <w:szCs w:val="20"/>
          <w:color w:val="auto"/>
        </w:rPr>
      </w:pPr>
    </w:p>
    <w:p>
      <w:pPr>
        <w:sectPr>
          <w:pgSz w:w="11900" w:h="16838" w:orient="portrait"/>
          <w:cols w:equalWidth="0" w:num="2">
            <w:col w:w="900" w:space="720"/>
            <w:col w:w="9800"/>
          </w:cols>
          <w:pgMar w:left="240" w:top="122" w:right="239" w:bottom="1440" w:gutter="0" w:footer="0" w:header="0"/>
          <w:type w:val="continuous"/>
        </w:sectPr>
      </w:pPr>
    </w:p>
    <w:p>
      <w:pPr>
        <w:spacing w:after="0" w:line="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w:t>
      </w:r>
    </w:p>
    <w:p>
      <w:pPr>
        <w:spacing w:after="0" w:line="222" w:lineRule="exact"/>
        <w:rPr>
          <w:sz w:val="20"/>
          <w:szCs w:val="20"/>
          <w:color w:val="auto"/>
        </w:rPr>
      </w:pPr>
    </w:p>
    <w:p>
      <w:pPr>
        <w:sectPr>
          <w:pgSz w:w="11900" w:h="16838" w:orient="portrait"/>
          <w:cols w:equalWidth="0" w:num="2">
            <w:col w:w="3780" w:space="720"/>
            <w:col w:w="6920"/>
          </w:cols>
          <w:pgMar w:left="240" w:top="122" w:right="239" w:bottom="1440" w:gutter="0" w:footer="0" w:header="0"/>
          <w:type w:val="continuous"/>
        </w:sectPr>
      </w:pPr>
    </w:p>
    <w:p>
      <w:pPr>
        <w:spacing w:after="0" w:line="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Commission File Number 0-19034</w:t>
      </w:r>
    </w:p>
    <w:p>
      <w:pPr>
        <w:sectPr>
          <w:pgSz w:w="11900" w:h="16838" w:orient="portrait"/>
          <w:cols w:equalWidth="0" w:num="1">
            <w:col w:w="11420"/>
          </w:cols>
          <w:pgMar w:left="240" w:top="122"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REGENERON PHARMACEUTICALS, INC.</w:t>
      </w: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222"/>
        </w:trPr>
        <w:tc>
          <w:tcPr>
            <w:tcW w:w="6060" w:type="dxa"/>
            <w:vAlign w:val="bottom"/>
          </w:tcPr>
          <w:p>
            <w:pPr>
              <w:jc w:val="center"/>
              <w:ind w:left="2232"/>
              <w:spacing w:after="0"/>
              <w:rPr>
                <w:sz w:val="20"/>
                <w:szCs w:val="20"/>
                <w:color w:val="auto"/>
              </w:rPr>
            </w:pPr>
            <w:r>
              <w:rPr>
                <w:rFonts w:ascii="Arial" w:cs="Arial" w:eastAsia="Arial" w:hAnsi="Arial"/>
                <w:sz w:val="18"/>
                <w:szCs w:val="18"/>
                <w:color w:val="auto"/>
                <w:w w:val="88"/>
              </w:rPr>
              <w:t>(Exact name of registrant as specified in its charter)</w:t>
            </w:r>
          </w:p>
        </w:tc>
        <w:tc>
          <w:tcPr>
            <w:tcW w:w="2620" w:type="dxa"/>
            <w:vAlign w:val="bottom"/>
          </w:tcPr>
          <w:p>
            <w:pPr>
              <w:spacing w:after="0"/>
              <w:rPr>
                <w:sz w:val="19"/>
                <w:szCs w:val="19"/>
                <w:color w:val="auto"/>
              </w:rPr>
            </w:pPr>
          </w:p>
        </w:tc>
      </w:tr>
      <w:tr>
        <w:trPr>
          <w:trHeight w:val="453"/>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2"/>
              </w:rPr>
              <w:t>New York</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13-3444607</w:t>
            </w:r>
          </w:p>
        </w:tc>
      </w:tr>
      <w:tr>
        <w:trPr>
          <w:trHeight w:val="216"/>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0"/>
              </w:rPr>
              <w:t>(State or other jurisdiction of</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0"/>
              </w:rPr>
              <w:t>incorporation or organization)</w:t>
            </w:r>
          </w:p>
        </w:tc>
        <w:tc>
          <w:tcPr>
            <w:tcW w:w="2620" w:type="dxa"/>
            <w:vAlign w:val="bottom"/>
          </w:tcPr>
          <w:p>
            <w:pPr>
              <w:spacing w:after="0"/>
              <w:rPr>
                <w:sz w:val="19"/>
                <w:szCs w:val="19"/>
                <w:color w:val="auto"/>
              </w:rPr>
            </w:pPr>
          </w:p>
        </w:tc>
      </w:tr>
      <w:tr>
        <w:trPr>
          <w:trHeight w:val="426"/>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2"/>
              </w:rPr>
              <w:t>777 Old Saw Mill River Road</w:t>
            </w:r>
          </w:p>
        </w:tc>
        <w:tc>
          <w:tcPr>
            <w:tcW w:w="2620" w:type="dxa"/>
            <w:vAlign w:val="bottom"/>
          </w:tcPr>
          <w:p>
            <w:pPr>
              <w:spacing w:after="0"/>
              <w:rPr>
                <w:sz w:val="24"/>
                <w:szCs w:val="24"/>
                <w:color w:val="auto"/>
              </w:rPr>
            </w:pPr>
          </w:p>
        </w:tc>
      </w:tr>
      <w:tr>
        <w:trPr>
          <w:trHeight w:val="216"/>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0"/>
              </w:rPr>
              <w:t>Tarrytown, New York</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10591-6707</w:t>
            </w:r>
          </w:p>
        </w:tc>
      </w:tr>
      <w:tr>
        <w:trPr>
          <w:trHeight w:val="222"/>
        </w:trPr>
        <w:tc>
          <w:tcPr>
            <w:tcW w:w="6060" w:type="dxa"/>
            <w:vAlign w:val="bottom"/>
          </w:tcPr>
          <w:p>
            <w:pPr>
              <w:jc w:val="center"/>
              <w:ind w:right="3172"/>
              <w:spacing w:after="0"/>
              <w:rPr>
                <w:sz w:val="20"/>
                <w:szCs w:val="20"/>
                <w:color w:val="auto"/>
              </w:rPr>
            </w:pPr>
            <w:r>
              <w:rPr>
                <w:rFonts w:ascii="Arial" w:cs="Arial" w:eastAsia="Arial" w:hAnsi="Arial"/>
                <w:sz w:val="18"/>
                <w:szCs w:val="18"/>
                <w:color w:val="auto"/>
                <w:w w:val="90"/>
              </w:rPr>
              <w:t>(Address of principal executive offices)</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6060" w:type="dxa"/>
            <w:vAlign w:val="bottom"/>
          </w:tcPr>
          <w:p>
            <w:pPr>
              <w:jc w:val="right"/>
              <w:ind w:right="1232"/>
              <w:spacing w:after="0"/>
              <w:rPr>
                <w:sz w:val="20"/>
                <w:szCs w:val="20"/>
                <w:color w:val="auto"/>
              </w:rPr>
            </w:pPr>
            <w:r>
              <w:rPr>
                <w:rFonts w:ascii="Arial" w:cs="Arial" w:eastAsia="Arial" w:hAnsi="Arial"/>
                <w:sz w:val="18"/>
                <w:szCs w:val="18"/>
                <w:color w:val="auto"/>
              </w:rPr>
              <w:t>(914) 347-7000</w:t>
            </w:r>
          </w:p>
        </w:tc>
        <w:tc>
          <w:tcPr>
            <w:tcW w:w="2620" w:type="dxa"/>
            <w:vAlign w:val="bottom"/>
          </w:tcPr>
          <w:p>
            <w:pPr>
              <w:spacing w:after="0"/>
              <w:rPr>
                <w:sz w:val="24"/>
                <w:szCs w:val="24"/>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ind w:left="4080"/>
              <w:spacing w:after="0"/>
              <w:rPr>
                <w:sz w:val="20"/>
                <w:szCs w:val="20"/>
                <w:color w:val="auto"/>
              </w:rPr>
            </w:pPr>
            <w:r>
              <w:rPr>
                <w:rFonts w:ascii="Arial" w:cs="Arial" w:eastAsia="Arial" w:hAnsi="Arial"/>
                <w:sz w:val="18"/>
                <w:szCs w:val="18"/>
                <w:color w:val="auto"/>
              </w:rPr>
              <w:t>Yes</w:t>
            </w:r>
          </w:p>
        </w:tc>
        <w:tc>
          <w:tcPr>
            <w:tcW w:w="1420" w:type="dxa"/>
            <w:vAlign w:val="bottom"/>
          </w:tcPr>
          <w:p>
            <w:pPr>
              <w:ind w:left="220"/>
              <w:spacing w:after="0"/>
              <w:rPr>
                <w:sz w:val="20"/>
                <w:szCs w:val="20"/>
                <w:color w:val="auto"/>
              </w:rPr>
            </w:pPr>
            <w:r>
              <w:rPr>
                <w:rFonts w:ascii="Arial" w:cs="Arial" w:eastAsia="Arial" w:hAnsi="Arial"/>
                <w:sz w:val="18"/>
                <w:szCs w:val="18"/>
                <w:color w:val="auto"/>
              </w:rPr>
              <w:t>X</w:t>
            </w:r>
          </w:p>
        </w:tc>
        <w:tc>
          <w:tcPr>
            <w:tcW w:w="5240" w:type="dxa"/>
            <w:vAlign w:val="bottom"/>
            <w:gridSpan w:val="3"/>
          </w:tcPr>
          <w:p>
            <w:pPr>
              <w:jc w:val="right"/>
              <w:ind w:right="3892"/>
              <w:spacing w:after="0"/>
              <w:rPr>
                <w:sz w:val="20"/>
                <w:szCs w:val="20"/>
                <w:color w:val="auto"/>
              </w:rPr>
            </w:pPr>
            <w:r>
              <w:rPr>
                <w:rFonts w:ascii="Arial" w:cs="Arial" w:eastAsia="Arial" w:hAnsi="Arial"/>
                <w:sz w:val="18"/>
                <w:szCs w:val="18"/>
                <w:color w:val="auto"/>
              </w:rPr>
              <w:t>No</w:t>
            </w: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2002:</w:t>
            </w:r>
          </w:p>
        </w:tc>
      </w:tr>
      <w:tr>
        <w:trPr>
          <w:trHeight w:val="623"/>
        </w:trPr>
        <w:tc>
          <w:tcPr>
            <w:tcW w:w="4760" w:type="dxa"/>
            <w:vAlign w:val="bottom"/>
          </w:tcPr>
          <w:p>
            <w:pPr>
              <w:ind w:left="3200"/>
              <w:spacing w:after="0"/>
              <w:rPr>
                <w:sz w:val="20"/>
                <w:szCs w:val="20"/>
                <w:color w:val="auto"/>
              </w:rPr>
            </w:pPr>
            <w:r>
              <w:rPr>
                <w:rFonts w:ascii="Arial" w:cs="Arial" w:eastAsia="Arial" w:hAnsi="Arial"/>
                <w:sz w:val="14"/>
                <w:szCs w:val="14"/>
                <w:color w:val="auto"/>
              </w:rPr>
              <w:t>Class of Common Stock</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80" w:type="dxa"/>
            <w:vAlign w:val="bottom"/>
          </w:tcPr>
          <w:p>
            <w:pPr>
              <w:jc w:val="right"/>
              <w:ind w:right="1032"/>
              <w:spacing w:after="0"/>
              <w:rPr>
                <w:sz w:val="20"/>
                <w:szCs w:val="20"/>
                <w:color w:val="auto"/>
              </w:rPr>
            </w:pPr>
            <w:r>
              <w:rPr>
                <w:rFonts w:ascii="Arial" w:cs="Arial" w:eastAsia="Arial" w:hAnsi="Arial"/>
                <w:sz w:val="14"/>
                <w:szCs w:val="14"/>
                <w:color w:val="auto"/>
              </w:rPr>
              <w:t>Number of Shares</w:t>
            </w:r>
          </w:p>
        </w:tc>
      </w:tr>
      <w:tr>
        <w:trPr>
          <w:trHeight w:val="95"/>
        </w:trPr>
        <w:tc>
          <w:tcPr>
            <w:tcW w:w="47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180" w:type="dxa"/>
            <w:vAlign w:val="bottom"/>
            <w:tcBorders>
              <w:bottom w:val="single" w:sz="8" w:color="808080"/>
            </w:tcBorders>
          </w:tcPr>
          <w:p>
            <w:pPr>
              <w:spacing w:after="0"/>
              <w:rPr>
                <w:sz w:val="8"/>
                <w:szCs w:val="8"/>
                <w:color w:val="auto"/>
              </w:rPr>
            </w:pPr>
          </w:p>
        </w:tc>
      </w:tr>
      <w:tr>
        <w:trPr>
          <w:trHeight w:val="309"/>
        </w:trPr>
        <w:tc>
          <w:tcPr>
            <w:tcW w:w="4760" w:type="dxa"/>
            <w:vAlign w:val="bottom"/>
          </w:tcPr>
          <w:p>
            <w:pPr>
              <w:spacing w:after="0"/>
              <w:rPr>
                <w:sz w:val="20"/>
                <w:szCs w:val="20"/>
                <w:color w:val="auto"/>
              </w:rPr>
            </w:pPr>
            <w:r>
              <w:rPr>
                <w:rFonts w:ascii="Arial" w:cs="Arial" w:eastAsia="Arial" w:hAnsi="Arial"/>
                <w:sz w:val="18"/>
                <w:szCs w:val="18"/>
                <w:color w:val="auto"/>
              </w:rPr>
              <w:t>Class A Stock, $0.001 par value</w:t>
            </w:r>
          </w:p>
        </w:tc>
        <w:tc>
          <w:tcPr>
            <w:tcW w:w="1420" w:type="dxa"/>
            <w:vAlign w:val="bottom"/>
          </w:tcPr>
          <w:p>
            <w:pPr>
              <w:spacing w:after="0"/>
              <w:rPr>
                <w:sz w:val="24"/>
                <w:szCs w:val="24"/>
                <w:color w:val="auto"/>
              </w:rPr>
            </w:pPr>
          </w:p>
        </w:tc>
        <w:tc>
          <w:tcPr>
            <w:tcW w:w="5240" w:type="dxa"/>
            <w:vAlign w:val="bottom"/>
            <w:gridSpan w:val="3"/>
          </w:tcPr>
          <w:p>
            <w:pPr>
              <w:jc w:val="right"/>
              <w:ind w:right="1112"/>
              <w:spacing w:after="0"/>
              <w:rPr>
                <w:sz w:val="20"/>
                <w:szCs w:val="20"/>
                <w:color w:val="auto"/>
              </w:rPr>
            </w:pPr>
            <w:r>
              <w:rPr>
                <w:rFonts w:ascii="Arial" w:cs="Arial" w:eastAsia="Arial" w:hAnsi="Arial"/>
                <w:sz w:val="18"/>
                <w:szCs w:val="18"/>
                <w:color w:val="auto"/>
              </w:rPr>
              <w:t>2,500,581</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1420" w:type="dxa"/>
            <w:vAlign w:val="bottom"/>
          </w:tcPr>
          <w:p>
            <w:pPr>
              <w:spacing w:after="0"/>
              <w:rPr>
                <w:sz w:val="19"/>
                <w:szCs w:val="19"/>
                <w:color w:val="auto"/>
              </w:rPr>
            </w:pPr>
          </w:p>
        </w:tc>
        <w:tc>
          <w:tcPr>
            <w:tcW w:w="5240" w:type="dxa"/>
            <w:vAlign w:val="bottom"/>
            <w:gridSpan w:val="3"/>
          </w:tcPr>
          <w:p>
            <w:pPr>
              <w:jc w:val="right"/>
              <w:ind w:right="1112"/>
              <w:spacing w:after="0"/>
              <w:rPr>
                <w:sz w:val="20"/>
                <w:szCs w:val="20"/>
                <w:color w:val="auto"/>
              </w:rPr>
            </w:pPr>
            <w:r>
              <w:rPr>
                <w:rFonts w:ascii="Arial" w:cs="Arial" w:eastAsia="Arial" w:hAnsi="Arial"/>
                <w:sz w:val="18"/>
                <w:szCs w:val="18"/>
                <w:color w:val="auto"/>
              </w:rPr>
              <w:t>41,535,710</w:t>
            </w:r>
          </w:p>
        </w:tc>
      </w:tr>
      <w:tr>
        <w:trPr>
          <w:trHeight w:val="661"/>
        </w:trPr>
        <w:tc>
          <w:tcPr>
            <w:tcW w:w="47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320" w:right="369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CONDENSED BALANCE SHEETS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CONDENSED STATEMENTS OF OPERATIONS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CONDENSED STATEMENT OF STOCKHOLDERS’ EQUITY</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CONDENSED STATEMENTS OF CASH FLOWS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Notes to Condensed Financial Statements</w:t>
        </w:r>
      </w:hyperlink>
    </w:p>
    <w:p>
      <w:pPr>
        <w:spacing w:after="0" w:line="3" w:lineRule="exact"/>
        <w:rPr>
          <w:rFonts w:ascii="Arial" w:cs="Arial" w:eastAsia="Arial" w:hAnsi="Arial"/>
          <w:sz w:val="22"/>
          <w:szCs w:val="22"/>
          <w:u w:val="single" w:color="auto"/>
          <w:color w:val="0000EE"/>
        </w:rPr>
      </w:pPr>
    </w:p>
    <w:p>
      <w:pPr>
        <w:ind w:left="320" w:right="899"/>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3. Quantitative and Qualitative Disclosure About Market Risk.</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6. Exhibits and Reports on Form 8-K</w:t>
        </w:r>
      </w:hyperlink>
    </w:p>
    <w:p>
      <w:pPr>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Certifications</w:t>
        </w:r>
      </w:hyperlink>
    </w:p>
    <w:p>
      <w:pPr>
        <w:spacing w:after="0"/>
        <w:rPr>
          <w:sz w:val="20"/>
          <w:szCs w:val="20"/>
          <w:color w:val="auto"/>
        </w:rPr>
      </w:pPr>
      <w:r>
        <w:rPr>
          <w:rFonts w:ascii="Arial" w:cs="Arial" w:eastAsia="Arial" w:hAnsi="Arial"/>
          <w:sz w:val="22"/>
          <w:szCs w:val="22"/>
          <w:u w:val="single" w:color="auto"/>
          <w:color w:val="0000EE"/>
        </w:rPr>
        <w:t>EX-99.1: CERTIFICATION OF CEO AND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9"/>
              </w:rPr>
              <w:t>Page Numbers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20" w:type="dxa"/>
            <w:vAlign w:val="bottom"/>
            <w:gridSpan w:val="2"/>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9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 FINANCIAL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Condensed balance sheets (unaudited) at September 30, 2002 and December 31, 2001</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9"/>
              </w:rPr>
              <w:t>Condensed statements of operations (unaudited) for the three months and nine months ended September 30, 2002 and 2001</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Condensed statement of stockholders’ equity (unaudited) for the nine months ended September 30, 2002</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Condensed statements of cash flows (unaudited) for the nine months ended September 30, 2002 and 2001</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Notes to condensed financial statements</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Item 2</w:t>
            </w:r>
          </w:p>
        </w:tc>
        <w:tc>
          <w:tcPr>
            <w:tcW w:w="996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3</w:t>
            </w:r>
          </w:p>
        </w:tc>
        <w:tc>
          <w:tcPr>
            <w:tcW w:w="9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Quantitative &amp; Qualitative Disclosure About Market Risk</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Item 4</w:t>
            </w:r>
          </w:p>
        </w:tc>
        <w:tc>
          <w:tcPr>
            <w:tcW w:w="996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II OTHER INFORMATION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7"/>
              </w:rPr>
              <w:t>Item 6</w:t>
            </w:r>
          </w:p>
        </w:tc>
        <w:tc>
          <w:tcPr>
            <w:tcW w:w="9960" w:type="dxa"/>
            <w:vAlign w:val="bottom"/>
          </w:tcPr>
          <w:p>
            <w:pPr>
              <w:ind w:left="20"/>
              <w:spacing w:after="0"/>
              <w:rPr>
                <w:sz w:val="20"/>
                <w:szCs w:val="20"/>
                <w:color w:val="auto"/>
              </w:rPr>
            </w:pPr>
            <w:r>
              <w:rPr>
                <w:rFonts w:ascii="Arial" w:cs="Arial" w:eastAsia="Arial" w:hAnsi="Arial"/>
                <w:sz w:val="18"/>
                <w:szCs w:val="18"/>
                <w:color w:val="auto"/>
              </w:rPr>
              <w:t>Exhibits and Reports on Form 8-K</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SIGNATURE PAGE</w:t>
            </w:r>
          </w:p>
        </w:tc>
        <w:tc>
          <w:tcPr>
            <w:tcW w:w="9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CERTIFICATIONS</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60" w:type="dxa"/>
            <w:vAlign w:val="bottom"/>
          </w:tcPr>
          <w:p>
            <w:pPr>
              <w:ind w:left="520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2002 AND DECEMBER 31, 2001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44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8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r>
      <w:tr>
        <w:trPr>
          <w:trHeight w:val="109"/>
        </w:trPr>
        <w:tc>
          <w:tcPr>
            <w:tcW w:w="81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102"/>
        </w:trPr>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40" w:type="dxa"/>
            <w:vAlign w:val="bottom"/>
            <w:shd w:val="clear" w:color="auto" w:fill="EEEEEE"/>
          </w:tcPr>
          <w:p>
            <w:pPr>
              <w:ind w:left="12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75,574</w:t>
            </w:r>
          </w:p>
        </w:tc>
        <w:tc>
          <w:tcPr>
            <w:tcW w:w="44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247,393</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207,976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126,796</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Restricted marketable securities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16,341</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10,890</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Receivable due from The Procter &amp; Gamble Company</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2,665</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Receivable due from Merck &amp; Co., Inc.</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1,886</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Receivable due from Amgen-Regeneron Partners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3,259</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2,159</w:t>
            </w:r>
          </w:p>
        </w:tc>
        <w:tc>
          <w:tcPr>
            <w:tcW w:w="400" w:type="dxa"/>
            <w:vAlign w:val="bottom"/>
            <w:shd w:val="clear" w:color="auto" w:fill="EEEEEE"/>
          </w:tcPr>
          <w:p>
            <w:pPr>
              <w:spacing w:after="0"/>
              <w:rPr>
                <w:sz w:val="18"/>
                <w:szCs w:val="18"/>
                <w:color w:val="auto"/>
              </w:rPr>
            </w:pPr>
          </w:p>
        </w:tc>
      </w:tr>
      <w:tr>
        <w:trPr>
          <w:trHeight w:val="222"/>
        </w:trPr>
        <w:tc>
          <w:tcPr>
            <w:tcW w:w="8140" w:type="dxa"/>
            <w:vAlign w:val="bottom"/>
          </w:tcPr>
          <w:p>
            <w:pPr>
              <w:ind w:left="30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3,973</w:t>
            </w:r>
          </w:p>
        </w:tc>
        <w:tc>
          <w:tcPr>
            <w:tcW w:w="400" w:type="dxa"/>
            <w:vAlign w:val="bottom"/>
          </w:tcPr>
          <w:p>
            <w:pPr>
              <w:spacing w:after="0"/>
              <w:rPr>
                <w:sz w:val="19"/>
                <w:szCs w:val="19"/>
                <w:color w:val="auto"/>
              </w:rPr>
            </w:pPr>
          </w:p>
        </w:tc>
      </w:tr>
      <w:tr>
        <w:trPr>
          <w:trHeight w:val="102"/>
        </w:trPr>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313,823</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394,186</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30,987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32,420</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Restricted marketable securities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10,496</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20,884</w:t>
            </w:r>
          </w:p>
        </w:tc>
        <w:tc>
          <w:tcPr>
            <w:tcW w:w="400" w:type="dxa"/>
            <w:vAlign w:val="bottom"/>
            <w:shd w:val="clear" w:color="auto" w:fill="EEEEEE"/>
          </w:tcPr>
          <w:p>
            <w:pPr>
              <w:spacing w:after="0"/>
              <w:rPr>
                <w:sz w:val="18"/>
                <w:szCs w:val="18"/>
                <w:color w:val="auto"/>
              </w:rPr>
            </w:pPr>
          </w:p>
        </w:tc>
      </w:tr>
      <w:tr>
        <w:trPr>
          <w:trHeight w:val="208"/>
        </w:trPr>
        <w:tc>
          <w:tcPr>
            <w:tcW w:w="814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2"/>
        </w:trPr>
        <w:tc>
          <w:tcPr>
            <w:tcW w:w="81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56,138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39,448</w:t>
            </w:r>
          </w:p>
        </w:tc>
        <w:tc>
          <w:tcPr>
            <w:tcW w:w="400" w:type="dxa"/>
            <w:vAlign w:val="bottom"/>
          </w:tcPr>
          <w:p>
            <w:pPr>
              <w:spacing w:after="0"/>
              <w:rPr>
                <w:sz w:val="19"/>
                <w:szCs w:val="19"/>
                <w:color w:val="auto"/>
              </w:rPr>
            </w:pPr>
          </w:p>
        </w:tc>
      </w:tr>
      <w:tr>
        <w:trPr>
          <w:trHeight w:val="218"/>
        </w:trPr>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7,148</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8,459</w:t>
            </w:r>
          </w:p>
        </w:tc>
        <w:tc>
          <w:tcPr>
            <w:tcW w:w="400" w:type="dxa"/>
            <w:vAlign w:val="bottom"/>
            <w:shd w:val="clear" w:color="auto" w:fill="EEEEEE"/>
          </w:tcPr>
          <w:p>
            <w:pPr>
              <w:spacing w:after="0"/>
              <w:rPr>
                <w:sz w:val="18"/>
                <w:szCs w:val="18"/>
                <w:color w:val="auto"/>
              </w:rPr>
            </w:pPr>
          </w:p>
        </w:tc>
      </w:tr>
      <w:tr>
        <w:trPr>
          <w:trHeight w:val="108"/>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1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418,592</w:t>
            </w:r>
          </w:p>
        </w:tc>
        <w:tc>
          <w:tcPr>
            <w:tcW w:w="440" w:type="dxa"/>
            <w:vAlign w:val="bottom"/>
          </w:tcPr>
          <w:p>
            <w:pPr>
              <w:spacing w:after="0"/>
              <w:rPr>
                <w:sz w:val="24"/>
                <w:szCs w:val="24"/>
                <w:color w:val="auto"/>
              </w:rPr>
            </w:pPr>
          </w:p>
        </w:tc>
        <w:tc>
          <w:tcPr>
            <w:tcW w:w="74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400" w:type="dxa"/>
            <w:vAlign w:val="bottom"/>
          </w:tcPr>
          <w:p>
            <w:pPr>
              <w:spacing w:after="0"/>
              <w:rPr>
                <w:sz w:val="24"/>
                <w:szCs w:val="24"/>
                <w:color w:val="auto"/>
              </w:rPr>
            </w:pPr>
          </w:p>
        </w:tc>
      </w:tr>
      <w:tr>
        <w:trPr>
          <w:trHeight w:val="107"/>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8140" w:type="dxa"/>
            <w:vAlign w:val="bottom"/>
            <w:shd w:val="clear" w:color="auto" w:fill="EEEEEE"/>
          </w:tcPr>
          <w:p>
            <w:pPr>
              <w:ind w:left="12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24,376</w:t>
            </w:r>
          </w:p>
        </w:tc>
        <w:tc>
          <w:tcPr>
            <w:tcW w:w="44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14,830</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Deferred revenue, current portion</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6,766</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Capital lease obligations, current portion</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w:t>
            </w:r>
          </w:p>
        </w:tc>
        <w:tc>
          <w:tcPr>
            <w:tcW w:w="400" w:type="dxa"/>
            <w:vAlign w:val="bottom"/>
            <w:shd w:val="clear" w:color="auto" w:fill="EEEEEE"/>
          </w:tcPr>
          <w:p>
            <w:pPr>
              <w:spacing w:after="0"/>
              <w:rPr>
                <w:sz w:val="18"/>
                <w:szCs w:val="18"/>
                <w:color w:val="auto"/>
              </w:rPr>
            </w:pPr>
          </w:p>
        </w:tc>
      </w:tr>
      <w:tr>
        <w:trPr>
          <w:trHeight w:val="108"/>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1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32,654</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22,022</w:t>
            </w:r>
          </w:p>
        </w:tc>
        <w:tc>
          <w:tcPr>
            <w:tcW w:w="400" w:type="dxa"/>
            <w:vAlign w:val="bottom"/>
          </w:tcPr>
          <w:p>
            <w:pPr>
              <w:spacing w:after="0"/>
              <w:rPr>
                <w:sz w:val="24"/>
                <w:szCs w:val="24"/>
                <w:color w:val="auto"/>
              </w:rPr>
            </w:pPr>
          </w:p>
        </w:tc>
      </w:tr>
      <w:tr>
        <w:trPr>
          <w:trHeight w:val="218"/>
        </w:trPr>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5,150</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6,870</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200,000</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200,000</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08"/>
        </w:trPr>
        <w:tc>
          <w:tcPr>
            <w:tcW w:w="8140" w:type="dxa"/>
            <w:vAlign w:val="bottom"/>
          </w:tcPr>
          <w:p>
            <w:pPr>
              <w:ind w:left="300"/>
              <w:spacing w:after="0"/>
              <w:rPr>
                <w:sz w:val="20"/>
                <w:szCs w:val="20"/>
                <w:color w:val="auto"/>
              </w:rPr>
            </w:pPr>
            <w:r>
              <w:rPr>
                <w:rFonts w:ascii="Arial" w:cs="Arial" w:eastAsia="Arial" w:hAnsi="Arial"/>
                <w:sz w:val="18"/>
                <w:szCs w:val="18"/>
                <w:color w:val="auto"/>
              </w:rPr>
              <w:t>Preferred stock, $.01 par value; 30,000,000 shares authorized; issued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8140" w:type="dxa"/>
            <w:vAlign w:val="bottom"/>
          </w:tcPr>
          <w:p>
            <w:pPr>
              <w:ind w:left="440"/>
              <w:spacing w:after="0"/>
              <w:rPr>
                <w:sz w:val="20"/>
                <w:szCs w:val="20"/>
                <w:color w:val="auto"/>
              </w:rPr>
            </w:pPr>
            <w:r>
              <w:rPr>
                <w:rFonts w:ascii="Arial" w:cs="Arial" w:eastAsia="Arial" w:hAnsi="Arial"/>
                <w:sz w:val="18"/>
                <w:szCs w:val="18"/>
                <w:color w:val="auto"/>
              </w:rPr>
              <w:t>and outstanding — none</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9"/>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81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2,500,581 shares issued and outstanding in 2002</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4"/>
        </w:trPr>
        <w:tc>
          <w:tcPr>
            <w:tcW w:w="81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2,562,689 shares issued and outstanding in 2001</w:t>
            </w:r>
          </w:p>
        </w:tc>
        <w:tc>
          <w:tcPr>
            <w:tcW w:w="440" w:type="dxa"/>
            <w:vAlign w:val="bottom"/>
            <w:shd w:val="clear" w:color="auto" w:fill="EEEEEE"/>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EEEEEE"/>
          </w:tcPr>
          <w:p>
            <w:pPr>
              <w:spacing w:after="0"/>
              <w:rPr>
                <w:sz w:val="19"/>
                <w:szCs w:val="19"/>
                <w:color w:val="auto"/>
              </w:rPr>
            </w:pPr>
          </w:p>
        </w:tc>
      </w:tr>
      <w:tr>
        <w:trPr>
          <w:trHeight w:val="208"/>
        </w:trPr>
        <w:tc>
          <w:tcPr>
            <w:tcW w:w="8140" w:type="dxa"/>
            <w:vAlign w:val="bottom"/>
          </w:tcPr>
          <w:p>
            <w:pPr>
              <w:ind w:left="300"/>
              <w:spacing w:after="0"/>
              <w:rPr>
                <w:sz w:val="20"/>
                <w:szCs w:val="20"/>
                <w:color w:val="auto"/>
              </w:rPr>
            </w:pPr>
            <w:r>
              <w:rPr>
                <w:rFonts w:ascii="Arial" w:cs="Arial" w:eastAsia="Arial" w:hAnsi="Arial"/>
                <w:sz w:val="18"/>
                <w:szCs w:val="18"/>
                <w:color w:val="auto"/>
              </w:rPr>
              <w:t>Common Stock, $.001 par value; 160,000,000 shares authorized;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140" w:type="dxa"/>
            <w:vAlign w:val="bottom"/>
          </w:tcPr>
          <w:p>
            <w:pPr>
              <w:ind w:left="440"/>
              <w:spacing w:after="0"/>
              <w:rPr>
                <w:sz w:val="20"/>
                <w:szCs w:val="20"/>
                <w:color w:val="auto"/>
              </w:rPr>
            </w:pPr>
            <w:r>
              <w:rPr>
                <w:rFonts w:ascii="Arial" w:cs="Arial" w:eastAsia="Arial" w:hAnsi="Arial"/>
                <w:sz w:val="18"/>
                <w:szCs w:val="18"/>
                <w:color w:val="auto"/>
              </w:rPr>
              <w:t>41,526,657 shares issued and outstanding in 2002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8140" w:type="dxa"/>
            <w:vAlign w:val="bottom"/>
          </w:tcPr>
          <w:p>
            <w:pPr>
              <w:ind w:left="440"/>
              <w:spacing w:after="0"/>
              <w:rPr>
                <w:sz w:val="20"/>
                <w:szCs w:val="20"/>
                <w:color w:val="auto"/>
              </w:rPr>
            </w:pPr>
            <w:r>
              <w:rPr>
                <w:rFonts w:ascii="Arial" w:cs="Arial" w:eastAsia="Arial" w:hAnsi="Arial"/>
                <w:sz w:val="18"/>
                <w:szCs w:val="18"/>
                <w:color w:val="auto"/>
              </w:rPr>
              <w:t>41,264,280 shares issued and outstanding in 2001</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r>
      <w:tr>
        <w:trPr>
          <w:trHeight w:val="217"/>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569,917</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567,624</w:t>
            </w:r>
          </w:p>
        </w:tc>
        <w:tc>
          <w:tcPr>
            <w:tcW w:w="400" w:type="dxa"/>
            <w:vAlign w:val="bottom"/>
            <w:shd w:val="clear" w:color="auto" w:fill="EEEEEE"/>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Unearned compensation</w:t>
            </w:r>
          </w:p>
        </w:tc>
        <w:tc>
          <w:tcPr>
            <w:tcW w:w="4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(1,516)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(2,789)</w:t>
            </w:r>
          </w:p>
        </w:tc>
      </w:tr>
      <w:tr>
        <w:trPr>
          <w:trHeight w:val="216"/>
        </w:trPr>
        <w:tc>
          <w:tcPr>
            <w:tcW w:w="81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(388,382)</w:t>
            </w: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5"/>
              </w:rPr>
              <w:t>(299,698)</w:t>
            </w:r>
          </w:p>
        </w:tc>
      </w:tr>
      <w:tr>
        <w:trPr>
          <w:trHeight w:val="222"/>
        </w:trPr>
        <w:tc>
          <w:tcPr>
            <w:tcW w:w="814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400" w:type="dxa"/>
            <w:vAlign w:val="bottom"/>
          </w:tcPr>
          <w:p>
            <w:pPr>
              <w:spacing w:after="0"/>
              <w:rPr>
                <w:sz w:val="19"/>
                <w:szCs w:val="19"/>
                <w:color w:val="auto"/>
              </w:rPr>
            </w:pPr>
          </w:p>
        </w:tc>
      </w:tr>
      <w:tr>
        <w:trPr>
          <w:trHeight w:val="102"/>
        </w:trPr>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8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81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180,788</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266,355</w:t>
            </w:r>
          </w:p>
        </w:tc>
        <w:tc>
          <w:tcPr>
            <w:tcW w:w="400" w:type="dxa"/>
            <w:vAlign w:val="bottom"/>
            <w:shd w:val="clear" w:color="auto" w:fill="EEEEEE"/>
          </w:tcPr>
          <w:p>
            <w:pPr>
              <w:spacing w:after="0"/>
              <w:rPr>
                <w:sz w:val="18"/>
                <w:szCs w:val="18"/>
                <w:color w:val="auto"/>
              </w:rPr>
            </w:pPr>
          </w:p>
        </w:tc>
      </w:tr>
      <w:tr>
        <w:trPr>
          <w:trHeight w:val="108"/>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814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418,592</w:t>
            </w:r>
          </w:p>
        </w:tc>
        <w:tc>
          <w:tcPr>
            <w:tcW w:w="440" w:type="dxa"/>
            <w:vAlign w:val="bottom"/>
          </w:tcPr>
          <w:p>
            <w:pPr>
              <w:spacing w:after="0"/>
              <w:rPr>
                <w:sz w:val="24"/>
                <w:szCs w:val="24"/>
                <w:color w:val="auto"/>
              </w:rPr>
            </w:pPr>
          </w:p>
        </w:tc>
        <w:tc>
          <w:tcPr>
            <w:tcW w:w="74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495,397</w:t>
            </w:r>
          </w:p>
        </w:tc>
        <w:tc>
          <w:tcPr>
            <w:tcW w:w="400" w:type="dxa"/>
            <w:vAlign w:val="bottom"/>
          </w:tcPr>
          <w:p>
            <w:pPr>
              <w:spacing w:after="0"/>
              <w:rPr>
                <w:sz w:val="24"/>
                <w:szCs w:val="24"/>
                <w:color w:val="auto"/>
              </w:rPr>
            </w:pPr>
          </w:p>
        </w:tc>
      </w:tr>
      <w:tr>
        <w:trPr>
          <w:trHeight w:val="107"/>
        </w:trPr>
        <w:tc>
          <w:tcPr>
            <w:tcW w:w="8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8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13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Contract research and development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2,780</w:t>
            </w:r>
          </w:p>
        </w:tc>
        <w:tc>
          <w:tcPr>
            <w:tcW w:w="4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2,819</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8,215</w:t>
            </w:r>
          </w:p>
        </w:tc>
        <w:tc>
          <w:tcPr>
            <w:tcW w:w="4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   9,351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3,786</w:t>
            </w:r>
          </w:p>
        </w:tc>
        <w:tc>
          <w:tcPr>
            <w:tcW w:w="4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2,661</w:t>
            </w:r>
          </w:p>
        </w:tc>
        <w:tc>
          <w:tcPr>
            <w:tcW w:w="4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8,861</w:t>
            </w:r>
          </w:p>
        </w:tc>
        <w:tc>
          <w:tcPr>
            <w:tcW w:w="44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6,566</w:t>
            </w:r>
          </w:p>
        </w:tc>
        <w:tc>
          <w:tcPr>
            <w:tcW w:w="4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5,480</w:t>
            </w:r>
          </w:p>
        </w:tc>
        <w:tc>
          <w:tcPr>
            <w:tcW w:w="4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17,076</w:t>
            </w:r>
          </w:p>
        </w:tc>
        <w:tc>
          <w:tcPr>
            <w:tcW w:w="440" w:type="dxa"/>
            <w:vAlign w:val="bottom"/>
          </w:tcPr>
          <w:p>
            <w:pPr>
              <w:spacing w:after="0"/>
              <w:rPr>
                <w:sz w:val="24"/>
                <w:szCs w:val="2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17,572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34,294</w:t>
            </w:r>
          </w:p>
        </w:tc>
        <w:tc>
          <w:tcPr>
            <w:tcW w:w="4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25,039</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90,471</w:t>
            </w:r>
          </w:p>
        </w:tc>
        <w:tc>
          <w:tcPr>
            <w:tcW w:w="4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61,440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Contract manufacturing</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1,637</w:t>
            </w:r>
          </w:p>
        </w:tc>
        <w:tc>
          <w:tcPr>
            <w:tcW w:w="4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1,274</w:t>
            </w:r>
          </w:p>
        </w:tc>
        <w:tc>
          <w:tcPr>
            <w:tcW w:w="4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4,757</w:t>
            </w:r>
          </w:p>
        </w:tc>
        <w:tc>
          <w:tcPr>
            <w:tcW w:w="44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2,811</w:t>
            </w:r>
          </w:p>
        </w:tc>
        <w:tc>
          <w:tcPr>
            <w:tcW w:w="4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2,461</w:t>
            </w:r>
          </w:p>
        </w:tc>
        <w:tc>
          <w:tcPr>
            <w:tcW w:w="4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9,167</w:t>
            </w:r>
          </w:p>
        </w:tc>
        <w:tc>
          <w:tcPr>
            <w:tcW w:w="44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6,875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38,742</w:t>
            </w:r>
          </w:p>
        </w:tc>
        <w:tc>
          <w:tcPr>
            <w:tcW w:w="4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28,774</w:t>
            </w:r>
          </w:p>
        </w:tc>
        <w:tc>
          <w:tcPr>
            <w:tcW w:w="4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104,395</w:t>
            </w:r>
          </w:p>
        </w:tc>
        <w:tc>
          <w:tcPr>
            <w:tcW w:w="44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73,662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(32,176)</w:t>
            </w:r>
          </w:p>
        </w:tc>
        <w:tc>
          <w:tcPr>
            <w:tcW w:w="1820" w:type="dxa"/>
            <w:vAlign w:val="bottom"/>
            <w:gridSpan w:val="4"/>
          </w:tcPr>
          <w:p>
            <w:pPr>
              <w:jc w:val="right"/>
              <w:ind w:right="360"/>
              <w:spacing w:after="0"/>
              <w:rPr>
                <w:sz w:val="20"/>
                <w:szCs w:val="20"/>
                <w:color w:val="auto"/>
              </w:rPr>
            </w:pPr>
            <w:r>
              <w:rPr>
                <w:rFonts w:ascii="Arial" w:cs="Arial" w:eastAsia="Arial" w:hAnsi="Arial"/>
                <w:sz w:val="18"/>
                <w:szCs w:val="18"/>
                <w:color w:val="auto"/>
              </w:rPr>
              <w:t>(23,294)</w:t>
            </w:r>
          </w:p>
        </w:tc>
        <w:tc>
          <w:tcPr>
            <w:tcW w:w="1740" w:type="dxa"/>
            <w:vAlign w:val="bottom"/>
            <w:gridSpan w:val="4"/>
          </w:tcPr>
          <w:p>
            <w:pPr>
              <w:jc w:val="right"/>
              <w:ind w:right="380"/>
              <w:spacing w:after="0"/>
              <w:rPr>
                <w:sz w:val="20"/>
                <w:szCs w:val="20"/>
                <w:color w:val="auto"/>
              </w:rPr>
            </w:pPr>
            <w:r>
              <w:rPr>
                <w:rFonts w:ascii="Arial" w:cs="Arial" w:eastAsia="Arial" w:hAnsi="Arial"/>
                <w:sz w:val="18"/>
                <w:szCs w:val="18"/>
                <w:color w:val="auto"/>
              </w:rPr>
              <w:t>(87,319)</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(56,090)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Other income, net</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2,378</w:t>
            </w:r>
          </w:p>
        </w:tc>
        <w:tc>
          <w:tcPr>
            <w:tcW w:w="4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3,162</w:t>
            </w: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7,703</w:t>
            </w:r>
          </w:p>
        </w:tc>
        <w:tc>
          <w:tcPr>
            <w:tcW w:w="4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9,474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(Loss in) earnings from Amgen-Regeneron Partners</w:t>
            </w:r>
          </w:p>
        </w:tc>
        <w:tc>
          <w:tcPr>
            <w:tcW w:w="15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(3,017)</w:t>
            </w:r>
          </w:p>
        </w:tc>
        <w:tc>
          <w:tcPr>
            <w:tcW w:w="1820" w:type="dxa"/>
            <w:vAlign w:val="bottom"/>
            <w:gridSpan w:val="4"/>
          </w:tcPr>
          <w:p>
            <w:pPr>
              <w:jc w:val="right"/>
              <w:ind w:right="360"/>
              <w:spacing w:after="0"/>
              <w:rPr>
                <w:sz w:val="20"/>
                <w:szCs w:val="20"/>
                <w:color w:val="auto"/>
              </w:rPr>
            </w:pPr>
            <w:r>
              <w:rPr>
                <w:rFonts w:ascii="Arial" w:cs="Arial" w:eastAsia="Arial" w:hAnsi="Arial"/>
                <w:sz w:val="18"/>
                <w:szCs w:val="18"/>
                <w:color w:val="auto"/>
              </w:rPr>
              <w:t>(40)</w:t>
            </w:r>
          </w:p>
        </w:tc>
        <w:tc>
          <w:tcPr>
            <w:tcW w:w="1740" w:type="dxa"/>
            <w:vAlign w:val="bottom"/>
            <w:gridSpan w:val="4"/>
          </w:tcPr>
          <w:p>
            <w:pPr>
              <w:jc w:val="right"/>
              <w:ind w:right="380"/>
              <w:spacing w:after="0"/>
              <w:rPr>
                <w:sz w:val="20"/>
                <w:szCs w:val="20"/>
                <w:color w:val="auto"/>
              </w:rPr>
            </w:pPr>
            <w:r>
              <w:rPr>
                <w:rFonts w:ascii="Arial" w:cs="Arial" w:eastAsia="Arial" w:hAnsi="Arial"/>
                <w:sz w:val="18"/>
                <w:szCs w:val="18"/>
                <w:color w:val="auto"/>
              </w:rPr>
              <w:t>(9,066)</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(640)</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3,363</w:t>
            </w:r>
          </w:p>
        </w:tc>
        <w:tc>
          <w:tcPr>
            <w:tcW w:w="42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(1,365)</w:t>
            </w:r>
          </w:p>
        </w:tc>
        <w:tc>
          <w:tcPr>
            <w:tcW w:w="14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8,288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($32,816)</w:t>
            </w:r>
          </w:p>
        </w:tc>
        <w:tc>
          <w:tcPr>
            <w:tcW w:w="1820" w:type="dxa"/>
            <w:vAlign w:val="bottom"/>
            <w:gridSpan w:val="4"/>
          </w:tcPr>
          <w:p>
            <w:pPr>
              <w:jc w:val="right"/>
              <w:ind w:right="360"/>
              <w:spacing w:after="0"/>
              <w:rPr>
                <w:sz w:val="20"/>
                <w:szCs w:val="20"/>
                <w:color w:val="auto"/>
              </w:rPr>
            </w:pPr>
            <w:r>
              <w:rPr>
                <w:rFonts w:ascii="Arial" w:cs="Arial" w:eastAsia="Arial" w:hAnsi="Arial"/>
                <w:sz w:val="18"/>
                <w:szCs w:val="18"/>
                <w:color w:val="auto"/>
              </w:rPr>
              <w:t>($19,931)</w:t>
            </w:r>
          </w:p>
        </w:tc>
        <w:tc>
          <w:tcPr>
            <w:tcW w:w="1740" w:type="dxa"/>
            <w:vAlign w:val="bottom"/>
            <w:gridSpan w:val="4"/>
          </w:tcPr>
          <w:p>
            <w:pPr>
              <w:jc w:val="right"/>
              <w:ind w:right="380"/>
              <w:spacing w:after="0"/>
              <w:rPr>
                <w:sz w:val="20"/>
                <w:szCs w:val="20"/>
                <w:color w:val="auto"/>
              </w:rPr>
            </w:pPr>
            <w:r>
              <w:rPr>
                <w:rFonts w:ascii="Arial" w:cs="Arial" w:eastAsia="Arial" w:hAnsi="Arial"/>
                <w:sz w:val="18"/>
                <w:szCs w:val="18"/>
                <w:color w:val="auto"/>
              </w:rPr>
              <w:t>($88,684)</w:t>
            </w:r>
          </w:p>
        </w:tc>
        <w:tc>
          <w:tcPr>
            <w:tcW w:w="1820" w:type="dxa"/>
            <w:vAlign w:val="bottom"/>
            <w:gridSpan w:val="4"/>
          </w:tcPr>
          <w:p>
            <w:pPr>
              <w:jc w:val="right"/>
              <w:ind w:right="380"/>
              <w:spacing w:after="0"/>
              <w:rPr>
                <w:sz w:val="20"/>
                <w:szCs w:val="20"/>
                <w:color w:val="auto"/>
              </w:rPr>
            </w:pPr>
            <w:r>
              <w:rPr>
                <w:rFonts w:ascii="Arial" w:cs="Arial" w:eastAsia="Arial" w:hAnsi="Arial"/>
                <w:sz w:val="18"/>
                <w:szCs w:val="18"/>
                <w:color w:val="auto"/>
              </w:rPr>
              <w:t>($47,802)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amounts, basic and diluted</w:t>
            </w:r>
          </w:p>
        </w:tc>
        <w:tc>
          <w:tcPr>
            <w:tcW w:w="15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($0.75)</w:t>
            </w:r>
          </w:p>
        </w:tc>
        <w:tc>
          <w:tcPr>
            <w:tcW w:w="18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($0.46)</w:t>
            </w:r>
          </w:p>
        </w:tc>
        <w:tc>
          <w:tcPr>
            <w:tcW w:w="17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($2.02)</w:t>
            </w:r>
          </w:p>
        </w:tc>
        <w:tc>
          <w:tcPr>
            <w:tcW w:w="18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Class A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11"/>
          </w:tcPr>
          <w:p>
            <w:pPr>
              <w:jc w:val="right"/>
              <w:ind w:right="840"/>
              <w:spacing w:after="0" w:line="149"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Paid-in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76"/>
              </w:rPr>
              <w:t>Shares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2001</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60" w:type="dxa"/>
            <w:vAlign w:val="bottom"/>
            <w:tcBorders>
              <w:right w:val="single" w:sz="8" w:color="EEEEEE"/>
            </w:tcBorders>
            <w:gridSpan w:val="6"/>
            <w:shd w:val="clear" w:color="auto" w:fill="EEEEEE"/>
          </w:tcPr>
          <w:p>
            <w:pPr>
              <w:jc w:val="right"/>
              <w:spacing w:after="0" w:line="149" w:lineRule="exact"/>
              <w:rPr>
                <w:sz w:val="20"/>
                <w:szCs w:val="20"/>
                <w:color w:val="auto"/>
              </w:rPr>
            </w:pPr>
            <w:r>
              <w:rPr>
                <w:rFonts w:ascii="Arial" w:cs="Arial" w:eastAsia="Arial" w:hAnsi="Arial"/>
                <w:sz w:val="14"/>
                <w:szCs w:val="14"/>
                <w:color w:val="auto"/>
              </w:rPr>
              <w:t>2,563</w:t>
            </w: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3</w:t>
            </w: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41,264</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5"/>
            <w:shd w:val="clear" w:color="auto" w:fill="EEEEEE"/>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60" w:type="dxa"/>
            <w:vAlign w:val="bottom"/>
            <w:gridSpan w:val="5"/>
            <w:shd w:val="clear" w:color="auto" w:fill="EEEEEE"/>
          </w:tcPr>
          <w:p>
            <w:pPr>
              <w:jc w:val="right"/>
              <w:spacing w:after="0" w:line="149" w:lineRule="exact"/>
              <w:rPr>
                <w:sz w:val="20"/>
                <w:szCs w:val="20"/>
                <w:color w:val="auto"/>
              </w:rPr>
            </w:pPr>
            <w:r>
              <w:rPr>
                <w:rFonts w:ascii="Arial" w:cs="Arial" w:eastAsia="Arial" w:hAnsi="Arial"/>
                <w:sz w:val="14"/>
                <w:szCs w:val="14"/>
                <w:color w:val="auto"/>
              </w:rPr>
              <w:t>$567,624</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w w:val="87"/>
              </w:rPr>
              <w:t>Issuance of Common Stock in connection with exercise of stock options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1,467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89"/>
              </w:rPr>
              <w:t>Issuance of restricted Common Stock under Long-Term Incentive Plan</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60" w:type="dxa"/>
            <w:vAlign w:val="bottom"/>
            <w:gridSpan w:val="5"/>
            <w:shd w:val="clear" w:color="auto" w:fill="EEEEEE"/>
          </w:tcPr>
          <w:p>
            <w:pPr>
              <w:jc w:val="right"/>
              <w:spacing w:after="0" w:line="149" w:lineRule="exact"/>
              <w:rPr>
                <w:sz w:val="20"/>
                <w:szCs w:val="20"/>
                <w:color w:val="auto"/>
              </w:rPr>
            </w:pPr>
            <w:r>
              <w:rPr>
                <w:rFonts w:ascii="Arial" w:cs="Arial" w:eastAsia="Arial" w:hAnsi="Arial"/>
                <w:sz w:val="14"/>
                <w:szCs w:val="14"/>
                <w:color w:val="auto"/>
              </w:rPr>
              <w:t>59</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4"/>
          </w:tcPr>
          <w:p>
            <w:pPr>
              <w:spacing w:after="0" w:line="149" w:lineRule="exact"/>
              <w:rPr>
                <w:sz w:val="20"/>
                <w:szCs w:val="20"/>
                <w:color w:val="auto"/>
              </w:rPr>
            </w:pPr>
            <w:r>
              <w:rPr>
                <w:rFonts w:ascii="Arial" w:cs="Arial" w:eastAsia="Arial" w:hAnsi="Arial"/>
                <w:sz w:val="14"/>
                <w:szCs w:val="14"/>
                <w:color w:val="auto"/>
                <w:w w:val="89"/>
              </w:rPr>
              <w:t>Issuance of Common Stock in connection with Company 401(k) Savings Plan contribution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764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Conversion of Class A Stock to Common Stock</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360" w:type="dxa"/>
            <w:vAlign w:val="bottom"/>
            <w:gridSpan w:val="7"/>
            <w:shd w:val="clear" w:color="auto" w:fill="EEEEEE"/>
          </w:tcPr>
          <w:p>
            <w:pPr>
              <w:jc w:val="right"/>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7"/>
              </w:rPr>
              <w:t>Issuance of stock options in consideration for consulting services</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60" w:type="dxa"/>
            <w:vAlign w:val="bottom"/>
            <w:gridSpan w:val="5"/>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on marketable securities</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tcPr>
          <w:p>
            <w:pPr>
              <w:ind w:left="280"/>
              <w:spacing w:after="0"/>
              <w:rPr>
                <w:sz w:val="20"/>
                <w:szCs w:val="20"/>
                <w:color w:val="auto"/>
              </w:rPr>
            </w:pPr>
            <w:r>
              <w:rPr>
                <w:rFonts w:ascii="Arial" w:cs="Arial" w:eastAsia="Arial" w:hAnsi="Arial"/>
                <w:sz w:val="14"/>
                <w:szCs w:val="14"/>
                <w:color w:val="auto"/>
              </w:rPr>
              <w:t>Balance, September 30, 2002</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6"/>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41,527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5"/>
          </w:tcPr>
          <w:p>
            <w:pPr>
              <w:jc w:val="right"/>
              <w:spacing w:after="0"/>
              <w:rPr>
                <w:sz w:val="20"/>
                <w:szCs w:val="20"/>
                <w:color w:val="auto"/>
              </w:rPr>
            </w:pPr>
            <w:r>
              <w:rPr>
                <w:rFonts w:ascii="Arial" w:cs="Arial" w:eastAsia="Arial" w:hAnsi="Arial"/>
                <w:sz w:val="14"/>
                <w:szCs w:val="14"/>
                <w:color w:val="auto"/>
              </w:rPr>
              <w:t>$569,917</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Unearned</w:t>
            </w:r>
          </w:p>
        </w:tc>
        <w:tc>
          <w:tcPr>
            <w:tcW w:w="220" w:type="dxa"/>
            <w:vAlign w:val="bottom"/>
          </w:tcPr>
          <w:p>
            <w:pPr>
              <w:spacing w:after="0"/>
              <w:rPr>
                <w:sz w:val="12"/>
                <w:szCs w:val="12"/>
                <w:color w:val="auto"/>
              </w:rPr>
            </w:pPr>
          </w:p>
        </w:tc>
        <w:tc>
          <w:tcPr>
            <w:tcW w:w="136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Compensation</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8"/>
              </w:rPr>
              <w:t>Deficit</w:t>
            </w:r>
          </w:p>
        </w:tc>
        <w:tc>
          <w:tcPr>
            <w:tcW w:w="30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2001</w:t>
            </w:r>
          </w:p>
        </w:tc>
        <w:tc>
          <w:tcPr>
            <w:tcW w:w="1060" w:type="dxa"/>
            <w:vAlign w:val="bottom"/>
            <w:gridSpan w:val="3"/>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($2,789)</w:t>
            </w:r>
          </w:p>
        </w:tc>
        <w:tc>
          <w:tcPr>
            <w:tcW w:w="1260" w:type="dxa"/>
            <w:vAlign w:val="bottom"/>
            <w:tcBorders>
              <w:right w:val="single" w:sz="8" w:color="EEEEEE"/>
            </w:tcBorders>
            <w:gridSpan w:val="6"/>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($299,698)</w:t>
            </w: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$1,174</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$266,355</w:t>
            </w: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 connection with exercise of stock</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options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1,468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6"/>
              </w:rPr>
              <w:t>Issuance of restricted Common Stock under Long-Term Incentive</w:t>
            </w:r>
          </w:p>
        </w:tc>
        <w:tc>
          <w:tcPr>
            <w:tcW w:w="32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2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tcBorders>
              <w:righ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0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Plan</w:t>
            </w:r>
          </w:p>
        </w:tc>
        <w:tc>
          <w:tcPr>
            <w:tcW w:w="1060" w:type="dxa"/>
            <w:vAlign w:val="bottom"/>
            <w:gridSpan w:val="3"/>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rPr>
              <w:t>(59)</w:t>
            </w:r>
          </w:p>
        </w:tc>
        <w:tc>
          <w:tcPr>
            <w:tcW w:w="2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220" w:type="dxa"/>
            <w:vAlign w:val="bottom"/>
            <w:tcBorders>
              <w:right w:val="single" w:sz="8" w:color="EEEEEE"/>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80" w:type="dxa"/>
            <w:vAlign w:val="bottom"/>
            <w:tcBorders>
              <w:right w:val="single" w:sz="8" w:color="EEEEEE"/>
            </w:tcBorders>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00" w:type="dxa"/>
            <w:vAlign w:val="bottom"/>
            <w:tcBorders>
              <w:right w:val="single" w:sz="8" w:color="EEEEEE"/>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tcPr>
          <w:p>
            <w:pPr>
              <w:spacing w:after="0" w:line="138" w:lineRule="exact"/>
              <w:rPr>
                <w:sz w:val="20"/>
                <w:szCs w:val="20"/>
                <w:color w:val="auto"/>
              </w:rPr>
            </w:pPr>
            <w:r>
              <w:rPr>
                <w:rFonts w:ascii="Arial" w:cs="Arial" w:eastAsia="Arial" w:hAnsi="Arial"/>
                <w:sz w:val="14"/>
                <w:szCs w:val="14"/>
                <w:color w:val="auto"/>
                <w:w w:val="99"/>
              </w:rPr>
              <w:t>Issuance of Common Stock in connection with Company 401(k)</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tcPr>
          <w:p>
            <w:pPr>
              <w:ind w:left="120"/>
              <w:spacing w:after="0" w:line="159" w:lineRule="exact"/>
              <w:rPr>
                <w:sz w:val="20"/>
                <w:szCs w:val="20"/>
                <w:color w:val="auto"/>
              </w:rPr>
            </w:pPr>
            <w:r>
              <w:rPr>
                <w:rFonts w:ascii="Arial" w:cs="Arial" w:eastAsia="Arial" w:hAnsi="Arial"/>
                <w:sz w:val="14"/>
                <w:szCs w:val="14"/>
                <w:color w:val="auto"/>
              </w:rPr>
              <w:t>Savings Plan contribution</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764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Conversion of Class A Stock to Common Stock</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7"/>
              </w:rPr>
              <w:t>Issuance of stock options in consideration for consulting services</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0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6"/>
          </w:tcPr>
          <w:p>
            <w:pPr>
              <w:jc w:val="right"/>
              <w:ind w:right="140"/>
              <w:spacing w:after="0" w:line="149" w:lineRule="exact"/>
              <w:rPr>
                <w:sz w:val="20"/>
                <w:szCs w:val="20"/>
                <w:color w:val="auto"/>
              </w:rPr>
            </w:pPr>
            <w:r>
              <w:rPr>
                <w:rFonts w:ascii="Arial" w:cs="Arial" w:eastAsia="Arial" w:hAnsi="Arial"/>
                <w:sz w:val="14"/>
                <w:szCs w:val="14"/>
                <w:color w:val="auto"/>
              </w:rPr>
              <w:t>(88,684)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(88,684)</w:t>
            </w:r>
          </w:p>
        </w:tc>
        <w:tc>
          <w:tcPr>
            <w:tcW w:w="1340" w:type="dxa"/>
            <w:vAlign w:val="bottom"/>
            <w:gridSpan w:val="8"/>
          </w:tcPr>
          <w:p>
            <w:pPr>
              <w:jc w:val="right"/>
              <w:ind w:right="180"/>
              <w:spacing w:after="0" w:line="149" w:lineRule="exact"/>
              <w:rPr>
                <w:sz w:val="20"/>
                <w:szCs w:val="20"/>
                <w:color w:val="auto"/>
              </w:rPr>
            </w:pPr>
            <w:r>
              <w:rPr>
                <w:rFonts w:ascii="Arial" w:cs="Arial" w:eastAsia="Arial" w:hAnsi="Arial"/>
                <w:sz w:val="14"/>
                <w:szCs w:val="14"/>
                <w:color w:val="auto"/>
              </w:rPr>
              <w:t>($88,684)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Change in net unrealized gain on marketable securities</w:t>
            </w: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tcBorders>
              <w:right w:val="single" w:sz="8" w:color="EEEEEE"/>
            </w:tcBorders>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80" w:type="dxa"/>
            <w:vAlign w:val="bottom"/>
            <w:gridSpan w:val="3"/>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9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1340" w:type="dxa"/>
            <w:vAlign w:val="bottom"/>
            <w:gridSpan w:val="8"/>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120" w:type="dxa"/>
            <w:vAlign w:val="bottom"/>
            <w:shd w:val="clear" w:color="auto" w:fill="EEEEE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5"/>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tcPr>
          <w:p>
            <w:pPr>
              <w:ind w:left="200"/>
              <w:spacing w:after="0"/>
              <w:rPr>
                <w:sz w:val="20"/>
                <w:szCs w:val="20"/>
                <w:color w:val="auto"/>
              </w:rPr>
            </w:pPr>
            <w:r>
              <w:rPr>
                <w:rFonts w:ascii="Arial" w:cs="Arial" w:eastAsia="Arial" w:hAnsi="Arial"/>
                <w:sz w:val="14"/>
                <w:szCs w:val="14"/>
                <w:color w:val="auto"/>
              </w:rPr>
              <w:t>Balance, September 30, 2002</w:t>
            </w:r>
          </w:p>
        </w:tc>
        <w:tc>
          <w:tcPr>
            <w:tcW w:w="1060" w:type="dxa"/>
            <w:vAlign w:val="bottom"/>
            <w:gridSpan w:val="3"/>
          </w:tcPr>
          <w:p>
            <w:pPr>
              <w:jc w:val="right"/>
              <w:ind w:right="280"/>
              <w:spacing w:after="0"/>
              <w:rPr>
                <w:sz w:val="20"/>
                <w:szCs w:val="20"/>
                <w:color w:val="auto"/>
              </w:rPr>
            </w:pPr>
            <w:r>
              <w:rPr>
                <w:rFonts w:ascii="Arial" w:cs="Arial" w:eastAsia="Arial" w:hAnsi="Arial"/>
                <w:sz w:val="14"/>
                <w:szCs w:val="14"/>
                <w:color w:val="auto"/>
              </w:rPr>
              <w:t>($1,516)</w:t>
            </w:r>
          </w:p>
        </w:tc>
        <w:tc>
          <w:tcPr>
            <w:tcW w:w="1260" w:type="dxa"/>
            <w:vAlign w:val="bottom"/>
            <w:gridSpan w:val="6"/>
          </w:tcPr>
          <w:p>
            <w:pPr>
              <w:jc w:val="right"/>
              <w:ind w:right="140"/>
              <w:spacing w:after="0"/>
              <w:rPr>
                <w:sz w:val="20"/>
                <w:szCs w:val="20"/>
                <w:color w:val="auto"/>
              </w:rPr>
            </w:pPr>
            <w:r>
              <w:rPr>
                <w:rFonts w:ascii="Arial" w:cs="Arial" w:eastAsia="Arial" w:hAnsi="Arial"/>
                <w:sz w:val="14"/>
                <w:szCs w:val="14"/>
                <w:color w:val="auto"/>
              </w:rPr>
              <w:t>($388,382)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724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$180,788</w:t>
            </w:r>
          </w:p>
        </w:tc>
        <w:tc>
          <w:tcPr>
            <w:tcW w:w="200" w:type="dxa"/>
            <w:vAlign w:val="bottom"/>
          </w:tcPr>
          <w:p>
            <w:pPr>
              <w:spacing w:after="0"/>
              <w:rPr>
                <w:sz w:val="22"/>
                <w:szCs w:val="22"/>
                <w:color w:val="auto"/>
              </w:rPr>
            </w:pPr>
          </w:p>
        </w:tc>
        <w:tc>
          <w:tcPr>
            <w:tcW w:w="1340" w:type="dxa"/>
            <w:vAlign w:val="bottom"/>
            <w:gridSpan w:val="8"/>
          </w:tcPr>
          <w:p>
            <w:pPr>
              <w:jc w:val="right"/>
              <w:ind w:right="180"/>
              <w:spacing w:after="0"/>
              <w:rPr>
                <w:sz w:val="20"/>
                <w:szCs w:val="20"/>
                <w:color w:val="auto"/>
              </w:rPr>
            </w:pPr>
            <w:r>
              <w:rPr>
                <w:rFonts w:ascii="Arial" w:cs="Arial" w:eastAsia="Arial" w:hAnsi="Arial"/>
                <w:sz w:val="14"/>
                <w:szCs w:val="14"/>
                <w:color w:val="auto"/>
              </w:rPr>
              <w:t>($89,134)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-2258695</wp:posOffset>
            </wp:positionV>
            <wp:extent cx="901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6925945</wp:posOffset>
            </wp:positionH>
            <wp:positionV relativeFrom="paragraph">
              <wp:posOffset>-275590</wp:posOffset>
            </wp:positionV>
            <wp:extent cx="17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-275590</wp:posOffset>
            </wp:positionV>
            <wp:extent cx="1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-275590</wp:posOffset>
            </wp:positionV>
            <wp:extent cx="17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-275590</wp:posOffset>
            </wp:positionV>
            <wp:extent cx="17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($88,684)</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($47,802)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80"/>
              <w:spacing w:after="0"/>
              <w:rPr>
                <w:sz w:val="20"/>
                <w:szCs w:val="20"/>
                <w:color w:val="auto"/>
              </w:rPr>
            </w:pPr>
            <w:r>
              <w:rPr>
                <w:rFonts w:ascii="Arial" w:cs="Arial" w:eastAsia="Arial" w:hAnsi="Arial"/>
                <w:sz w:val="18"/>
                <w:szCs w:val="18"/>
                <w:color w:val="auto"/>
              </w:rPr>
              <w:t>Loss in Amgen-Regeneron Partners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6,405</w:t>
            </w:r>
          </w:p>
        </w:tc>
        <w:tc>
          <w:tcPr>
            <w:tcW w:w="4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4,267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80"/>
              <w:spacing w:after="0"/>
              <w:rPr>
                <w:sz w:val="20"/>
                <w:szCs w:val="20"/>
                <w:color w:val="auto"/>
              </w:rPr>
            </w:pPr>
            <w:r>
              <w:rPr>
                <w:rFonts w:ascii="Arial" w:cs="Arial" w:eastAsia="Arial" w:hAnsi="Arial"/>
                <w:sz w:val="18"/>
                <w:szCs w:val="18"/>
                <w:color w:val="auto"/>
              </w:rPr>
              <w:t>Non-cash compensation expense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Arial" w:cs="Arial" w:eastAsia="Arial" w:hAnsi="Arial"/>
                <w:sz w:val="18"/>
                <w:szCs w:val="18"/>
                <w:color w:val="auto"/>
              </w:rPr>
              <w:t>Decrease in amounts due from The Procter &amp; Gamble Company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4,407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decrease in amounts due from Merck &amp; Co., Inc.</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(1,823)</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Arial" w:cs="Arial" w:eastAsia="Arial" w:hAnsi="Arial"/>
                <w:sz w:val="18"/>
                <w:szCs w:val="18"/>
                <w:color w:val="auto"/>
              </w:rPr>
              <w:t>Decrease in amounts due from Amgen-Regeneron Partners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Decrease in amounts due from Sumitomo Pharmaceuticals Company, Ltd.</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3,877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(1,581)</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inventory</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(1,335)</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Arial" w:cs="Arial" w:eastAsia="Arial" w:hAnsi="Arial"/>
                <w:sz w:val="18"/>
                <w:szCs w:val="18"/>
                <w:color w:val="auto"/>
              </w:rPr>
              <w:t>Decrease in deferred revenue</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(445)</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88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6,352</w:t>
            </w:r>
          </w:p>
        </w:tc>
        <w:tc>
          <w:tcPr>
            <w:tcW w:w="4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Total adjustments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9,187</w:t>
            </w:r>
          </w:p>
        </w:tc>
        <w:tc>
          <w:tcPr>
            <w:tcW w:w="4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8,136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1180"/>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(79,497)</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(39,666)</w:t>
            </w:r>
          </w:p>
        </w:tc>
        <w:tc>
          <w:tcPr>
            <w:tcW w:w="0" w:type="dxa"/>
            <w:vAlign w:val="bottom"/>
          </w:tcPr>
          <w:p>
            <w:pPr>
              <w:spacing w:after="0"/>
              <w:rPr>
                <w:sz w:val="1"/>
                <w:szCs w:val="1"/>
                <w:color w:val="auto"/>
              </w:rPr>
            </w:pPr>
          </w:p>
        </w:tc>
      </w:tr>
      <w:tr>
        <w:trPr>
          <w:trHeight w:val="108"/>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0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marketable securities</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(199,217)</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(120,766)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119,465</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77,211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restricted marketable securities</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(5,500)</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Maturities of restricted 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Capital expenditures</w:t>
            </w:r>
          </w:p>
        </w:tc>
        <w:tc>
          <w:tcPr>
            <w:tcW w:w="15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(19,199)</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(93,451)</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(49,178)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Net proceeds from the issuance of stock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4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158,352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Principal payments on note payable</w:t>
            </w:r>
          </w:p>
        </w:tc>
        <w:tc>
          <w:tcPr>
            <w:tcW w:w="4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Capital lease payments</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(339)</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EEEEEE"/>
          </w:tcPr>
          <w:p>
            <w:pPr>
              <w:ind w:left="11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4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157,840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Net (decrease) increase in cash and cash equivalents</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(171,819)</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68,996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247,393</w:t>
            </w:r>
          </w:p>
        </w:tc>
        <w:tc>
          <w:tcPr>
            <w:tcW w:w="4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30,978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20" w:type="dxa"/>
            <w:vAlign w:val="bottom"/>
          </w:tcPr>
          <w:p>
            <w:pPr>
              <w:ind w:left="1180"/>
              <w:spacing w:after="0"/>
              <w:rPr>
                <w:sz w:val="20"/>
                <w:szCs w:val="20"/>
                <w:color w:val="auto"/>
              </w:rPr>
            </w:pPr>
            <w:r>
              <w:rPr>
                <w:rFonts w:ascii="Arial" w:cs="Arial" w:eastAsia="Arial" w:hAnsi="Arial"/>
                <w:sz w:val="18"/>
                <w:szCs w:val="18"/>
                <w:color w:val="auto"/>
              </w:rPr>
              <w:t>Cash and cash equivalents at end of period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75,574</w:t>
            </w:r>
          </w:p>
        </w:tc>
        <w:tc>
          <w:tcPr>
            <w:tcW w:w="44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99,974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231" w:lineRule="exact"/>
        <w:rPr>
          <w:rFonts w:ascii="Arial" w:cs="Arial" w:eastAsia="Arial" w:hAnsi="Arial"/>
          <w:sz w:val="18"/>
          <w:szCs w:val="18"/>
          <w:b w:val="1"/>
          <w:bCs w:val="1"/>
          <w:color w:val="auto"/>
        </w:rPr>
      </w:pPr>
    </w:p>
    <w:p>
      <w:pPr>
        <w:ind w:left="46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2001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2001.</w:t>
      </w:r>
    </w:p>
    <w:p>
      <w:pPr>
        <w:spacing w:after="0" w:line="156"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 of noncash investing and financing activities:</w:t>
      </w:r>
    </w:p>
    <w:p>
      <w:pPr>
        <w:spacing w:after="0" w:line="225"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September 30, 2002 and December 31, 2001 are $5,904 and $1,946, respectively, of accrued capital expenditures. Included in accounts payable and accrued expenses at September 30, 2001 and December 31, 2000 are $637 and $672, respectively, of accrued capital expenditures.</w:t>
      </w:r>
    </w:p>
    <w:p>
      <w:pPr>
        <w:spacing w:after="0" w:line="194" w:lineRule="exact"/>
        <w:rPr>
          <w:rFonts w:ascii="Arial" w:cs="Arial" w:eastAsia="Arial" w:hAnsi="Arial"/>
          <w:sz w:val="18"/>
          <w:szCs w:val="18"/>
          <w:b w:val="1"/>
          <w:bCs w:val="1"/>
          <w:color w:val="auto"/>
        </w:rPr>
      </w:pPr>
    </w:p>
    <w:p>
      <w:pPr>
        <w:jc w:val="both"/>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Included in accounts payable and accrued expenses at December 31, 2001 and 2000 are $764 and $477, respectively, of accrued Company 401(k) Savings Plan contribution expense. In the first quarter of both 2002 and 2001, the Company contributed 21,953 and 17,484 shares, respectively, of Common Stock to the 401(k) Savings Plan in satisfaction of these obligations.</w:t>
      </w:r>
    </w:p>
    <w:p>
      <w:pPr>
        <w:spacing w:after="0" w:line="194"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Included in marketable securities at September 30, 2002 and December 31, 2001 are $2,433 and $1,988, respectively, of accrued interest income. Included in marketable securities at September 30, 2001 and December 31, 2000 are $2,276 and $2,346, respectively, of accrued interest income.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Inventories consist of raw materials and other direct and indirect costs associated with production of an intermediate for a Merck &amp; Co., Inc. pediatric vaccine under a long-term manufacturing agreement.</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as of September 30, 2002 and December 31, 2001 consist of the following:</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4"/>
                <w:szCs w:val="1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4"/>
                <w:szCs w:val="14"/>
                <w:color w:val="auto"/>
              </w:rPr>
              <w:t>December 31,</w:t>
            </w:r>
          </w:p>
        </w:tc>
      </w:tr>
      <w:tr>
        <w:trPr>
          <w:trHeight w:val="216"/>
        </w:trPr>
        <w:tc>
          <w:tcPr>
            <w:tcW w:w="20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2001</w:t>
            </w:r>
          </w:p>
        </w:tc>
        <w:tc>
          <w:tcPr>
            <w:tcW w:w="560" w:type="dxa"/>
            <w:vAlign w:val="bottom"/>
          </w:tcPr>
          <w:p>
            <w:pPr>
              <w:spacing w:after="0"/>
              <w:rPr>
                <w:sz w:val="18"/>
                <w:szCs w:val="18"/>
                <w:color w:val="auto"/>
              </w:rPr>
            </w:pPr>
          </w:p>
        </w:tc>
      </w:tr>
      <w:tr>
        <w:trPr>
          <w:trHeight w:val="95"/>
        </w:trPr>
        <w:tc>
          <w:tcPr>
            <w:tcW w:w="20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102"/>
        </w:trPr>
        <w:tc>
          <w:tcPr>
            <w:tcW w:w="20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77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Raw materials</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5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560" w:type="dxa"/>
            <w:vAlign w:val="bottom"/>
            <w:shd w:val="clear" w:color="auto" w:fill="EEEEEE"/>
          </w:tcPr>
          <w:p>
            <w:pPr>
              <w:spacing w:after="0"/>
              <w:rPr>
                <w:sz w:val="18"/>
                <w:szCs w:val="18"/>
                <w:color w:val="auto"/>
              </w:rPr>
            </w:pPr>
          </w:p>
        </w:tc>
      </w:tr>
      <w:tr>
        <w:trPr>
          <w:trHeight w:val="216"/>
        </w:trPr>
        <w:tc>
          <w:tcPr>
            <w:tcW w:w="7740" w:type="dxa"/>
            <w:vAlign w:val="bottom"/>
            <w:gridSpan w:val="2"/>
          </w:tcPr>
          <w:p>
            <w:pPr>
              <w:ind w:left="420"/>
              <w:spacing w:after="0"/>
              <w:rPr>
                <w:sz w:val="20"/>
                <w:szCs w:val="20"/>
                <w:color w:val="auto"/>
              </w:rPr>
            </w:pPr>
            <w:r>
              <w:rPr>
                <w:rFonts w:ascii="Arial" w:cs="Arial" w:eastAsia="Arial" w:hAnsi="Arial"/>
                <w:sz w:val="18"/>
                <w:szCs w:val="18"/>
                <w:color w:val="auto"/>
              </w:rPr>
              <w:t>Work-in-process</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227</w:t>
            </w:r>
            <w:r>
              <w:rPr>
                <w:rFonts w:ascii="Arial" w:cs="Arial" w:eastAsia="Arial" w:hAnsi="Arial"/>
                <w:sz w:val="14"/>
                <w:szCs w:val="14"/>
                <w:color w:val="auto"/>
              </w:rPr>
              <w:t>(2)</w:t>
            </w:r>
          </w:p>
        </w:tc>
      </w:tr>
      <w:tr>
        <w:trPr>
          <w:trHeight w:val="216"/>
        </w:trPr>
        <w:tc>
          <w:tcPr>
            <w:tcW w:w="77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Finished products</w:t>
            </w:r>
          </w:p>
        </w:tc>
        <w:tc>
          <w:tcPr>
            <w:tcW w:w="5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86"/>
              </w:rPr>
              <w:t>5,158</w:t>
            </w:r>
            <w:r>
              <w:rPr>
                <w:rFonts w:ascii="Arial" w:cs="Arial" w:eastAsia="Arial" w:hAnsi="Arial"/>
                <w:sz w:val="14"/>
                <w:szCs w:val="14"/>
                <w:color w:val="auto"/>
                <w:w w:val="86"/>
              </w:rPr>
              <w:t>(1)</w:t>
            </w:r>
          </w:p>
        </w:tc>
        <w:tc>
          <w:tcPr>
            <w:tcW w:w="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3,372</w:t>
            </w:r>
          </w:p>
        </w:tc>
        <w:tc>
          <w:tcPr>
            <w:tcW w:w="560" w:type="dxa"/>
            <w:vAlign w:val="bottom"/>
            <w:shd w:val="clear" w:color="auto" w:fill="EEEEEE"/>
          </w:tcPr>
          <w:p>
            <w:pPr>
              <w:spacing w:after="0"/>
              <w:rPr>
                <w:sz w:val="18"/>
                <w:szCs w:val="18"/>
                <w:color w:val="auto"/>
              </w:rPr>
            </w:pPr>
          </w:p>
        </w:tc>
      </w:tr>
      <w:tr>
        <w:trPr>
          <w:trHeight w:val="108"/>
        </w:trPr>
        <w:tc>
          <w:tcPr>
            <w:tcW w:w="20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316"/>
        </w:trPr>
        <w:tc>
          <w:tcPr>
            <w:tcW w:w="20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6,152</w:t>
            </w:r>
          </w:p>
        </w:tc>
        <w:tc>
          <w:tcPr>
            <w:tcW w:w="5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3,973</w:t>
            </w:r>
          </w:p>
        </w:tc>
        <w:tc>
          <w:tcPr>
            <w:tcW w:w="560" w:type="dxa"/>
            <w:vAlign w:val="bottom"/>
          </w:tcPr>
          <w:p>
            <w:pPr>
              <w:spacing w:after="0"/>
              <w:rPr>
                <w:sz w:val="24"/>
                <w:szCs w:val="24"/>
                <w:color w:val="auto"/>
              </w:rPr>
            </w:pPr>
          </w:p>
        </w:tc>
      </w:tr>
      <w:tr>
        <w:trPr>
          <w:trHeight w:val="107"/>
        </w:trPr>
        <w:tc>
          <w:tcPr>
            <w:tcW w:w="20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56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5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64" w:lineRule="exact"/>
        <w:rPr>
          <w:sz w:val="20"/>
          <w:szCs w:val="20"/>
          <w:color w:val="auto"/>
        </w:rPr>
      </w:pPr>
    </w:p>
    <w:p>
      <w:pPr>
        <w:ind w:left="680" w:hanging="213"/>
        <w:spacing w:after="0"/>
        <w:tabs>
          <w:tab w:leader="none" w:pos="680" w:val="left"/>
        </w:tabs>
        <w:numPr>
          <w:ilvl w:val="1"/>
          <w:numId w:val="3"/>
        </w:numPr>
        <w:rPr>
          <w:rFonts w:ascii="Arial" w:cs="Arial" w:eastAsia="Arial" w:hAnsi="Arial"/>
          <w:sz w:val="26"/>
          <w:szCs w:val="26"/>
          <w:color w:val="auto"/>
          <w:vertAlign w:val="superscript"/>
        </w:rPr>
      </w:pPr>
      <w:r>
        <w:rPr>
          <w:rFonts w:ascii="Arial" w:cs="Arial" w:eastAsia="Arial" w:hAnsi="Arial"/>
          <w:sz w:val="16"/>
          <w:szCs w:val="16"/>
          <w:color w:val="auto"/>
        </w:rPr>
        <w:t>Net of reserves of $810.</w:t>
      </w:r>
    </w:p>
    <w:p>
      <w:pPr>
        <w:spacing w:after="0" w:line="48" w:lineRule="exact"/>
        <w:rPr>
          <w:rFonts w:ascii="Arial" w:cs="Arial" w:eastAsia="Arial" w:hAnsi="Arial"/>
          <w:sz w:val="26"/>
          <w:szCs w:val="26"/>
          <w:color w:val="auto"/>
          <w:vertAlign w:val="superscript"/>
        </w:rPr>
      </w:pPr>
    </w:p>
    <w:p>
      <w:pPr>
        <w:ind w:left="680" w:hanging="213"/>
        <w:spacing w:after="0" w:line="181" w:lineRule="auto"/>
        <w:tabs>
          <w:tab w:leader="none" w:pos="680" w:val="left"/>
        </w:tabs>
        <w:numPr>
          <w:ilvl w:val="1"/>
          <w:numId w:val="3"/>
        </w:numPr>
        <w:rPr>
          <w:rFonts w:ascii="Arial" w:cs="Arial" w:eastAsia="Arial" w:hAnsi="Arial"/>
          <w:sz w:val="24"/>
          <w:szCs w:val="24"/>
          <w:color w:val="auto"/>
          <w:vertAlign w:val="superscript"/>
        </w:rPr>
      </w:pPr>
      <w:r>
        <w:rPr>
          <w:rFonts w:ascii="Arial" w:cs="Arial" w:eastAsia="Arial" w:hAnsi="Arial"/>
          <w:sz w:val="15"/>
          <w:szCs w:val="15"/>
          <w:color w:val="auto"/>
        </w:rPr>
        <w:t>Net of reserves of $230.</w:t>
      </w:r>
    </w:p>
    <w:p>
      <w:pPr>
        <w:spacing w:after="0" w:line="204" w:lineRule="exact"/>
        <w:rPr>
          <w:rFonts w:ascii="Arial" w:cs="Arial" w:eastAsia="Arial" w:hAnsi="Arial"/>
          <w:sz w:val="24"/>
          <w:szCs w:val="24"/>
          <w:color w:val="auto"/>
          <w:vertAlign w:val="superscript"/>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expenses as of September 30, 2002 and December 31, 2001 consist of the following:</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color w:val="auto"/>
              </w:rPr>
              <w:t>September 30,</w:t>
            </w:r>
          </w:p>
        </w:tc>
        <w:tc>
          <w:tcPr>
            <w:tcW w:w="620" w:type="dxa"/>
            <w:vAlign w:val="bottom"/>
          </w:tcPr>
          <w:p>
            <w:pPr>
              <w:spacing w:after="0"/>
              <w:rPr>
                <w:sz w:val="14"/>
                <w:szCs w:val="14"/>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color w:val="auto"/>
              </w:rPr>
              <w:t>2002</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2001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3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Accounts payable</w:t>
            </w:r>
          </w:p>
        </w:tc>
        <w:tc>
          <w:tcPr>
            <w:tcW w:w="38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4,090</w:t>
            </w:r>
          </w:p>
        </w:tc>
        <w:tc>
          <w:tcPr>
            <w:tcW w:w="5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20"/>
              <w:spacing w:after="0"/>
              <w:rPr>
                <w:sz w:val="20"/>
                <w:szCs w:val="20"/>
                <w:color w:val="auto"/>
              </w:rPr>
            </w:pPr>
            <w:r>
              <w:rPr>
                <w:rFonts w:ascii="Arial" w:cs="Arial" w:eastAsia="Arial" w:hAnsi="Arial"/>
                <w:sz w:val="18"/>
                <w:szCs w:val="18"/>
                <w:color w:val="auto"/>
              </w:rPr>
              <w:t>Accrued payroll and related costs</w:t>
            </w:r>
          </w:p>
        </w:tc>
        <w:tc>
          <w:tcPr>
            <w:tcW w:w="3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4,123</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Accrued clinical trial expense</w:t>
            </w:r>
          </w:p>
        </w:tc>
        <w:tc>
          <w:tcPr>
            <w:tcW w:w="3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4,570</w:t>
            </w: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20"/>
              <w:spacing w:after="0"/>
              <w:rPr>
                <w:sz w:val="20"/>
                <w:szCs w:val="20"/>
                <w:color w:val="auto"/>
              </w:rPr>
            </w:pPr>
            <w:r>
              <w:rPr>
                <w:rFonts w:ascii="Arial" w:cs="Arial" w:eastAsia="Arial" w:hAnsi="Arial"/>
                <w:sz w:val="18"/>
                <w:szCs w:val="18"/>
                <w:color w:val="auto"/>
              </w:rPr>
              <w:t>Accrued expenses, other</w:t>
            </w:r>
          </w:p>
        </w:tc>
        <w:tc>
          <w:tcPr>
            <w:tcW w:w="3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6,551</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Interest payable on convertible notes</w:t>
            </w:r>
          </w:p>
        </w:tc>
        <w:tc>
          <w:tcPr>
            <w:tcW w:w="3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5,042</w:t>
            </w: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38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40" w:type="dxa"/>
            <w:vAlign w:val="bottom"/>
          </w:tcPr>
          <w:p>
            <w:pPr>
              <w:spacing w:after="0"/>
              <w:rPr>
                <w:sz w:val="24"/>
                <w:szCs w:val="24"/>
                <w:color w:val="auto"/>
              </w:rPr>
            </w:pP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24,376</w:t>
            </w:r>
          </w:p>
        </w:tc>
        <w:tc>
          <w:tcPr>
            <w:tcW w:w="5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340" w:type="dxa"/>
            <w:vAlign w:val="bottom"/>
          </w:tcPr>
          <w:p>
            <w:pPr>
              <w:spacing w:after="0"/>
              <w:rPr>
                <w:sz w:val="9"/>
                <w:szCs w:val="9"/>
                <w:color w:val="auto"/>
              </w:rPr>
            </w:pPr>
          </w:p>
        </w:tc>
        <w:tc>
          <w:tcPr>
            <w:tcW w:w="3260" w:type="dxa"/>
            <w:vAlign w:val="bottom"/>
            <w:vMerge w:val="restart"/>
          </w:tcPr>
          <w:p>
            <w:pPr>
              <w:jc w:val="right"/>
              <w:ind w:right="1752"/>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40" w:type="dxa"/>
            <w:vAlign w:val="bottom"/>
          </w:tcPr>
          <w:p>
            <w:pPr>
              <w:spacing w:after="0"/>
              <w:rPr>
                <w:sz w:val="5"/>
                <w:szCs w:val="5"/>
                <w:color w:val="auto"/>
              </w:rPr>
            </w:pPr>
          </w:p>
        </w:tc>
        <w:tc>
          <w:tcPr>
            <w:tcW w:w="3260" w:type="dxa"/>
            <w:vAlign w:val="bottom"/>
            <w:vMerge w:val="continue"/>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3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31"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For the nine months ended September 30, 2002 and 2001, the components of comprehensive loss are: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1180"/>
              <w:spacing w:after="0"/>
              <w:rPr>
                <w:sz w:val="20"/>
                <w:szCs w:val="20"/>
                <w:color w:val="auto"/>
              </w:rPr>
            </w:pPr>
            <w:r>
              <w:rPr>
                <w:rFonts w:ascii="Arial" w:cs="Arial" w:eastAsia="Arial" w:hAnsi="Arial"/>
                <w:sz w:val="14"/>
                <w:szCs w:val="14"/>
                <w:color w:val="auto"/>
                <w:w w:val="89"/>
              </w:rPr>
              <w:t>Nine Months Ended</w:t>
            </w:r>
          </w:p>
        </w:tc>
      </w:tr>
      <w:tr>
        <w:trPr>
          <w:trHeight w:val="172"/>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1340"/>
              <w:spacing w:after="0"/>
              <w:rPr>
                <w:sz w:val="20"/>
                <w:szCs w:val="20"/>
                <w:color w:val="auto"/>
              </w:rPr>
            </w:pPr>
            <w:r>
              <w:rPr>
                <w:rFonts w:ascii="Arial" w:cs="Arial" w:eastAsia="Arial" w:hAnsi="Arial"/>
                <w:sz w:val="14"/>
                <w:szCs w:val="14"/>
                <w:color w:val="auto"/>
              </w:rPr>
              <w:t>September 30,</w:t>
            </w:r>
          </w:p>
        </w:tc>
      </w:tr>
      <w:tr>
        <w:trPr>
          <w:trHeight w:val="95"/>
        </w:trPr>
        <w:tc>
          <w:tcPr>
            <w:tcW w:w="7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79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1880" w:type="dxa"/>
            <w:vAlign w:val="bottom"/>
            <w:gridSpan w:val="4"/>
          </w:tcPr>
          <w:p>
            <w:pPr>
              <w:jc w:val="right"/>
              <w:ind w:right="180"/>
              <w:spacing w:after="0"/>
              <w:rPr>
                <w:sz w:val="20"/>
                <w:szCs w:val="20"/>
                <w:color w:val="auto"/>
              </w:rPr>
            </w:pPr>
            <w:r>
              <w:rPr>
                <w:rFonts w:ascii="Arial" w:cs="Arial" w:eastAsia="Arial" w:hAnsi="Arial"/>
                <w:sz w:val="14"/>
                <w:szCs w:val="14"/>
                <w:color w:val="auto"/>
              </w:rPr>
              <w:t>2001</w:t>
            </w:r>
          </w:p>
        </w:tc>
        <w:tc>
          <w:tcPr>
            <w:tcW w:w="420" w:type="dxa"/>
            <w:vAlign w:val="bottom"/>
          </w:tcPr>
          <w:p>
            <w:pPr>
              <w:spacing w:after="0"/>
              <w:rPr>
                <w:sz w:val="22"/>
                <w:szCs w:val="22"/>
                <w:color w:val="auto"/>
              </w:rPr>
            </w:pPr>
          </w:p>
        </w:tc>
      </w:tr>
      <w:tr>
        <w:trPr>
          <w:trHeight w:val="95"/>
        </w:trPr>
        <w:tc>
          <w:tcPr>
            <w:tcW w:w="7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7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798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($88,684)</w:t>
            </w:r>
          </w:p>
        </w:tc>
        <w:tc>
          <w:tcPr>
            <w:tcW w:w="230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($47,802)</w:t>
            </w:r>
          </w:p>
        </w:tc>
      </w:tr>
      <w:tr>
        <w:trPr>
          <w:trHeight w:val="222"/>
        </w:trPr>
        <w:tc>
          <w:tcPr>
            <w:tcW w:w="7980" w:type="dxa"/>
            <w:vAlign w:val="bottom"/>
          </w:tcPr>
          <w:p>
            <w:pPr>
              <w:ind w:left="500"/>
              <w:spacing w:after="0"/>
              <w:rPr>
                <w:sz w:val="20"/>
                <w:szCs w:val="20"/>
                <w:color w:val="auto"/>
              </w:rPr>
            </w:pPr>
            <w:r>
              <w:rPr>
                <w:rFonts w:ascii="Arial" w:cs="Arial" w:eastAsia="Arial" w:hAnsi="Arial"/>
                <w:sz w:val="18"/>
                <w:szCs w:val="18"/>
                <w:color w:val="auto"/>
              </w:rPr>
              <w:t>Change in net unrealized gain on marketable securities</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(450)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1,177</w:t>
            </w:r>
          </w:p>
        </w:tc>
        <w:tc>
          <w:tcPr>
            <w:tcW w:w="420" w:type="dxa"/>
            <w:vAlign w:val="bottom"/>
          </w:tcPr>
          <w:p>
            <w:pPr>
              <w:spacing w:after="0"/>
              <w:rPr>
                <w:sz w:val="19"/>
                <w:szCs w:val="19"/>
                <w:color w:val="auto"/>
              </w:rPr>
            </w:pPr>
          </w:p>
        </w:tc>
      </w:tr>
      <w:tr>
        <w:trPr>
          <w:trHeight w:val="102"/>
        </w:trPr>
        <w:tc>
          <w:tcPr>
            <w:tcW w:w="7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7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7980" w:type="dxa"/>
            <w:vAlign w:val="bottom"/>
            <w:shd w:val="clear" w:color="auto" w:fill="EEEEEE"/>
          </w:tcPr>
          <w:p>
            <w:pPr>
              <w:ind w:left="860"/>
              <w:spacing w:after="0"/>
              <w:rPr>
                <w:sz w:val="20"/>
                <w:szCs w:val="20"/>
                <w:color w:val="auto"/>
              </w:rPr>
            </w:pPr>
            <w:r>
              <w:rPr>
                <w:rFonts w:ascii="Arial" w:cs="Arial" w:eastAsia="Arial" w:hAnsi="Arial"/>
                <w:sz w:val="18"/>
                <w:szCs w:val="18"/>
                <w:color w:val="auto"/>
              </w:rPr>
              <w:t>Total comprehensive loss</w:t>
            </w:r>
          </w:p>
        </w:tc>
        <w:tc>
          <w:tcPr>
            <w:tcW w:w="11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($89,134)</w:t>
            </w:r>
          </w:p>
        </w:tc>
        <w:tc>
          <w:tcPr>
            <w:tcW w:w="230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($46,625)</w:t>
            </w:r>
          </w:p>
        </w:tc>
      </w:tr>
      <w:tr>
        <w:trPr>
          <w:trHeight w:val="105"/>
        </w:trPr>
        <w:tc>
          <w:tcPr>
            <w:tcW w:w="7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7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0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31" w:lineRule="exact"/>
        <w:rPr>
          <w:rFonts w:ascii="Arial" w:cs="Arial" w:eastAsia="Arial" w:hAnsi="Arial"/>
          <w:sz w:val="18"/>
          <w:szCs w:val="18"/>
          <w:b w:val="1"/>
          <w:bCs w:val="1"/>
          <w:color w:val="auto"/>
        </w:rPr>
      </w:pPr>
    </w:p>
    <w:p>
      <w:pPr>
        <w:ind w:left="460" w:right="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awards shares of Restricted Stock under the Regeneron Pharmaceuticals, Inc. 2000 Long-Term Incentive Plan. Restrictions on these shares generally lapse with respect to 25% of the shares every six months over approximately a two-year period. In accordance with generally accepted accounting principles, the Company records unearned compensation in Stockholders’ Equity related to these awards. The amount is based on the fair market value of shares of the Company’s Common Stock on the grant date of the Restricted Stock award and is expensed, on a pro rata basis, over the period that the restrictions lapse. For the three and nine months ended September 30, 2002, the Company recognized compensation expense related to Restricted Stock awards of $453 and $1,332, respectively. For the three and nine months ended September 30, 2001, the Company recognized compensation expense related to Restricted Stock awards of $168 and $537, respectively.</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231"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basic net loss per share amounts have been computed by dividing net loss by the weighted average number of Common and Class A shares outstanding. For the three and nine months ended September 30, 2002 and 2001, the Company reported net losses and, therefore, no common stock equivalents were included in the computation of diluted net loss per share, since such inclusion would have been antidilutive. The calculations of basic and diluted net loss per share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gridSpan w:val="3"/>
          </w:tcPr>
          <w:p>
            <w:pPr>
              <w:jc w:val="center"/>
              <w:ind w:right="60"/>
              <w:spacing w:after="0"/>
              <w:rPr>
                <w:sz w:val="20"/>
                <w:szCs w:val="20"/>
                <w:color w:val="auto"/>
              </w:rPr>
            </w:pPr>
            <w:r>
              <w:rPr>
                <w:rFonts w:ascii="Arial" w:cs="Arial" w:eastAsia="Arial" w:hAnsi="Arial"/>
                <w:sz w:val="14"/>
                <w:szCs w:val="14"/>
                <w:color w:val="auto"/>
                <w:w w:val="86"/>
              </w:rPr>
              <w:t>Three Months Ended September 30,</w:t>
            </w:r>
          </w:p>
        </w:tc>
        <w:tc>
          <w:tcPr>
            <w:tcW w:w="1560" w:type="dxa"/>
            <w:vAlign w:val="bottom"/>
          </w:tcPr>
          <w:p>
            <w:pPr>
              <w:spacing w:after="0"/>
              <w:rPr>
                <w:sz w:val="14"/>
                <w:szCs w:val="14"/>
                <w:color w:val="auto"/>
              </w:rPr>
            </w:pPr>
          </w:p>
        </w:tc>
      </w:tr>
      <w:tr>
        <w:trPr>
          <w:trHeight w:val="95"/>
        </w:trPr>
        <w:tc>
          <w:tcPr>
            <w:tcW w:w="56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239"/>
        </w:trPr>
        <w:tc>
          <w:tcPr>
            <w:tcW w:w="5660" w:type="dxa"/>
            <w:vAlign w:val="bottom"/>
          </w:tcPr>
          <w:p>
            <w:pPr>
              <w:spacing w:after="0"/>
              <w:rPr>
                <w:sz w:val="20"/>
                <w:szCs w:val="20"/>
                <w:color w:val="auto"/>
              </w:rPr>
            </w:pPr>
          </w:p>
        </w:tc>
        <w:tc>
          <w:tcPr>
            <w:tcW w:w="1620" w:type="dxa"/>
            <w:vAlign w:val="bottom"/>
          </w:tcPr>
          <w:p>
            <w:pPr>
              <w:ind w:left="480"/>
              <w:spacing w:after="0"/>
              <w:rPr>
                <w:sz w:val="20"/>
                <w:szCs w:val="20"/>
                <w:color w:val="auto"/>
              </w:rPr>
            </w:pPr>
            <w:r>
              <w:rPr>
                <w:rFonts w:ascii="Arial" w:cs="Arial" w:eastAsia="Arial" w:hAnsi="Arial"/>
                <w:sz w:val="14"/>
                <w:szCs w:val="14"/>
                <w:color w:val="auto"/>
              </w:rPr>
              <w:t>Net Loss, in</w:t>
            </w:r>
          </w:p>
        </w:tc>
        <w:tc>
          <w:tcPr>
            <w:tcW w:w="500" w:type="dxa"/>
            <w:vAlign w:val="bottom"/>
          </w:tcPr>
          <w:p>
            <w:pPr>
              <w:spacing w:after="0"/>
              <w:rPr>
                <w:sz w:val="20"/>
                <w:szCs w:val="20"/>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Shares, in</w:t>
            </w:r>
          </w:p>
        </w:tc>
        <w:tc>
          <w:tcPr>
            <w:tcW w:w="1560" w:type="dxa"/>
            <w:vAlign w:val="bottom"/>
          </w:tcPr>
          <w:p>
            <w:pPr>
              <w:spacing w:after="0"/>
              <w:rPr>
                <w:sz w:val="20"/>
                <w:szCs w:val="20"/>
                <w:color w:val="auto"/>
              </w:rPr>
            </w:pPr>
          </w:p>
        </w:tc>
      </w:tr>
      <w:tr>
        <w:trPr>
          <w:trHeight w:val="149"/>
        </w:trPr>
        <w:tc>
          <w:tcPr>
            <w:tcW w:w="5660" w:type="dxa"/>
            <w:vAlign w:val="bottom"/>
          </w:tcPr>
          <w:p>
            <w:pPr>
              <w:spacing w:after="0"/>
              <w:rPr>
                <w:sz w:val="12"/>
                <w:szCs w:val="12"/>
                <w:color w:val="auto"/>
              </w:rPr>
            </w:pPr>
          </w:p>
        </w:tc>
        <w:tc>
          <w:tcPr>
            <w:tcW w:w="1620" w:type="dxa"/>
            <w:vAlign w:val="bottom"/>
          </w:tcPr>
          <w:p>
            <w:pPr>
              <w:ind w:left="540"/>
              <w:spacing w:after="0" w:line="149" w:lineRule="exact"/>
              <w:rPr>
                <w:sz w:val="20"/>
                <w:szCs w:val="20"/>
                <w:color w:val="auto"/>
              </w:rPr>
            </w:pPr>
            <w:r>
              <w:rPr>
                <w:rFonts w:ascii="Arial" w:cs="Arial" w:eastAsia="Arial" w:hAnsi="Arial"/>
                <w:sz w:val="14"/>
                <w:szCs w:val="14"/>
                <w:color w:val="auto"/>
              </w:rPr>
              <w:t>thousands</w:t>
            </w:r>
          </w:p>
        </w:tc>
        <w:tc>
          <w:tcPr>
            <w:tcW w:w="5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3"/>
              </w:rPr>
              <w:t>thousands</w:t>
            </w:r>
          </w:p>
        </w:tc>
        <w:tc>
          <w:tcPr>
            <w:tcW w:w="1560" w:type="dxa"/>
            <w:vAlign w:val="bottom"/>
          </w:tcPr>
          <w:p>
            <w:pPr>
              <w:spacing w:after="0"/>
              <w:rPr>
                <w:sz w:val="12"/>
                <w:szCs w:val="12"/>
                <w:color w:val="auto"/>
              </w:rPr>
            </w:pPr>
          </w:p>
        </w:tc>
      </w:tr>
      <w:tr>
        <w:trPr>
          <w:trHeight w:val="172"/>
        </w:trPr>
        <w:tc>
          <w:tcPr>
            <w:tcW w:w="5660" w:type="dxa"/>
            <w:vAlign w:val="bottom"/>
          </w:tcPr>
          <w:p>
            <w:pPr>
              <w:spacing w:after="0"/>
              <w:rPr>
                <w:sz w:val="14"/>
                <w:szCs w:val="14"/>
                <w:color w:val="auto"/>
              </w:rPr>
            </w:pPr>
          </w:p>
        </w:tc>
        <w:tc>
          <w:tcPr>
            <w:tcW w:w="1620" w:type="dxa"/>
            <w:vAlign w:val="bottom"/>
          </w:tcPr>
          <w:p>
            <w:pPr>
              <w:ind w:left="480"/>
              <w:spacing w:after="0"/>
              <w:rPr>
                <w:sz w:val="20"/>
                <w:szCs w:val="20"/>
                <w:color w:val="auto"/>
              </w:rPr>
            </w:pPr>
            <w:r>
              <w:rPr>
                <w:rFonts w:ascii="Arial" w:cs="Arial" w:eastAsia="Arial" w:hAnsi="Arial"/>
                <w:sz w:val="14"/>
                <w:szCs w:val="14"/>
                <w:color w:val="auto"/>
              </w:rPr>
              <w:t>(Numerator)</w:t>
            </w:r>
          </w:p>
        </w:tc>
        <w:tc>
          <w:tcPr>
            <w:tcW w:w="500" w:type="dxa"/>
            <w:vAlign w:val="bottom"/>
          </w:tcPr>
          <w:p>
            <w:pPr>
              <w:spacing w:after="0"/>
              <w:rPr>
                <w:sz w:val="14"/>
                <w:szCs w:val="14"/>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(Denominator)</w:t>
            </w:r>
          </w:p>
        </w:tc>
        <w:tc>
          <w:tcPr>
            <w:tcW w:w="1560" w:type="dxa"/>
            <w:vAlign w:val="bottom"/>
          </w:tcPr>
          <w:p>
            <w:pPr>
              <w:jc w:val="right"/>
              <w:ind w:right="199"/>
              <w:spacing w:after="0"/>
              <w:rPr>
                <w:sz w:val="20"/>
                <w:szCs w:val="20"/>
                <w:color w:val="auto"/>
              </w:rPr>
            </w:pPr>
            <w:r>
              <w:rPr>
                <w:rFonts w:ascii="Arial" w:cs="Arial" w:eastAsia="Arial" w:hAnsi="Arial"/>
                <w:sz w:val="14"/>
                <w:szCs w:val="14"/>
                <w:color w:val="auto"/>
              </w:rPr>
              <w:t>Per Share Amount</w:t>
            </w:r>
          </w:p>
        </w:tc>
      </w:tr>
      <w:tr>
        <w:trPr>
          <w:trHeight w:val="95"/>
        </w:trPr>
        <w:tc>
          <w:tcPr>
            <w:tcW w:w="56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102"/>
        </w:trPr>
        <w:tc>
          <w:tcPr>
            <w:tcW w:w="5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5660" w:type="dxa"/>
            <w:vAlign w:val="bottom"/>
            <w:shd w:val="clear" w:color="auto" w:fill="EEEEEE"/>
          </w:tcPr>
          <w:p>
            <w:pPr>
              <w:jc w:val="right"/>
              <w:ind w:right="4672"/>
              <w:spacing w:after="0"/>
              <w:rPr>
                <w:sz w:val="20"/>
                <w:szCs w:val="20"/>
                <w:color w:val="auto"/>
              </w:rPr>
            </w:pPr>
            <w:r>
              <w:rPr>
                <w:rFonts w:ascii="Arial" w:cs="Arial" w:eastAsia="Arial" w:hAnsi="Arial"/>
                <w:sz w:val="18"/>
                <w:szCs w:val="18"/>
                <w:color w:val="auto"/>
              </w:rPr>
              <w:t>2002:</w:t>
            </w:r>
          </w:p>
        </w:tc>
        <w:tc>
          <w:tcPr>
            <w:tcW w:w="1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5660" w:type="dxa"/>
            <w:vAlign w:val="bottom"/>
          </w:tcPr>
          <w:p>
            <w:pPr>
              <w:jc w:val="right"/>
              <w:ind w:right="3332"/>
              <w:spacing w:after="0"/>
              <w:rPr>
                <w:sz w:val="20"/>
                <w:szCs w:val="20"/>
                <w:color w:val="auto"/>
              </w:rPr>
            </w:pPr>
            <w:r>
              <w:rPr>
                <w:rFonts w:ascii="Arial" w:cs="Arial" w:eastAsia="Arial" w:hAnsi="Arial"/>
                <w:sz w:val="18"/>
                <w:szCs w:val="18"/>
                <w:color w:val="auto"/>
              </w:rPr>
              <w:t>Basic and Diluted</w:t>
            </w:r>
          </w:p>
        </w:tc>
        <w:tc>
          <w:tcPr>
            <w:tcW w:w="1620" w:type="dxa"/>
            <w:vAlign w:val="bottom"/>
          </w:tcPr>
          <w:p>
            <w:pPr>
              <w:ind w:left="500"/>
              <w:spacing w:after="0"/>
              <w:rPr>
                <w:sz w:val="20"/>
                <w:szCs w:val="20"/>
                <w:color w:val="auto"/>
              </w:rPr>
            </w:pPr>
            <w:r>
              <w:rPr>
                <w:rFonts w:ascii="Arial" w:cs="Arial" w:eastAsia="Arial" w:hAnsi="Arial"/>
                <w:sz w:val="18"/>
                <w:szCs w:val="18"/>
                <w:color w:val="auto"/>
              </w:rPr>
              <w:t>($32,816)</w:t>
            </w:r>
          </w:p>
        </w:tc>
        <w:tc>
          <w:tcPr>
            <w:tcW w:w="2080" w:type="dxa"/>
            <w:vAlign w:val="bottom"/>
            <w:gridSpan w:val="2"/>
          </w:tcPr>
          <w:p>
            <w:pPr>
              <w:jc w:val="center"/>
              <w:ind w:left="439"/>
              <w:spacing w:after="0"/>
              <w:rPr>
                <w:sz w:val="20"/>
                <w:szCs w:val="20"/>
                <w:color w:val="auto"/>
              </w:rPr>
            </w:pPr>
            <w:r>
              <w:rPr>
                <w:rFonts w:ascii="Arial" w:cs="Arial" w:eastAsia="Arial" w:hAnsi="Arial"/>
                <w:sz w:val="18"/>
                <w:szCs w:val="18"/>
                <w:color w:val="auto"/>
                <w:w w:val="87"/>
              </w:rPr>
              <w:t>43,950</w:t>
            </w:r>
          </w:p>
        </w:tc>
        <w:tc>
          <w:tcPr>
            <w:tcW w:w="500" w:type="dxa"/>
            <w:vAlign w:val="bottom"/>
          </w:tcPr>
          <w:p>
            <w:pPr>
              <w:spacing w:after="0"/>
              <w:rPr>
                <w:sz w:val="18"/>
                <w:szCs w:val="18"/>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($0.75)</w:t>
            </w:r>
          </w:p>
        </w:tc>
      </w:tr>
      <w:tr>
        <w:trPr>
          <w:trHeight w:val="216"/>
        </w:trPr>
        <w:tc>
          <w:tcPr>
            <w:tcW w:w="5660" w:type="dxa"/>
            <w:vAlign w:val="bottom"/>
            <w:shd w:val="clear" w:color="auto" w:fill="EEEEEE"/>
          </w:tcPr>
          <w:p>
            <w:pPr>
              <w:jc w:val="right"/>
              <w:ind w:right="4672"/>
              <w:spacing w:after="0"/>
              <w:rPr>
                <w:sz w:val="20"/>
                <w:szCs w:val="20"/>
                <w:color w:val="auto"/>
              </w:rPr>
            </w:pPr>
            <w:r>
              <w:rPr>
                <w:rFonts w:ascii="Arial" w:cs="Arial" w:eastAsia="Arial" w:hAnsi="Arial"/>
                <w:sz w:val="18"/>
                <w:szCs w:val="18"/>
                <w:color w:val="auto"/>
              </w:rPr>
              <w:t>2001:</w:t>
            </w:r>
          </w:p>
        </w:tc>
        <w:tc>
          <w:tcPr>
            <w:tcW w:w="1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22"/>
        </w:trPr>
        <w:tc>
          <w:tcPr>
            <w:tcW w:w="5660" w:type="dxa"/>
            <w:vAlign w:val="bottom"/>
          </w:tcPr>
          <w:p>
            <w:pPr>
              <w:jc w:val="right"/>
              <w:ind w:right="3332"/>
              <w:spacing w:after="0"/>
              <w:rPr>
                <w:sz w:val="20"/>
                <w:szCs w:val="20"/>
                <w:color w:val="auto"/>
              </w:rPr>
            </w:pPr>
            <w:r>
              <w:rPr>
                <w:rFonts w:ascii="Arial" w:cs="Arial" w:eastAsia="Arial" w:hAnsi="Arial"/>
                <w:sz w:val="18"/>
                <w:szCs w:val="18"/>
                <w:color w:val="auto"/>
              </w:rPr>
              <w:t>Basic and Diluted</w:t>
            </w:r>
          </w:p>
        </w:tc>
        <w:tc>
          <w:tcPr>
            <w:tcW w:w="1620" w:type="dxa"/>
            <w:vAlign w:val="bottom"/>
          </w:tcPr>
          <w:p>
            <w:pPr>
              <w:ind w:left="500"/>
              <w:spacing w:after="0"/>
              <w:rPr>
                <w:sz w:val="20"/>
                <w:szCs w:val="20"/>
                <w:color w:val="auto"/>
              </w:rPr>
            </w:pPr>
            <w:r>
              <w:rPr>
                <w:rFonts w:ascii="Arial" w:cs="Arial" w:eastAsia="Arial" w:hAnsi="Arial"/>
                <w:sz w:val="18"/>
                <w:szCs w:val="18"/>
                <w:color w:val="auto"/>
              </w:rPr>
              <w:t>($19,931)</w:t>
            </w:r>
          </w:p>
        </w:tc>
        <w:tc>
          <w:tcPr>
            <w:tcW w:w="2080" w:type="dxa"/>
            <w:vAlign w:val="bottom"/>
            <w:gridSpan w:val="2"/>
          </w:tcPr>
          <w:p>
            <w:pPr>
              <w:jc w:val="center"/>
              <w:ind w:left="439"/>
              <w:spacing w:after="0"/>
              <w:rPr>
                <w:sz w:val="20"/>
                <w:szCs w:val="20"/>
                <w:color w:val="auto"/>
              </w:rPr>
            </w:pPr>
            <w:r>
              <w:rPr>
                <w:rFonts w:ascii="Arial" w:cs="Arial" w:eastAsia="Arial" w:hAnsi="Arial"/>
                <w:sz w:val="18"/>
                <w:szCs w:val="18"/>
                <w:color w:val="auto"/>
                <w:w w:val="87"/>
              </w:rPr>
              <w:t>43,648</w:t>
            </w:r>
          </w:p>
        </w:tc>
        <w:tc>
          <w:tcPr>
            <w:tcW w:w="500" w:type="dxa"/>
            <w:vAlign w:val="bottom"/>
          </w:tcPr>
          <w:p>
            <w:pPr>
              <w:spacing w:after="0"/>
              <w:rPr>
                <w:sz w:val="19"/>
                <w:szCs w:val="19"/>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($0.46)</w:t>
            </w:r>
          </w:p>
        </w:tc>
      </w:tr>
      <w:tr>
        <w:trPr>
          <w:trHeight w:val="398"/>
        </w:trPr>
        <w:tc>
          <w:tcPr>
            <w:tcW w:w="5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Nine Months Ended September 30,</w:t>
            </w:r>
          </w:p>
        </w:tc>
        <w:tc>
          <w:tcPr>
            <w:tcW w:w="1560" w:type="dxa"/>
            <w:vAlign w:val="bottom"/>
          </w:tcPr>
          <w:p>
            <w:pPr>
              <w:spacing w:after="0"/>
              <w:rPr>
                <w:sz w:val="24"/>
                <w:szCs w:val="24"/>
                <w:color w:val="auto"/>
              </w:rPr>
            </w:pPr>
          </w:p>
        </w:tc>
      </w:tr>
      <w:tr>
        <w:trPr>
          <w:trHeight w:val="95"/>
        </w:trPr>
        <w:tc>
          <w:tcPr>
            <w:tcW w:w="56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gridSpan w:val="2"/>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239"/>
        </w:trPr>
        <w:tc>
          <w:tcPr>
            <w:tcW w:w="5660" w:type="dxa"/>
            <w:vAlign w:val="bottom"/>
          </w:tcPr>
          <w:p>
            <w:pPr>
              <w:spacing w:after="0"/>
              <w:rPr>
                <w:sz w:val="20"/>
                <w:szCs w:val="20"/>
                <w:color w:val="auto"/>
              </w:rPr>
            </w:pPr>
          </w:p>
        </w:tc>
        <w:tc>
          <w:tcPr>
            <w:tcW w:w="1620" w:type="dxa"/>
            <w:vAlign w:val="bottom"/>
          </w:tcPr>
          <w:p>
            <w:pPr>
              <w:ind w:left="480"/>
              <w:spacing w:after="0"/>
              <w:rPr>
                <w:sz w:val="20"/>
                <w:szCs w:val="20"/>
                <w:color w:val="auto"/>
              </w:rPr>
            </w:pPr>
            <w:r>
              <w:rPr>
                <w:rFonts w:ascii="Arial" w:cs="Arial" w:eastAsia="Arial" w:hAnsi="Arial"/>
                <w:sz w:val="14"/>
                <w:szCs w:val="14"/>
                <w:color w:val="auto"/>
              </w:rPr>
              <w:t>Net Loss, in</w:t>
            </w:r>
          </w:p>
        </w:tc>
        <w:tc>
          <w:tcPr>
            <w:tcW w:w="500" w:type="dxa"/>
            <w:vAlign w:val="bottom"/>
          </w:tcPr>
          <w:p>
            <w:pPr>
              <w:spacing w:after="0"/>
              <w:rPr>
                <w:sz w:val="20"/>
                <w:szCs w:val="20"/>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color w:val="auto"/>
                <w:w w:val="85"/>
              </w:rPr>
              <w:t>Shares, in</w:t>
            </w:r>
          </w:p>
        </w:tc>
        <w:tc>
          <w:tcPr>
            <w:tcW w:w="1560" w:type="dxa"/>
            <w:vAlign w:val="bottom"/>
          </w:tcPr>
          <w:p>
            <w:pPr>
              <w:spacing w:after="0"/>
              <w:rPr>
                <w:sz w:val="20"/>
                <w:szCs w:val="20"/>
                <w:color w:val="auto"/>
              </w:rPr>
            </w:pPr>
          </w:p>
        </w:tc>
      </w:tr>
      <w:tr>
        <w:trPr>
          <w:trHeight w:val="149"/>
        </w:trPr>
        <w:tc>
          <w:tcPr>
            <w:tcW w:w="5660" w:type="dxa"/>
            <w:vAlign w:val="bottom"/>
          </w:tcPr>
          <w:p>
            <w:pPr>
              <w:spacing w:after="0"/>
              <w:rPr>
                <w:sz w:val="12"/>
                <w:szCs w:val="12"/>
                <w:color w:val="auto"/>
              </w:rPr>
            </w:pPr>
          </w:p>
        </w:tc>
        <w:tc>
          <w:tcPr>
            <w:tcW w:w="1620" w:type="dxa"/>
            <w:vAlign w:val="bottom"/>
          </w:tcPr>
          <w:p>
            <w:pPr>
              <w:ind w:left="540"/>
              <w:spacing w:after="0" w:line="149" w:lineRule="exact"/>
              <w:rPr>
                <w:sz w:val="20"/>
                <w:szCs w:val="20"/>
                <w:color w:val="auto"/>
              </w:rPr>
            </w:pPr>
            <w:r>
              <w:rPr>
                <w:rFonts w:ascii="Arial" w:cs="Arial" w:eastAsia="Arial" w:hAnsi="Arial"/>
                <w:sz w:val="14"/>
                <w:szCs w:val="14"/>
                <w:color w:val="auto"/>
              </w:rPr>
              <w:t>thousands</w:t>
            </w:r>
          </w:p>
        </w:tc>
        <w:tc>
          <w:tcPr>
            <w:tcW w:w="5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3"/>
              </w:rPr>
              <w:t>thousands</w:t>
            </w:r>
          </w:p>
        </w:tc>
        <w:tc>
          <w:tcPr>
            <w:tcW w:w="1560" w:type="dxa"/>
            <w:vAlign w:val="bottom"/>
          </w:tcPr>
          <w:p>
            <w:pPr>
              <w:spacing w:after="0"/>
              <w:rPr>
                <w:sz w:val="12"/>
                <w:szCs w:val="12"/>
                <w:color w:val="auto"/>
              </w:rPr>
            </w:pPr>
          </w:p>
        </w:tc>
      </w:tr>
      <w:tr>
        <w:trPr>
          <w:trHeight w:val="172"/>
        </w:trPr>
        <w:tc>
          <w:tcPr>
            <w:tcW w:w="5660" w:type="dxa"/>
            <w:vAlign w:val="bottom"/>
          </w:tcPr>
          <w:p>
            <w:pPr>
              <w:spacing w:after="0"/>
              <w:rPr>
                <w:sz w:val="14"/>
                <w:szCs w:val="14"/>
                <w:color w:val="auto"/>
              </w:rPr>
            </w:pPr>
          </w:p>
        </w:tc>
        <w:tc>
          <w:tcPr>
            <w:tcW w:w="1620" w:type="dxa"/>
            <w:vAlign w:val="bottom"/>
          </w:tcPr>
          <w:p>
            <w:pPr>
              <w:ind w:left="480"/>
              <w:spacing w:after="0"/>
              <w:rPr>
                <w:sz w:val="20"/>
                <w:szCs w:val="20"/>
                <w:color w:val="auto"/>
              </w:rPr>
            </w:pPr>
            <w:r>
              <w:rPr>
                <w:rFonts w:ascii="Arial" w:cs="Arial" w:eastAsia="Arial" w:hAnsi="Arial"/>
                <w:sz w:val="14"/>
                <w:szCs w:val="14"/>
                <w:color w:val="auto"/>
              </w:rPr>
              <w:t>(Numerator)</w:t>
            </w:r>
          </w:p>
        </w:tc>
        <w:tc>
          <w:tcPr>
            <w:tcW w:w="500" w:type="dxa"/>
            <w:vAlign w:val="bottom"/>
          </w:tcPr>
          <w:p>
            <w:pPr>
              <w:spacing w:after="0"/>
              <w:rPr>
                <w:sz w:val="14"/>
                <w:szCs w:val="14"/>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(Denominator)</w:t>
            </w:r>
          </w:p>
        </w:tc>
        <w:tc>
          <w:tcPr>
            <w:tcW w:w="1560" w:type="dxa"/>
            <w:vAlign w:val="bottom"/>
          </w:tcPr>
          <w:p>
            <w:pPr>
              <w:jc w:val="right"/>
              <w:ind w:right="199"/>
              <w:spacing w:after="0"/>
              <w:rPr>
                <w:sz w:val="20"/>
                <w:szCs w:val="20"/>
                <w:color w:val="auto"/>
              </w:rPr>
            </w:pPr>
            <w:r>
              <w:rPr>
                <w:rFonts w:ascii="Arial" w:cs="Arial" w:eastAsia="Arial" w:hAnsi="Arial"/>
                <w:sz w:val="14"/>
                <w:szCs w:val="14"/>
                <w:color w:val="auto"/>
              </w:rPr>
              <w:t>Per Share Amount</w:t>
            </w:r>
          </w:p>
        </w:tc>
      </w:tr>
      <w:tr>
        <w:trPr>
          <w:trHeight w:val="95"/>
        </w:trPr>
        <w:tc>
          <w:tcPr>
            <w:tcW w:w="566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102"/>
        </w:trPr>
        <w:tc>
          <w:tcPr>
            <w:tcW w:w="5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5660" w:type="dxa"/>
            <w:vAlign w:val="bottom"/>
            <w:shd w:val="clear" w:color="auto" w:fill="EEEEEE"/>
          </w:tcPr>
          <w:p>
            <w:pPr>
              <w:jc w:val="right"/>
              <w:ind w:right="4672"/>
              <w:spacing w:after="0"/>
              <w:rPr>
                <w:sz w:val="20"/>
                <w:szCs w:val="20"/>
                <w:color w:val="auto"/>
              </w:rPr>
            </w:pPr>
            <w:r>
              <w:rPr>
                <w:rFonts w:ascii="Arial" w:cs="Arial" w:eastAsia="Arial" w:hAnsi="Arial"/>
                <w:sz w:val="18"/>
                <w:szCs w:val="18"/>
                <w:color w:val="auto"/>
              </w:rPr>
              <w:t>2002:</w:t>
            </w:r>
          </w:p>
        </w:tc>
        <w:tc>
          <w:tcPr>
            <w:tcW w:w="1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5660" w:type="dxa"/>
            <w:vAlign w:val="bottom"/>
          </w:tcPr>
          <w:p>
            <w:pPr>
              <w:jc w:val="right"/>
              <w:ind w:right="3332"/>
              <w:spacing w:after="0"/>
              <w:rPr>
                <w:sz w:val="20"/>
                <w:szCs w:val="20"/>
                <w:color w:val="auto"/>
              </w:rPr>
            </w:pPr>
            <w:r>
              <w:rPr>
                <w:rFonts w:ascii="Arial" w:cs="Arial" w:eastAsia="Arial" w:hAnsi="Arial"/>
                <w:sz w:val="18"/>
                <w:szCs w:val="18"/>
                <w:color w:val="auto"/>
              </w:rPr>
              <w:t>Basic and Diluted</w:t>
            </w:r>
          </w:p>
        </w:tc>
        <w:tc>
          <w:tcPr>
            <w:tcW w:w="1620" w:type="dxa"/>
            <w:vAlign w:val="bottom"/>
          </w:tcPr>
          <w:p>
            <w:pPr>
              <w:ind w:left="500"/>
              <w:spacing w:after="0"/>
              <w:rPr>
                <w:sz w:val="20"/>
                <w:szCs w:val="20"/>
                <w:color w:val="auto"/>
              </w:rPr>
            </w:pPr>
            <w:r>
              <w:rPr>
                <w:rFonts w:ascii="Arial" w:cs="Arial" w:eastAsia="Arial" w:hAnsi="Arial"/>
                <w:sz w:val="18"/>
                <w:szCs w:val="18"/>
                <w:color w:val="auto"/>
              </w:rPr>
              <w:t>($88,684)</w:t>
            </w:r>
          </w:p>
        </w:tc>
        <w:tc>
          <w:tcPr>
            <w:tcW w:w="2080" w:type="dxa"/>
            <w:vAlign w:val="bottom"/>
            <w:gridSpan w:val="2"/>
          </w:tcPr>
          <w:p>
            <w:pPr>
              <w:jc w:val="center"/>
              <w:ind w:left="439"/>
              <w:spacing w:after="0"/>
              <w:rPr>
                <w:sz w:val="20"/>
                <w:szCs w:val="20"/>
                <w:color w:val="auto"/>
              </w:rPr>
            </w:pPr>
            <w:r>
              <w:rPr>
                <w:rFonts w:ascii="Arial" w:cs="Arial" w:eastAsia="Arial" w:hAnsi="Arial"/>
                <w:sz w:val="18"/>
                <w:szCs w:val="18"/>
                <w:color w:val="auto"/>
                <w:w w:val="87"/>
              </w:rPr>
              <w:t>43,895</w:t>
            </w:r>
          </w:p>
        </w:tc>
        <w:tc>
          <w:tcPr>
            <w:tcW w:w="500" w:type="dxa"/>
            <w:vAlign w:val="bottom"/>
          </w:tcPr>
          <w:p>
            <w:pPr>
              <w:spacing w:after="0"/>
              <w:rPr>
                <w:sz w:val="18"/>
                <w:szCs w:val="18"/>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($2.02)</w:t>
            </w:r>
          </w:p>
        </w:tc>
      </w:tr>
      <w:tr>
        <w:trPr>
          <w:trHeight w:val="216"/>
        </w:trPr>
        <w:tc>
          <w:tcPr>
            <w:tcW w:w="5660" w:type="dxa"/>
            <w:vAlign w:val="bottom"/>
            <w:shd w:val="clear" w:color="auto" w:fill="EEEEEE"/>
          </w:tcPr>
          <w:p>
            <w:pPr>
              <w:jc w:val="right"/>
              <w:ind w:right="4672"/>
              <w:spacing w:after="0"/>
              <w:rPr>
                <w:sz w:val="20"/>
                <w:szCs w:val="20"/>
                <w:color w:val="auto"/>
              </w:rPr>
            </w:pPr>
            <w:r>
              <w:rPr>
                <w:rFonts w:ascii="Arial" w:cs="Arial" w:eastAsia="Arial" w:hAnsi="Arial"/>
                <w:sz w:val="18"/>
                <w:szCs w:val="18"/>
                <w:color w:val="auto"/>
              </w:rPr>
              <w:t>2001:</w:t>
            </w:r>
          </w:p>
        </w:tc>
        <w:tc>
          <w:tcPr>
            <w:tcW w:w="1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22"/>
        </w:trPr>
        <w:tc>
          <w:tcPr>
            <w:tcW w:w="5660" w:type="dxa"/>
            <w:vAlign w:val="bottom"/>
          </w:tcPr>
          <w:p>
            <w:pPr>
              <w:jc w:val="right"/>
              <w:ind w:right="3332"/>
              <w:spacing w:after="0"/>
              <w:rPr>
                <w:sz w:val="20"/>
                <w:szCs w:val="20"/>
                <w:color w:val="auto"/>
              </w:rPr>
            </w:pPr>
            <w:r>
              <w:rPr>
                <w:rFonts w:ascii="Arial" w:cs="Arial" w:eastAsia="Arial" w:hAnsi="Arial"/>
                <w:sz w:val="18"/>
                <w:szCs w:val="18"/>
                <w:color w:val="auto"/>
              </w:rPr>
              <w:t>Basic and Diluted</w:t>
            </w:r>
          </w:p>
        </w:tc>
        <w:tc>
          <w:tcPr>
            <w:tcW w:w="1620" w:type="dxa"/>
            <w:vAlign w:val="bottom"/>
          </w:tcPr>
          <w:p>
            <w:pPr>
              <w:ind w:left="500"/>
              <w:spacing w:after="0"/>
              <w:rPr>
                <w:sz w:val="20"/>
                <w:szCs w:val="20"/>
                <w:color w:val="auto"/>
              </w:rPr>
            </w:pPr>
            <w:r>
              <w:rPr>
                <w:rFonts w:ascii="Arial" w:cs="Arial" w:eastAsia="Arial" w:hAnsi="Arial"/>
                <w:sz w:val="18"/>
                <w:szCs w:val="18"/>
                <w:color w:val="auto"/>
              </w:rPr>
              <w:t>($47,802)</w:t>
            </w:r>
          </w:p>
        </w:tc>
        <w:tc>
          <w:tcPr>
            <w:tcW w:w="2080" w:type="dxa"/>
            <w:vAlign w:val="bottom"/>
            <w:gridSpan w:val="2"/>
          </w:tcPr>
          <w:p>
            <w:pPr>
              <w:jc w:val="center"/>
              <w:ind w:left="439"/>
              <w:spacing w:after="0"/>
              <w:rPr>
                <w:sz w:val="20"/>
                <w:szCs w:val="20"/>
                <w:color w:val="auto"/>
              </w:rPr>
            </w:pPr>
            <w:r>
              <w:rPr>
                <w:rFonts w:ascii="Arial" w:cs="Arial" w:eastAsia="Arial" w:hAnsi="Arial"/>
                <w:sz w:val="18"/>
                <w:szCs w:val="18"/>
                <w:color w:val="auto"/>
                <w:w w:val="87"/>
              </w:rPr>
              <w:t>41,530</w:t>
            </w:r>
          </w:p>
        </w:tc>
        <w:tc>
          <w:tcPr>
            <w:tcW w:w="500" w:type="dxa"/>
            <w:vAlign w:val="bottom"/>
          </w:tcPr>
          <w:p>
            <w:pPr>
              <w:spacing w:after="0"/>
              <w:rPr>
                <w:sz w:val="19"/>
                <w:szCs w:val="19"/>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($1.15)</w:t>
            </w:r>
          </w:p>
        </w:tc>
      </w:tr>
    </w:tbl>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80" w:type="dxa"/>
            <w:vAlign w:val="bottom"/>
            <w:gridSpan w:val="3"/>
          </w:tcPr>
          <w:p>
            <w:pPr>
              <w:jc w:val="right"/>
              <w:ind w:right="820"/>
              <w:spacing w:after="0"/>
              <w:rPr>
                <w:sz w:val="20"/>
                <w:szCs w:val="20"/>
                <w:color w:val="auto"/>
              </w:rPr>
            </w:pPr>
            <w:r>
              <w:rPr>
                <w:rFonts w:ascii="Arial" w:cs="Arial" w:eastAsia="Arial" w:hAnsi="Arial"/>
                <w:sz w:val="14"/>
                <w:szCs w:val="14"/>
                <w:color w:val="auto"/>
              </w:rPr>
              <w:t>Three Months Ended September 30,</w:t>
            </w:r>
          </w:p>
        </w:tc>
      </w:tr>
      <w:tr>
        <w:trPr>
          <w:trHeight w:val="95"/>
        </w:trPr>
        <w:tc>
          <w:tcPr>
            <w:tcW w:w="47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263"/>
        </w:trPr>
        <w:tc>
          <w:tcPr>
            <w:tcW w:w="4780" w:type="dxa"/>
            <w:vAlign w:val="bottom"/>
          </w:tcPr>
          <w:p>
            <w:pPr>
              <w:spacing w:after="0"/>
              <w:rPr>
                <w:sz w:val="22"/>
                <w:szCs w:val="22"/>
                <w:color w:val="auto"/>
              </w:rPr>
            </w:pPr>
          </w:p>
        </w:tc>
        <w:tc>
          <w:tcPr>
            <w:tcW w:w="4580" w:type="dxa"/>
            <w:vAlign w:val="bottom"/>
            <w:gridSpan w:val="2"/>
          </w:tcPr>
          <w:p>
            <w:pPr>
              <w:jc w:val="right"/>
              <w:ind w:right="552"/>
              <w:spacing w:after="0"/>
              <w:rPr>
                <w:sz w:val="20"/>
                <w:szCs w:val="20"/>
                <w:color w:val="auto"/>
              </w:rPr>
            </w:pPr>
            <w:r>
              <w:rPr>
                <w:rFonts w:ascii="Arial" w:cs="Arial" w:eastAsia="Arial" w:hAnsi="Arial"/>
                <w:sz w:val="14"/>
                <w:szCs w:val="14"/>
                <w:color w:val="auto"/>
              </w:rPr>
              <w:t>2002</w:t>
            </w:r>
          </w:p>
        </w:tc>
        <w:tc>
          <w:tcPr>
            <w:tcW w:w="2060" w:type="dxa"/>
            <w:vAlign w:val="bottom"/>
            <w:gridSpan w:val="2"/>
          </w:tcPr>
          <w:p>
            <w:pPr>
              <w:jc w:val="right"/>
              <w:ind w:right="620"/>
              <w:spacing w:after="0"/>
              <w:rPr>
                <w:sz w:val="20"/>
                <w:szCs w:val="20"/>
                <w:color w:val="auto"/>
              </w:rPr>
            </w:pPr>
            <w:r>
              <w:rPr>
                <w:rFonts w:ascii="Arial" w:cs="Arial" w:eastAsia="Arial" w:hAnsi="Arial"/>
                <w:sz w:val="14"/>
                <w:szCs w:val="14"/>
                <w:color w:val="auto"/>
              </w:rPr>
              <w:t>2001</w:t>
            </w:r>
          </w:p>
        </w:tc>
      </w:tr>
      <w:tr>
        <w:trPr>
          <w:trHeight w:val="95"/>
        </w:trPr>
        <w:tc>
          <w:tcPr>
            <w:tcW w:w="47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r>
      <w:tr>
        <w:trPr>
          <w:trHeight w:val="102"/>
        </w:trPr>
        <w:tc>
          <w:tcPr>
            <w:tcW w:w="47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6"/>
        </w:trPr>
        <w:tc>
          <w:tcPr>
            <w:tcW w:w="478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Options:</w:t>
            </w:r>
          </w:p>
        </w:tc>
        <w:tc>
          <w:tcPr>
            <w:tcW w:w="30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r>
      <w:tr>
        <w:trPr>
          <w:trHeight w:val="216"/>
        </w:trPr>
        <w:tc>
          <w:tcPr>
            <w:tcW w:w="4780" w:type="dxa"/>
            <w:vAlign w:val="bottom"/>
          </w:tcPr>
          <w:p>
            <w:pPr>
              <w:ind w:left="1060"/>
              <w:spacing w:after="0"/>
              <w:rPr>
                <w:sz w:val="20"/>
                <w:szCs w:val="20"/>
                <w:color w:val="auto"/>
              </w:rPr>
            </w:pPr>
            <w:r>
              <w:rPr>
                <w:rFonts w:ascii="Arial" w:cs="Arial" w:eastAsia="Arial" w:hAnsi="Arial"/>
                <w:sz w:val="18"/>
                <w:szCs w:val="18"/>
                <w:color w:val="auto"/>
              </w:rPr>
              <w:t>Weighted Average Number, in thousands</w:t>
            </w:r>
          </w:p>
        </w:tc>
        <w:tc>
          <w:tcPr>
            <w:tcW w:w="4580" w:type="dxa"/>
            <w:vAlign w:val="bottom"/>
            <w:gridSpan w:val="2"/>
          </w:tcPr>
          <w:p>
            <w:pPr>
              <w:jc w:val="right"/>
              <w:ind w:right="492"/>
              <w:spacing w:after="0"/>
              <w:rPr>
                <w:sz w:val="20"/>
                <w:szCs w:val="20"/>
                <w:color w:val="auto"/>
              </w:rPr>
            </w:pPr>
            <w:r>
              <w:rPr>
                <w:rFonts w:ascii="Arial" w:cs="Arial" w:eastAsia="Arial" w:hAnsi="Arial"/>
                <w:sz w:val="18"/>
                <w:szCs w:val="18"/>
                <w:color w:val="auto"/>
              </w:rPr>
              <w:t>9,483</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7,467</w:t>
            </w:r>
          </w:p>
        </w:tc>
      </w:tr>
      <w:tr>
        <w:trPr>
          <w:trHeight w:val="216"/>
        </w:trPr>
        <w:tc>
          <w:tcPr>
            <w:tcW w:w="478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Exercise Price</w:t>
            </w:r>
          </w:p>
        </w:tc>
        <w:tc>
          <w:tcPr>
            <w:tcW w:w="45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$21.38</w:t>
            </w:r>
          </w:p>
        </w:tc>
        <w:tc>
          <w:tcPr>
            <w:tcW w:w="20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$19.22</w:t>
            </w:r>
          </w:p>
        </w:tc>
      </w:tr>
      <w:tr>
        <w:trPr>
          <w:trHeight w:val="216"/>
        </w:trPr>
        <w:tc>
          <w:tcPr>
            <w:tcW w:w="4780" w:type="dxa"/>
            <w:vAlign w:val="bottom"/>
          </w:tcPr>
          <w:p>
            <w:pPr>
              <w:ind w:left="540"/>
              <w:spacing w:after="0"/>
              <w:rPr>
                <w:sz w:val="20"/>
                <w:szCs w:val="20"/>
                <w:color w:val="auto"/>
              </w:rPr>
            </w:pPr>
            <w:r>
              <w:rPr>
                <w:rFonts w:ascii="Arial" w:cs="Arial" w:eastAsia="Arial" w:hAnsi="Arial"/>
                <w:sz w:val="18"/>
                <w:szCs w:val="18"/>
                <w:color w:val="auto"/>
              </w:rPr>
              <w:t>Restricted Stock Awards:</w:t>
            </w:r>
          </w:p>
        </w:tc>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78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Number, in thousands</w:t>
            </w:r>
          </w:p>
        </w:tc>
        <w:tc>
          <w:tcPr>
            <w:tcW w:w="45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73</w:t>
            </w:r>
          </w:p>
        </w:tc>
        <w:tc>
          <w:tcPr>
            <w:tcW w:w="20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34</w:t>
            </w:r>
          </w:p>
        </w:tc>
      </w:tr>
      <w:tr>
        <w:trPr>
          <w:trHeight w:val="216"/>
        </w:trPr>
        <w:tc>
          <w:tcPr>
            <w:tcW w:w="4780" w:type="dxa"/>
            <w:vAlign w:val="bottom"/>
          </w:tcPr>
          <w:p>
            <w:pPr>
              <w:ind w:left="540"/>
              <w:spacing w:after="0"/>
              <w:rPr>
                <w:sz w:val="20"/>
                <w:szCs w:val="20"/>
                <w:color w:val="auto"/>
              </w:rPr>
            </w:pPr>
            <w:r>
              <w:rPr>
                <w:rFonts w:ascii="Arial" w:cs="Arial" w:eastAsia="Arial" w:hAnsi="Arial"/>
                <w:sz w:val="18"/>
                <w:szCs w:val="18"/>
                <w:color w:val="auto"/>
              </w:rPr>
              <w:t>Convertible Debt:</w:t>
            </w:r>
          </w:p>
        </w:tc>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78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Number, in thousands</w:t>
            </w:r>
          </w:p>
        </w:tc>
        <w:tc>
          <w:tcPr>
            <w:tcW w:w="45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6,611</w:t>
            </w:r>
          </w:p>
        </w:tc>
        <w:tc>
          <w:tcPr>
            <w:tcW w:w="5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r>
      <w:tr>
        <w:trPr>
          <w:trHeight w:val="222"/>
        </w:trPr>
        <w:tc>
          <w:tcPr>
            <w:tcW w:w="4780" w:type="dxa"/>
            <w:vAlign w:val="bottom"/>
          </w:tcPr>
          <w:p>
            <w:pPr>
              <w:ind w:left="1060"/>
              <w:spacing w:after="0"/>
              <w:rPr>
                <w:sz w:val="20"/>
                <w:szCs w:val="20"/>
                <w:color w:val="auto"/>
              </w:rPr>
            </w:pPr>
            <w:r>
              <w:rPr>
                <w:rFonts w:ascii="Arial" w:cs="Arial" w:eastAsia="Arial" w:hAnsi="Arial"/>
                <w:sz w:val="18"/>
                <w:szCs w:val="18"/>
                <w:color w:val="auto"/>
              </w:rPr>
              <w:t>Conversion Price</w:t>
            </w:r>
          </w:p>
        </w:tc>
        <w:tc>
          <w:tcPr>
            <w:tcW w:w="4580" w:type="dxa"/>
            <w:vAlign w:val="bottom"/>
            <w:gridSpan w:val="2"/>
          </w:tcPr>
          <w:p>
            <w:pPr>
              <w:jc w:val="right"/>
              <w:ind w:right="492"/>
              <w:spacing w:after="0"/>
              <w:rPr>
                <w:sz w:val="20"/>
                <w:szCs w:val="20"/>
                <w:color w:val="auto"/>
              </w:rPr>
            </w:pPr>
            <w:r>
              <w:rPr>
                <w:rFonts w:ascii="Arial" w:cs="Arial" w:eastAsia="Arial" w:hAnsi="Arial"/>
                <w:sz w:val="18"/>
                <w:szCs w:val="18"/>
                <w:color w:val="auto"/>
              </w:rPr>
              <w:t>$30.25</w:t>
            </w: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4"/>
        </w:trPr>
        <w:tc>
          <w:tcPr>
            <w:tcW w:w="4780" w:type="dxa"/>
            <w:vAlign w:val="bottom"/>
          </w:tcPr>
          <w:p>
            <w:pPr>
              <w:spacing w:after="0"/>
              <w:rPr>
                <w:sz w:val="24"/>
                <w:szCs w:val="24"/>
                <w:color w:val="auto"/>
              </w:rPr>
            </w:pPr>
          </w:p>
        </w:tc>
        <w:tc>
          <w:tcPr>
            <w:tcW w:w="3060" w:type="dxa"/>
            <w:vAlign w:val="bottom"/>
          </w:tcPr>
          <w:p>
            <w:pPr>
              <w:jc w:val="right"/>
              <w:ind w:right="1955"/>
              <w:spacing w:after="0"/>
              <w:rPr>
                <w:sz w:val="20"/>
                <w:szCs w:val="20"/>
                <w:color w:val="auto"/>
              </w:rPr>
            </w:pPr>
            <w:r>
              <w:rPr>
                <w:rFonts w:ascii="Arial" w:cs="Arial" w:eastAsia="Arial" w:hAnsi="Arial"/>
                <w:sz w:val="18"/>
                <w:szCs w:val="18"/>
                <w:color w:val="auto"/>
              </w:rPr>
              <w:t>10</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8"/>
        </w:trPr>
        <w:tc>
          <w:tcPr>
            <w:tcW w:w="47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20" w:type="dxa"/>
            <w:vAlign w:val="bottom"/>
          </w:tcPr>
          <w:p>
            <w:pPr>
              <w:spacing w:after="0"/>
              <w:rPr>
                <w:sz w:val="14"/>
                <w:szCs w:val="14"/>
                <w:color w:val="auto"/>
              </w:rPr>
            </w:pPr>
          </w:p>
        </w:tc>
        <w:tc>
          <w:tcPr>
            <w:tcW w:w="2940" w:type="dxa"/>
            <w:vAlign w:val="bottom"/>
            <w:gridSpan w:val="3"/>
          </w:tcPr>
          <w:p>
            <w:pPr>
              <w:jc w:val="right"/>
              <w:ind w:right="520"/>
              <w:spacing w:after="0"/>
              <w:rPr>
                <w:sz w:val="20"/>
                <w:szCs w:val="20"/>
                <w:color w:val="auto"/>
              </w:rPr>
            </w:pPr>
            <w:r>
              <w:rPr>
                <w:rFonts w:ascii="Arial" w:cs="Arial" w:eastAsia="Arial" w:hAnsi="Arial"/>
                <w:sz w:val="14"/>
                <w:szCs w:val="14"/>
                <w:color w:val="auto"/>
              </w:rPr>
              <w:t>Nine Months Ended September 30,</w:t>
            </w:r>
          </w:p>
        </w:tc>
      </w:tr>
      <w:tr>
        <w:trPr>
          <w:trHeight w:val="95"/>
        </w:trPr>
        <w:tc>
          <w:tcPr>
            <w:tcW w:w="84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263"/>
        </w:trPr>
        <w:tc>
          <w:tcPr>
            <w:tcW w:w="8420" w:type="dxa"/>
            <w:vAlign w:val="bottom"/>
          </w:tcPr>
          <w:p>
            <w:pPr>
              <w:spacing w:after="0"/>
              <w:rPr>
                <w:sz w:val="22"/>
                <w:szCs w:val="22"/>
                <w:color w:val="auto"/>
              </w:rPr>
            </w:pPr>
          </w:p>
        </w:tc>
        <w:tc>
          <w:tcPr>
            <w:tcW w:w="1200" w:type="dxa"/>
            <w:vAlign w:val="bottom"/>
          </w:tcPr>
          <w:p>
            <w:pPr>
              <w:jc w:val="right"/>
              <w:ind w:right="378"/>
              <w:spacing w:after="0"/>
              <w:rPr>
                <w:sz w:val="20"/>
                <w:szCs w:val="20"/>
                <w:color w:val="auto"/>
              </w:rPr>
            </w:pPr>
            <w:r>
              <w:rPr>
                <w:rFonts w:ascii="Arial" w:cs="Arial" w:eastAsia="Arial" w:hAnsi="Arial"/>
                <w:sz w:val="14"/>
                <w:szCs w:val="14"/>
                <w:color w:val="auto"/>
              </w:rPr>
              <w:t>2002</w:t>
            </w:r>
          </w:p>
        </w:tc>
        <w:tc>
          <w:tcPr>
            <w:tcW w:w="1740" w:type="dxa"/>
            <w:vAlign w:val="bottom"/>
            <w:gridSpan w:val="2"/>
          </w:tcPr>
          <w:p>
            <w:pPr>
              <w:jc w:val="right"/>
              <w:ind w:right="460"/>
              <w:spacing w:after="0"/>
              <w:rPr>
                <w:sz w:val="20"/>
                <w:szCs w:val="20"/>
                <w:color w:val="auto"/>
              </w:rPr>
            </w:pPr>
            <w:r>
              <w:rPr>
                <w:rFonts w:ascii="Arial" w:cs="Arial" w:eastAsia="Arial" w:hAnsi="Arial"/>
                <w:sz w:val="14"/>
                <w:szCs w:val="14"/>
                <w:color w:val="auto"/>
              </w:rPr>
              <w:t>2001</w:t>
            </w:r>
          </w:p>
        </w:tc>
      </w:tr>
      <w:tr>
        <w:trPr>
          <w:trHeight w:val="95"/>
        </w:trPr>
        <w:tc>
          <w:tcPr>
            <w:tcW w:w="84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102"/>
        </w:trPr>
        <w:tc>
          <w:tcPr>
            <w:tcW w:w="8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6"/>
        </w:trPr>
        <w:tc>
          <w:tcPr>
            <w:tcW w:w="84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Options and Warrants:</w:t>
            </w: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r>
      <w:tr>
        <w:trPr>
          <w:trHeight w:val="216"/>
        </w:trPr>
        <w:tc>
          <w:tcPr>
            <w:tcW w:w="8420" w:type="dxa"/>
            <w:vAlign w:val="bottom"/>
          </w:tcPr>
          <w:p>
            <w:pPr>
              <w:ind w:left="1060"/>
              <w:spacing w:after="0"/>
              <w:rPr>
                <w:sz w:val="20"/>
                <w:szCs w:val="20"/>
                <w:color w:val="auto"/>
              </w:rPr>
            </w:pPr>
            <w:r>
              <w:rPr>
                <w:rFonts w:ascii="Arial" w:cs="Arial" w:eastAsia="Arial" w:hAnsi="Arial"/>
                <w:sz w:val="18"/>
                <w:szCs w:val="18"/>
                <w:color w:val="auto"/>
              </w:rPr>
              <w:t>Weighted Average Number, in thousands</w:t>
            </w:r>
          </w:p>
        </w:tc>
        <w:tc>
          <w:tcPr>
            <w:tcW w:w="1200" w:type="dxa"/>
            <w:vAlign w:val="bottom"/>
          </w:tcPr>
          <w:p>
            <w:pPr>
              <w:jc w:val="right"/>
              <w:ind w:right="378"/>
              <w:spacing w:after="0"/>
              <w:rPr>
                <w:sz w:val="20"/>
                <w:szCs w:val="20"/>
                <w:color w:val="auto"/>
              </w:rPr>
            </w:pPr>
            <w:r>
              <w:rPr>
                <w:rFonts w:ascii="Arial" w:cs="Arial" w:eastAsia="Arial" w:hAnsi="Arial"/>
                <w:sz w:val="18"/>
                <w:szCs w:val="18"/>
                <w:color w:val="auto"/>
              </w:rPr>
              <w:t>9,459</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7,542</w:t>
            </w:r>
          </w:p>
        </w:tc>
      </w:tr>
      <w:tr>
        <w:trPr>
          <w:trHeight w:val="216"/>
        </w:trPr>
        <w:tc>
          <w:tcPr>
            <w:tcW w:w="842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Exercise Price</w:t>
            </w:r>
          </w:p>
        </w:tc>
        <w:tc>
          <w:tcPr>
            <w:tcW w:w="12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$21.43</w:t>
            </w:r>
          </w:p>
        </w:tc>
        <w:tc>
          <w:tcPr>
            <w:tcW w:w="17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$19.10</w:t>
            </w:r>
          </w:p>
        </w:tc>
      </w:tr>
      <w:tr>
        <w:trPr>
          <w:trHeight w:val="216"/>
        </w:trPr>
        <w:tc>
          <w:tcPr>
            <w:tcW w:w="8420" w:type="dxa"/>
            <w:vAlign w:val="bottom"/>
          </w:tcPr>
          <w:p>
            <w:pPr>
              <w:ind w:left="540"/>
              <w:spacing w:after="0"/>
              <w:rPr>
                <w:sz w:val="20"/>
                <w:szCs w:val="20"/>
                <w:color w:val="auto"/>
              </w:rPr>
            </w:pPr>
            <w:r>
              <w:rPr>
                <w:rFonts w:ascii="Arial" w:cs="Arial" w:eastAsia="Arial" w:hAnsi="Arial"/>
                <w:sz w:val="18"/>
                <w:szCs w:val="18"/>
                <w:color w:val="auto"/>
              </w:rPr>
              <w:t>Restricted Stock Awards: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42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Number, in thousands</w:t>
            </w:r>
          </w:p>
        </w:tc>
        <w:tc>
          <w:tcPr>
            <w:tcW w:w="12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89</w:t>
            </w:r>
          </w:p>
        </w:tc>
        <w:tc>
          <w:tcPr>
            <w:tcW w:w="17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37</w:t>
            </w:r>
          </w:p>
        </w:tc>
      </w:tr>
      <w:tr>
        <w:trPr>
          <w:trHeight w:val="216"/>
        </w:trPr>
        <w:tc>
          <w:tcPr>
            <w:tcW w:w="8420" w:type="dxa"/>
            <w:vAlign w:val="bottom"/>
          </w:tcPr>
          <w:p>
            <w:pPr>
              <w:ind w:left="540"/>
              <w:spacing w:after="0"/>
              <w:rPr>
                <w:sz w:val="20"/>
                <w:szCs w:val="20"/>
                <w:color w:val="auto"/>
              </w:rPr>
            </w:pPr>
            <w:r>
              <w:rPr>
                <w:rFonts w:ascii="Arial" w:cs="Arial" w:eastAsia="Arial" w:hAnsi="Arial"/>
                <w:sz w:val="18"/>
                <w:szCs w:val="18"/>
                <w:color w:val="auto"/>
              </w:rPr>
              <w:t>Convertible Debt:</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420" w:type="dxa"/>
            <w:vAlign w:val="bottom"/>
            <w:shd w:val="clear" w:color="auto" w:fill="EEEEEE"/>
          </w:tcPr>
          <w:p>
            <w:pPr>
              <w:ind w:left="1060"/>
              <w:spacing w:after="0"/>
              <w:rPr>
                <w:sz w:val="20"/>
                <w:szCs w:val="20"/>
                <w:color w:val="auto"/>
              </w:rPr>
            </w:pPr>
            <w:r>
              <w:rPr>
                <w:rFonts w:ascii="Arial" w:cs="Arial" w:eastAsia="Arial" w:hAnsi="Arial"/>
                <w:sz w:val="18"/>
                <w:szCs w:val="18"/>
                <w:color w:val="auto"/>
              </w:rPr>
              <w:t>Weighted Average Number, in thousands</w:t>
            </w:r>
          </w:p>
        </w:tc>
        <w:tc>
          <w:tcPr>
            <w:tcW w:w="1200" w:type="dxa"/>
            <w:vAlign w:val="bottom"/>
            <w:shd w:val="clear" w:color="auto" w:fill="EEEEEE"/>
          </w:tcPr>
          <w:p>
            <w:pPr>
              <w:jc w:val="right"/>
              <w:ind w:right="378"/>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r>
      <w:tr>
        <w:trPr>
          <w:trHeight w:val="222"/>
        </w:trPr>
        <w:tc>
          <w:tcPr>
            <w:tcW w:w="8420" w:type="dxa"/>
            <w:vAlign w:val="bottom"/>
          </w:tcPr>
          <w:p>
            <w:pPr>
              <w:ind w:left="1060"/>
              <w:spacing w:after="0"/>
              <w:rPr>
                <w:sz w:val="20"/>
                <w:szCs w:val="20"/>
                <w:color w:val="auto"/>
              </w:rPr>
            </w:pPr>
            <w:r>
              <w:rPr>
                <w:rFonts w:ascii="Arial" w:cs="Arial" w:eastAsia="Arial" w:hAnsi="Arial"/>
                <w:sz w:val="18"/>
                <w:szCs w:val="18"/>
                <w:color w:val="auto"/>
              </w:rPr>
              <w:t>Conversion Price</w:t>
            </w:r>
          </w:p>
        </w:tc>
        <w:tc>
          <w:tcPr>
            <w:tcW w:w="1200" w:type="dxa"/>
            <w:vAlign w:val="bottom"/>
          </w:tcPr>
          <w:p>
            <w:pPr>
              <w:jc w:val="right"/>
              <w:ind w:right="378"/>
              <w:spacing w:after="0"/>
              <w:rPr>
                <w:sz w:val="20"/>
                <w:szCs w:val="20"/>
                <w:color w:val="auto"/>
              </w:rPr>
            </w:pPr>
            <w:r>
              <w:rPr>
                <w:rFonts w:ascii="Arial" w:cs="Arial" w:eastAsia="Arial" w:hAnsi="Arial"/>
                <w:sz w:val="18"/>
                <w:szCs w:val="18"/>
                <w:color w:val="auto"/>
              </w:rPr>
              <w:t>$30.25</w:t>
            </w: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principally managed in two business segments: research and development, and contract manufacturing.</w:t>
      </w:r>
    </w:p>
    <w:p>
      <w:pPr>
        <w:spacing w:after="0" w:line="225"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Research and development: Includes all activities related to the discovery of potential therapeutics for human medical conditions, and the development and commercialization of these discoveries. Also includes revenues and expenses related to the development of manufacturing processes prior to commencing commercial production of a product under contract manufacturing arrangements.</w:t>
      </w:r>
    </w:p>
    <w:p>
      <w:pPr>
        <w:spacing w:after="0" w:line="194"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Contract manufacturing: Includes all revenues and expenses related to the commercial production of products under contract manufacturing arrangements. The Company produces an intermediate for a Merck &amp; Co., Inc. pediatric vaccine under a long-term manufacturing agreement.</w:t>
      </w:r>
    </w:p>
    <w:p>
      <w:pPr>
        <w:spacing w:after="0" w:line="13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tables below present information about reported segments for the three and nine months ended September 30, 2002 and 2001.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gridSpan w:val="3"/>
          </w:tcPr>
          <w:p>
            <w:pPr>
              <w:jc w:val="right"/>
              <w:ind w:right="280"/>
              <w:spacing w:after="0"/>
              <w:rPr>
                <w:sz w:val="20"/>
                <w:szCs w:val="20"/>
                <w:color w:val="auto"/>
              </w:rPr>
            </w:pPr>
            <w:r>
              <w:rPr>
                <w:rFonts w:ascii="Arial" w:cs="Arial" w:eastAsia="Arial" w:hAnsi="Arial"/>
                <w:sz w:val="14"/>
                <w:szCs w:val="14"/>
                <w:color w:val="auto"/>
                <w:w w:val="95"/>
              </w:rPr>
              <w:t>Three Months Ended September 30, 2002</w:t>
            </w: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95"/>
        </w:trPr>
        <w:tc>
          <w:tcPr>
            <w:tcW w:w="44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r>
      <w:tr>
        <w:trPr>
          <w:trHeight w:val="239"/>
        </w:trPr>
        <w:tc>
          <w:tcPr>
            <w:tcW w:w="4480" w:type="dxa"/>
            <w:vAlign w:val="bottom"/>
          </w:tcPr>
          <w:p>
            <w:pPr>
              <w:spacing w:after="0"/>
              <w:rPr>
                <w:sz w:val="20"/>
                <w:szCs w:val="20"/>
                <w:color w:val="auto"/>
              </w:rPr>
            </w:pPr>
          </w:p>
        </w:tc>
        <w:tc>
          <w:tcPr>
            <w:tcW w:w="1600" w:type="dxa"/>
            <w:vAlign w:val="bottom"/>
          </w:tcPr>
          <w:p>
            <w:pPr>
              <w:jc w:val="right"/>
              <w:ind w:right="397"/>
              <w:spacing w:after="0"/>
              <w:rPr>
                <w:sz w:val="20"/>
                <w:szCs w:val="20"/>
                <w:color w:val="auto"/>
              </w:rPr>
            </w:pPr>
            <w:r>
              <w:rPr>
                <w:rFonts w:ascii="Arial" w:cs="Arial" w:eastAsia="Arial" w:hAnsi="Arial"/>
                <w:sz w:val="14"/>
                <w:szCs w:val="14"/>
                <w:color w:val="auto"/>
              </w:rPr>
              <w:t>Research &amp;</w:t>
            </w:r>
          </w:p>
        </w:tc>
        <w:tc>
          <w:tcPr>
            <w:tcW w:w="480" w:type="dxa"/>
            <w:vAlign w:val="bottom"/>
          </w:tcPr>
          <w:p>
            <w:pPr>
              <w:spacing w:after="0"/>
              <w:rPr>
                <w:sz w:val="20"/>
                <w:szCs w:val="20"/>
                <w:color w:val="auto"/>
              </w:rPr>
            </w:pPr>
          </w:p>
        </w:tc>
        <w:tc>
          <w:tcPr>
            <w:tcW w:w="1060" w:type="dxa"/>
            <w:vAlign w:val="bottom"/>
          </w:tcPr>
          <w:p>
            <w:pPr>
              <w:jc w:val="right"/>
              <w:ind w:right="221"/>
              <w:spacing w:after="0"/>
              <w:rPr>
                <w:sz w:val="20"/>
                <w:szCs w:val="20"/>
                <w:color w:val="auto"/>
              </w:rPr>
            </w:pPr>
            <w:r>
              <w:rPr>
                <w:rFonts w:ascii="Arial" w:cs="Arial" w:eastAsia="Arial" w:hAnsi="Arial"/>
                <w:sz w:val="14"/>
                <w:szCs w:val="14"/>
                <w:color w:val="auto"/>
              </w:rPr>
              <w:t>Contract</w:t>
            </w:r>
          </w:p>
        </w:tc>
        <w:tc>
          <w:tcPr>
            <w:tcW w:w="460" w:type="dxa"/>
            <w:vAlign w:val="bottom"/>
          </w:tcPr>
          <w:p>
            <w:pPr>
              <w:spacing w:after="0"/>
              <w:rPr>
                <w:sz w:val="20"/>
                <w:szCs w:val="20"/>
                <w:color w:val="auto"/>
              </w:rPr>
            </w:pPr>
          </w:p>
        </w:tc>
        <w:tc>
          <w:tcPr>
            <w:tcW w:w="1360" w:type="dxa"/>
            <w:vAlign w:val="bottom"/>
          </w:tcPr>
          <w:p>
            <w:pPr>
              <w:jc w:val="right"/>
              <w:ind w:right="260"/>
              <w:spacing w:after="0"/>
              <w:rPr>
                <w:sz w:val="20"/>
                <w:szCs w:val="20"/>
                <w:color w:val="auto"/>
              </w:rPr>
            </w:pPr>
            <w:r>
              <w:rPr>
                <w:rFonts w:ascii="Arial" w:cs="Arial" w:eastAsia="Arial" w:hAnsi="Arial"/>
                <w:sz w:val="14"/>
                <w:szCs w:val="14"/>
                <w:color w:val="auto"/>
              </w:rPr>
              <w:t>Reconciling</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72"/>
        </w:trPr>
        <w:tc>
          <w:tcPr>
            <w:tcW w:w="4480" w:type="dxa"/>
            <w:vAlign w:val="bottom"/>
          </w:tcPr>
          <w:p>
            <w:pPr>
              <w:spacing w:after="0"/>
              <w:rPr>
                <w:sz w:val="14"/>
                <w:szCs w:val="14"/>
                <w:color w:val="auto"/>
              </w:rPr>
            </w:pPr>
          </w:p>
        </w:tc>
        <w:tc>
          <w:tcPr>
            <w:tcW w:w="1600" w:type="dxa"/>
            <w:vAlign w:val="bottom"/>
          </w:tcPr>
          <w:p>
            <w:pPr>
              <w:jc w:val="right"/>
              <w:ind w:right="357"/>
              <w:spacing w:after="0"/>
              <w:rPr>
                <w:sz w:val="20"/>
                <w:szCs w:val="20"/>
                <w:color w:val="auto"/>
              </w:rPr>
            </w:pPr>
            <w:r>
              <w:rPr>
                <w:rFonts w:ascii="Arial" w:cs="Arial" w:eastAsia="Arial" w:hAnsi="Arial"/>
                <w:sz w:val="14"/>
                <w:szCs w:val="14"/>
                <w:color w:val="auto"/>
              </w:rPr>
              <w:t>Development</w:t>
            </w:r>
          </w:p>
        </w:tc>
        <w:tc>
          <w:tcPr>
            <w:tcW w:w="48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4"/>
                <w:szCs w:val="14"/>
                <w:color w:val="auto"/>
              </w:rPr>
              <w:t>Manufacturing</w:t>
            </w:r>
          </w:p>
        </w:tc>
        <w:tc>
          <w:tcPr>
            <w:tcW w:w="460" w:type="dxa"/>
            <w:vAlign w:val="bottom"/>
          </w:tcPr>
          <w:p>
            <w:pPr>
              <w:spacing w:after="0"/>
              <w:rPr>
                <w:sz w:val="14"/>
                <w:szCs w:val="14"/>
                <w:color w:val="auto"/>
              </w:rPr>
            </w:pPr>
          </w:p>
        </w:tc>
        <w:tc>
          <w:tcPr>
            <w:tcW w:w="1360" w:type="dxa"/>
            <w:vAlign w:val="bottom"/>
          </w:tcPr>
          <w:p>
            <w:pPr>
              <w:jc w:val="right"/>
              <w:ind w:right="440"/>
              <w:spacing w:after="0"/>
              <w:rPr>
                <w:sz w:val="20"/>
                <w:szCs w:val="20"/>
                <w:color w:val="auto"/>
              </w:rPr>
            </w:pPr>
            <w:r>
              <w:rPr>
                <w:rFonts w:ascii="Arial" w:cs="Arial" w:eastAsia="Arial" w:hAnsi="Arial"/>
                <w:sz w:val="14"/>
                <w:szCs w:val="14"/>
                <w:color w:val="auto"/>
              </w:rPr>
              <w:t>Items</w:t>
            </w:r>
          </w:p>
        </w:tc>
        <w:tc>
          <w:tcPr>
            <w:tcW w:w="480" w:type="dxa"/>
            <w:vAlign w:val="bottom"/>
          </w:tcPr>
          <w:p>
            <w:pPr>
              <w:spacing w:after="0"/>
              <w:rPr>
                <w:sz w:val="14"/>
                <w:szCs w:val="14"/>
                <w:color w:val="auto"/>
              </w:rPr>
            </w:pPr>
          </w:p>
        </w:tc>
        <w:tc>
          <w:tcPr>
            <w:tcW w:w="1500" w:type="dxa"/>
            <w:vAlign w:val="bottom"/>
          </w:tcPr>
          <w:p>
            <w:pPr>
              <w:jc w:val="right"/>
              <w:ind w:right="552"/>
              <w:spacing w:after="0"/>
              <w:rPr>
                <w:sz w:val="20"/>
                <w:szCs w:val="20"/>
                <w:color w:val="auto"/>
              </w:rPr>
            </w:pPr>
            <w:r>
              <w:rPr>
                <w:rFonts w:ascii="Arial" w:cs="Arial" w:eastAsia="Arial" w:hAnsi="Arial"/>
                <w:sz w:val="14"/>
                <w:szCs w:val="14"/>
                <w:color w:val="auto"/>
              </w:rPr>
              <w:t>Total</w:t>
            </w:r>
          </w:p>
        </w:tc>
      </w:tr>
      <w:tr>
        <w:trPr>
          <w:trHeight w:val="95"/>
        </w:trPr>
        <w:tc>
          <w:tcPr>
            <w:tcW w:w="44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r>
      <w:tr>
        <w:trPr>
          <w:trHeight w:val="102"/>
        </w:trPr>
        <w:tc>
          <w:tcPr>
            <w:tcW w:w="4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16"/>
        </w:trPr>
        <w:tc>
          <w:tcPr>
            <w:tcW w:w="4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Revenues</w:t>
            </w:r>
          </w:p>
        </w:tc>
        <w:tc>
          <w:tcPr>
            <w:tcW w:w="160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  2,780</w:t>
            </w:r>
          </w:p>
        </w:tc>
        <w:tc>
          <w:tcPr>
            <w:tcW w:w="15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$3,786</w:t>
            </w:r>
          </w:p>
        </w:tc>
        <w:tc>
          <w:tcPr>
            <w:tcW w:w="4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  6,566</w:t>
            </w:r>
          </w:p>
        </w:tc>
      </w:tr>
      <w:tr>
        <w:trPr>
          <w:trHeight w:val="216"/>
        </w:trPr>
        <w:tc>
          <w:tcPr>
            <w:tcW w:w="4480" w:type="dxa"/>
            <w:vAlign w:val="bottom"/>
          </w:tcPr>
          <w:p>
            <w:pPr>
              <w:ind w:left="460"/>
              <w:spacing w:after="0"/>
              <w:rPr>
                <w:sz w:val="20"/>
                <w:szCs w:val="20"/>
                <w:color w:val="auto"/>
              </w:rPr>
            </w:pPr>
            <w:r>
              <w:rPr>
                <w:rFonts w:ascii="Arial" w:cs="Arial" w:eastAsia="Arial" w:hAnsi="Arial"/>
                <w:sz w:val="18"/>
                <w:szCs w:val="18"/>
                <w:color w:val="auto"/>
              </w:rPr>
              <w:t>Loss in Amgen-Regeneron Partners</w:t>
            </w:r>
          </w:p>
        </w:tc>
        <w:tc>
          <w:tcPr>
            <w:tcW w:w="1600" w:type="dxa"/>
            <w:vAlign w:val="bottom"/>
          </w:tcPr>
          <w:p>
            <w:pPr>
              <w:jc w:val="right"/>
              <w:ind w:right="437"/>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6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60" w:type="dxa"/>
            <w:vAlign w:val="bottom"/>
          </w:tcPr>
          <w:p>
            <w:pPr>
              <w:jc w:val="right"/>
              <w:ind w:right="4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12"/>
              <w:spacing w:after="0"/>
              <w:rPr>
                <w:sz w:val="20"/>
                <w:szCs w:val="20"/>
                <w:color w:val="auto"/>
              </w:rPr>
            </w:pPr>
            <w:r>
              <w:rPr>
                <w:rFonts w:ascii="Arial" w:cs="Arial" w:eastAsia="Arial" w:hAnsi="Arial"/>
                <w:sz w:val="18"/>
                <w:szCs w:val="18"/>
                <w:color w:val="auto"/>
              </w:rPr>
              <w:t>1</w:t>
            </w:r>
          </w:p>
        </w:tc>
      </w:tr>
      <w:tr>
        <w:trPr>
          <w:trHeight w:val="216"/>
        </w:trPr>
        <w:tc>
          <w:tcPr>
            <w:tcW w:w="4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1,909</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  261</w:t>
            </w:r>
          </w:p>
        </w:tc>
        <w:tc>
          <w:tcPr>
            <w:tcW w:w="198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2,170</w:t>
            </w:r>
          </w:p>
        </w:tc>
      </w:tr>
      <w:tr>
        <w:trPr>
          <w:trHeight w:val="216"/>
        </w:trPr>
        <w:tc>
          <w:tcPr>
            <w:tcW w:w="448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1600" w:type="dxa"/>
            <w:vAlign w:val="bottom"/>
          </w:tcPr>
          <w:p>
            <w:pPr>
              <w:jc w:val="right"/>
              <w:ind w:right="437"/>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6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3,011</w:t>
            </w:r>
          </w:p>
        </w:tc>
        <w:tc>
          <w:tcPr>
            <w:tcW w:w="1980" w:type="dxa"/>
            <w:vAlign w:val="bottom"/>
            <w:gridSpan w:val="2"/>
          </w:tcPr>
          <w:p>
            <w:pPr>
              <w:jc w:val="right"/>
              <w:ind w:right="412"/>
              <w:spacing w:after="0"/>
              <w:rPr>
                <w:sz w:val="20"/>
                <w:szCs w:val="20"/>
                <w:color w:val="auto"/>
              </w:rPr>
            </w:pPr>
            <w:r>
              <w:rPr>
                <w:rFonts w:ascii="Arial" w:cs="Arial" w:eastAsia="Arial" w:hAnsi="Arial"/>
                <w:sz w:val="18"/>
                <w:szCs w:val="18"/>
                <w:color w:val="auto"/>
              </w:rPr>
              <w:t>3,017</w:t>
            </w:r>
          </w:p>
        </w:tc>
      </w:tr>
      <w:tr>
        <w:trPr>
          <w:trHeight w:val="257"/>
        </w:trPr>
        <w:tc>
          <w:tcPr>
            <w:tcW w:w="4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Net (loss) income</w:t>
            </w:r>
          </w:p>
        </w:tc>
        <w:tc>
          <w:tcPr>
            <w:tcW w:w="1600" w:type="dxa"/>
            <w:vAlign w:val="bottom"/>
            <w:shd w:val="clear" w:color="auto" w:fill="EEEEEE"/>
          </w:tcPr>
          <w:p>
            <w:pPr>
              <w:jc w:val="right"/>
              <w:ind w:right="377"/>
              <w:spacing w:after="0"/>
              <w:rPr>
                <w:sz w:val="20"/>
                <w:szCs w:val="20"/>
                <w:color w:val="auto"/>
              </w:rPr>
            </w:pPr>
            <w:r>
              <w:rPr>
                <w:rFonts w:ascii="Arial" w:cs="Arial" w:eastAsia="Arial" w:hAnsi="Arial"/>
                <w:sz w:val="18"/>
                <w:szCs w:val="18"/>
                <w:color w:val="auto"/>
              </w:rPr>
              <w:t>(34,332)</w:t>
            </w:r>
          </w:p>
        </w:tc>
        <w:tc>
          <w:tcPr>
            <w:tcW w:w="1540" w:type="dxa"/>
            <w:vAlign w:val="bottom"/>
            <w:gridSpan w:val="2"/>
            <w:shd w:val="clear" w:color="auto" w:fill="EEEEEE"/>
          </w:tcPr>
          <w:p>
            <w:pPr>
              <w:jc w:val="right"/>
              <w:ind w:right="261"/>
              <w:spacing w:after="0"/>
              <w:rPr>
                <w:sz w:val="20"/>
                <w:szCs w:val="20"/>
                <w:color w:val="auto"/>
              </w:rPr>
            </w:pPr>
            <w:r>
              <w:rPr>
                <w:rFonts w:ascii="Arial" w:cs="Arial" w:eastAsia="Arial" w:hAnsi="Arial"/>
                <w:sz w:val="18"/>
                <w:szCs w:val="18"/>
                <w:color w:val="auto"/>
              </w:rPr>
              <w:t>2,149</w:t>
            </w:r>
          </w:p>
        </w:tc>
        <w:tc>
          <w:tcPr>
            <w:tcW w:w="1820" w:type="dxa"/>
            <w:vAlign w:val="bottom"/>
            <w:gridSpan w:val="2"/>
            <w:shd w:val="clear" w:color="auto" w:fill="EEEEEE"/>
          </w:tcPr>
          <w:p>
            <w:pPr>
              <w:jc w:val="right"/>
              <w:ind w:right="180"/>
              <w:spacing w:after="0" w:line="256" w:lineRule="exact"/>
              <w:rPr>
                <w:sz w:val="20"/>
                <w:szCs w:val="20"/>
                <w:color w:val="auto"/>
              </w:rPr>
            </w:pPr>
            <w:r>
              <w:rPr>
                <w:rFonts w:ascii="Arial" w:cs="Arial" w:eastAsia="Arial" w:hAnsi="Arial"/>
                <w:sz w:val="18"/>
                <w:szCs w:val="18"/>
                <w:color w:val="auto"/>
              </w:rPr>
              <w:t>(633)</w:t>
            </w:r>
            <w:r>
              <w:rPr>
                <w:rFonts w:ascii="Arial" w:cs="Arial" w:eastAsia="Arial" w:hAnsi="Arial"/>
                <w:sz w:val="29"/>
                <w:szCs w:val="29"/>
                <w:color w:val="auto"/>
                <w:vertAlign w:val="superscript"/>
              </w:rPr>
              <w:t>(2)</w:t>
            </w:r>
          </w:p>
        </w:tc>
        <w:tc>
          <w:tcPr>
            <w:tcW w:w="198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(32,816)</w:t>
            </w:r>
          </w:p>
        </w:tc>
      </w:tr>
      <w:tr>
        <w:trPr>
          <w:trHeight w:val="222"/>
        </w:trPr>
        <w:tc>
          <w:tcPr>
            <w:tcW w:w="4480" w:type="dxa"/>
            <w:vAlign w:val="bottom"/>
          </w:tcPr>
          <w:p>
            <w:pPr>
              <w:ind w:left="460"/>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jc w:val="right"/>
              <w:ind w:right="437"/>
              <w:spacing w:after="0"/>
              <w:rPr>
                <w:sz w:val="20"/>
                <w:szCs w:val="20"/>
                <w:color w:val="auto"/>
              </w:rPr>
            </w:pPr>
            <w:r>
              <w:rPr>
                <w:rFonts w:ascii="Arial" w:cs="Arial" w:eastAsia="Arial" w:hAnsi="Arial"/>
                <w:sz w:val="18"/>
                <w:szCs w:val="18"/>
                <w:color w:val="auto"/>
              </w:rPr>
              <w:t>10,864</w:t>
            </w:r>
          </w:p>
        </w:tc>
        <w:tc>
          <w:tcPr>
            <w:tcW w:w="480" w:type="dxa"/>
            <w:vAlign w:val="bottom"/>
          </w:tcPr>
          <w:p>
            <w:pPr>
              <w:spacing w:after="0"/>
              <w:rPr>
                <w:sz w:val="19"/>
                <w:szCs w:val="19"/>
                <w:color w:val="auto"/>
              </w:rPr>
            </w:pPr>
          </w:p>
        </w:tc>
        <w:tc>
          <w:tcPr>
            <w:tcW w:w="106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60" w:type="dxa"/>
            <w:vAlign w:val="bottom"/>
          </w:tcPr>
          <w:p>
            <w:pPr>
              <w:jc w:val="right"/>
              <w:ind w:right="4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12"/>
              <w:spacing w:after="0"/>
              <w:rPr>
                <w:sz w:val="20"/>
                <w:szCs w:val="20"/>
                <w:color w:val="auto"/>
              </w:rPr>
            </w:pPr>
            <w:r>
              <w:rPr>
                <w:rFonts w:ascii="Arial" w:cs="Arial" w:eastAsia="Arial" w:hAnsi="Arial"/>
                <w:sz w:val="18"/>
                <w:szCs w:val="18"/>
                <w:color w:val="auto"/>
              </w:rPr>
              <w:t>10,864</w:t>
            </w:r>
          </w:p>
        </w:tc>
      </w:tr>
      <w:tr>
        <w:trPr>
          <w:trHeight w:val="424"/>
        </w:trPr>
        <w:tc>
          <w:tcPr>
            <w:tcW w:w="4480" w:type="dxa"/>
            <w:vAlign w:val="bottom"/>
          </w:tcPr>
          <w:p>
            <w:pPr>
              <w:spacing w:after="0"/>
              <w:rPr>
                <w:sz w:val="24"/>
                <w:szCs w:val="24"/>
                <w:color w:val="auto"/>
              </w:rPr>
            </w:pPr>
          </w:p>
        </w:tc>
        <w:tc>
          <w:tcPr>
            <w:tcW w:w="1600" w:type="dxa"/>
            <w:vAlign w:val="bottom"/>
          </w:tcPr>
          <w:p>
            <w:pPr>
              <w:jc w:val="right"/>
              <w:ind w:right="197"/>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8"/>
        </w:trPr>
        <w:tc>
          <w:tcPr>
            <w:tcW w:w="44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8"/>
          </w:tcPr>
          <w:p>
            <w:pPr>
              <w:jc w:val="right"/>
              <w:ind w:right="396"/>
              <w:spacing w:after="0"/>
              <w:rPr>
                <w:sz w:val="20"/>
                <w:szCs w:val="20"/>
                <w:color w:val="auto"/>
              </w:rPr>
            </w:pPr>
            <w:r>
              <w:rPr>
                <w:rFonts w:ascii="Arial" w:cs="Arial" w:eastAsia="Arial" w:hAnsi="Arial"/>
                <w:sz w:val="14"/>
                <w:szCs w:val="14"/>
                <w:color w:val="auto"/>
              </w:rPr>
              <w:t>Three Months Ended September 30, 2001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ind w:left="500"/>
              <w:spacing w:after="0"/>
              <w:rPr>
                <w:sz w:val="20"/>
                <w:szCs w:val="20"/>
                <w:color w:val="auto"/>
              </w:rPr>
            </w:pPr>
            <w:r>
              <w:rPr>
                <w:rFonts w:ascii="Arial" w:cs="Arial" w:eastAsia="Arial" w:hAnsi="Arial"/>
                <w:sz w:val="14"/>
                <w:szCs w:val="14"/>
                <w:color w:val="auto"/>
              </w:rPr>
              <w:t>Research &amp;</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Contract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476"/>
              <w:spacing w:after="0"/>
              <w:rPr>
                <w:sz w:val="20"/>
                <w:szCs w:val="20"/>
                <w:color w:val="auto"/>
              </w:rPr>
            </w:pPr>
            <w:r>
              <w:rPr>
                <w:rFonts w:ascii="Arial" w:cs="Arial" w:eastAsia="Arial" w:hAnsi="Arial"/>
                <w:sz w:val="14"/>
                <w:szCs w:val="14"/>
                <w:color w:val="auto"/>
                <w:w w:val="88"/>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440"/>
              <w:spacing w:after="0"/>
              <w:rPr>
                <w:sz w:val="20"/>
                <w:szCs w:val="20"/>
                <w:color w:val="auto"/>
              </w:rPr>
            </w:pPr>
            <w:r>
              <w:rPr>
                <w:rFonts w:ascii="Arial" w:cs="Arial" w:eastAsia="Arial" w:hAnsi="Arial"/>
                <w:sz w:val="14"/>
                <w:szCs w:val="14"/>
                <w:color w:val="auto"/>
              </w:rPr>
              <w:t>Development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Manufacturing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ind w:right="656"/>
              <w:spacing w:after="0"/>
              <w:rPr>
                <w:sz w:val="20"/>
                <w:szCs w:val="20"/>
                <w:color w:val="auto"/>
              </w:rPr>
            </w:pPr>
            <w:r>
              <w:rPr>
                <w:rFonts w:ascii="Arial" w:cs="Arial" w:eastAsia="Arial" w:hAnsi="Arial"/>
                <w:sz w:val="14"/>
                <w:szCs w:val="14"/>
                <w:color w:val="auto"/>
              </w:rPr>
              <w:t>Items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EEEEEE"/>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2,819</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124"/>
              <w:spacing w:after="0"/>
              <w:rPr>
                <w:sz w:val="20"/>
                <w:szCs w:val="20"/>
                <w:color w:val="auto"/>
              </w:rPr>
            </w:pPr>
            <w:r>
              <w:rPr>
                <w:rFonts w:ascii="Arial" w:cs="Arial" w:eastAsia="Arial" w:hAnsi="Arial"/>
                <w:sz w:val="18"/>
                <w:szCs w:val="18"/>
                <w:color w:val="auto"/>
              </w:rPr>
              <w:t>$2,661</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Earnings from Amgen-Regeneron Partners</w:t>
            </w:r>
          </w:p>
        </w:tc>
        <w:tc>
          <w:tcPr>
            <w:tcW w:w="5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1,519</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124"/>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(24,470)</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124"/>
              <w:spacing w:after="0"/>
              <w:rPr>
                <w:sz w:val="20"/>
                <w:szCs w:val="20"/>
                <w:color w:val="auto"/>
              </w:rPr>
            </w:pPr>
            <w:r>
              <w:rPr>
                <w:rFonts w:ascii="Arial" w:cs="Arial" w:eastAsia="Arial" w:hAnsi="Arial"/>
                <w:sz w:val="18"/>
                <w:szCs w:val="18"/>
                <w:color w:val="auto"/>
              </w:rPr>
              <w:t>1,377</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436"/>
              <w:spacing w:after="0"/>
              <w:rPr>
                <w:sz w:val="20"/>
                <w:szCs w:val="20"/>
                <w:color w:val="auto"/>
              </w:rPr>
            </w:pPr>
            <w:r>
              <w:rPr>
                <w:rFonts w:ascii="Arial" w:cs="Arial" w:eastAsia="Arial" w:hAnsi="Arial"/>
                <w:sz w:val="18"/>
                <w:szCs w:val="18"/>
                <w:color w:val="auto"/>
                <w:w w:val="94"/>
              </w:rPr>
              <w:t>$3,162</w:t>
            </w:r>
            <w:r>
              <w:rPr>
                <w:rFonts w:ascii="Arial" w:cs="Arial" w:eastAsia="Arial" w:hAnsi="Arial"/>
                <w:sz w:val="14"/>
                <w:szCs w:val="14"/>
                <w:color w:val="auto"/>
                <w:w w:val="94"/>
              </w:rPr>
              <w:t>(3)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35"/>
              <w:spacing w:after="0"/>
              <w:rPr>
                <w:sz w:val="20"/>
                <w:szCs w:val="20"/>
                <w:color w:val="auto"/>
              </w:rPr>
            </w:pPr>
            <w:r>
              <w:rPr>
                <w:rFonts w:ascii="Arial" w:cs="Arial" w:eastAsia="Arial" w:hAnsi="Arial"/>
                <w:sz w:val="18"/>
                <w:szCs w:val="18"/>
                <w:color w:val="auto"/>
                <w:w w:val="89"/>
              </w:rPr>
              <w:t>(19,931)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1,597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8"/>
          </w:tcPr>
          <w:p>
            <w:pPr>
              <w:jc w:val="right"/>
              <w:ind w:right="496"/>
              <w:spacing w:after="0"/>
              <w:rPr>
                <w:sz w:val="20"/>
                <w:szCs w:val="20"/>
                <w:color w:val="auto"/>
              </w:rPr>
            </w:pPr>
            <w:r>
              <w:rPr>
                <w:rFonts w:ascii="Arial" w:cs="Arial" w:eastAsia="Arial" w:hAnsi="Arial"/>
                <w:sz w:val="14"/>
                <w:szCs w:val="14"/>
                <w:color w:val="auto"/>
              </w:rPr>
              <w:t>Nine Months Ended September 30, 2002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ind w:left="340"/>
              <w:spacing w:after="0"/>
              <w:rPr>
                <w:sz w:val="20"/>
                <w:szCs w:val="20"/>
                <w:color w:val="auto"/>
              </w:rPr>
            </w:pPr>
            <w:r>
              <w:rPr>
                <w:rFonts w:ascii="Arial" w:cs="Arial" w:eastAsia="Arial" w:hAnsi="Arial"/>
                <w:sz w:val="14"/>
                <w:szCs w:val="14"/>
                <w:color w:val="auto"/>
              </w:rPr>
              <w:t>Research &amp;</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86"/>
              </w:rPr>
              <w:t>Contract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color w:val="auto"/>
                <w:w w:val="91"/>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300"/>
              <w:spacing w:after="0"/>
              <w:rPr>
                <w:sz w:val="20"/>
                <w:szCs w:val="20"/>
                <w:color w:val="auto"/>
              </w:rPr>
            </w:pPr>
            <w:r>
              <w:rPr>
                <w:rFonts w:ascii="Arial" w:cs="Arial" w:eastAsia="Arial" w:hAnsi="Arial"/>
                <w:sz w:val="14"/>
                <w:szCs w:val="14"/>
                <w:color w:val="auto"/>
              </w:rPr>
              <w:t>Development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Manufacturing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center"/>
              <w:ind w:right="556"/>
              <w:spacing w:after="0"/>
              <w:rPr>
                <w:sz w:val="20"/>
                <w:szCs w:val="20"/>
                <w:color w:val="auto"/>
              </w:rPr>
            </w:pPr>
            <w:r>
              <w:rPr>
                <w:rFonts w:ascii="Arial" w:cs="Arial" w:eastAsia="Arial" w:hAnsi="Arial"/>
                <w:sz w:val="14"/>
                <w:szCs w:val="14"/>
                <w:color w:val="auto"/>
                <w:w w:val="87"/>
              </w:rPr>
              <w:t>Items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4"/>
              </w:rPr>
              <w:t>8,215</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24"/>
              <w:spacing w:after="0"/>
              <w:rPr>
                <w:sz w:val="20"/>
                <w:szCs w:val="20"/>
                <w:color w:val="auto"/>
              </w:rPr>
            </w:pPr>
            <w:r>
              <w:rPr>
                <w:rFonts w:ascii="Arial" w:cs="Arial" w:eastAsia="Arial" w:hAnsi="Arial"/>
                <w:sz w:val="18"/>
                <w:szCs w:val="18"/>
                <w:color w:val="auto"/>
              </w:rPr>
              <w:t>$ 8,861</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6"/>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17,076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Loss in Amgen-Regeneron Partners</w:t>
            </w:r>
          </w:p>
        </w:tc>
        <w:tc>
          <w:tcPr>
            <w:tcW w:w="54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4"/>
              </w:rPr>
              <w:t>5,623</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576"/>
              <w:spacing w:after="0"/>
              <w:rPr>
                <w:sz w:val="20"/>
                <w:szCs w:val="20"/>
                <w:color w:val="auto"/>
              </w:rPr>
            </w:pPr>
            <w:r>
              <w:rPr>
                <w:rFonts w:ascii="Arial" w:cs="Arial" w:eastAsia="Arial" w:hAnsi="Arial"/>
                <w:sz w:val="18"/>
                <w:szCs w:val="18"/>
                <w:color w:val="auto"/>
              </w:rPr>
              <w:t>782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2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9,032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46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(91,457)</w:t>
            </w:r>
          </w:p>
        </w:tc>
        <w:tc>
          <w:tcPr>
            <w:tcW w:w="4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240" w:type="dxa"/>
            <w:vAlign w:val="bottom"/>
            <w:gridSpan w:val="4"/>
            <w:shd w:val="clear" w:color="auto" w:fill="EEEEEE"/>
          </w:tcPr>
          <w:p>
            <w:pPr>
              <w:jc w:val="right"/>
              <w:ind w:right="224"/>
              <w:spacing w:after="0"/>
              <w:rPr>
                <w:sz w:val="20"/>
                <w:szCs w:val="20"/>
                <w:color w:val="auto"/>
              </w:rPr>
            </w:pPr>
            <w:r>
              <w:rPr>
                <w:rFonts w:ascii="Arial" w:cs="Arial" w:eastAsia="Arial" w:hAnsi="Arial"/>
                <w:sz w:val="18"/>
                <w:szCs w:val="18"/>
                <w:color w:val="auto"/>
              </w:rPr>
              <w:t>4,102</w:t>
            </w:r>
          </w:p>
        </w:tc>
        <w:tc>
          <w:tcPr>
            <w:tcW w:w="4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160" w:type="dxa"/>
            <w:vAlign w:val="bottom"/>
            <w:shd w:val="clear" w:color="auto" w:fill="EEEEEE"/>
          </w:tcPr>
          <w:p>
            <w:pPr>
              <w:spacing w:after="0"/>
              <w:rPr>
                <w:sz w:val="22"/>
                <w:szCs w:val="22"/>
                <w:color w:val="auto"/>
              </w:rPr>
            </w:pPr>
          </w:p>
        </w:tc>
        <w:tc>
          <w:tcPr>
            <w:tcW w:w="20" w:type="dxa"/>
            <w:vAlign w:val="bottom"/>
            <w:shd w:val="clear" w:color="auto" w:fill="EEEEEE"/>
          </w:tcPr>
          <w:p>
            <w:pPr>
              <w:spacing w:after="0"/>
              <w:rPr>
                <w:sz w:val="22"/>
                <w:szCs w:val="22"/>
                <w:color w:val="auto"/>
              </w:rPr>
            </w:pPr>
          </w:p>
        </w:tc>
        <w:tc>
          <w:tcPr>
            <w:tcW w:w="10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1220" w:type="dxa"/>
            <w:vAlign w:val="bottom"/>
            <w:shd w:val="clear" w:color="auto" w:fill="EEEEEE"/>
          </w:tcPr>
          <w:p>
            <w:pPr>
              <w:jc w:val="right"/>
              <w:ind w:right="336"/>
              <w:spacing w:after="0" w:line="256" w:lineRule="exact"/>
              <w:rPr>
                <w:sz w:val="20"/>
                <w:szCs w:val="20"/>
                <w:color w:val="auto"/>
              </w:rPr>
            </w:pPr>
            <w:r>
              <w:rPr>
                <w:rFonts w:ascii="Arial" w:cs="Arial" w:eastAsia="Arial" w:hAnsi="Arial"/>
                <w:sz w:val="18"/>
                <w:szCs w:val="18"/>
                <w:color w:val="auto"/>
                <w:w w:val="96"/>
              </w:rPr>
              <w:t>(1,329)</w:t>
            </w:r>
            <w:r>
              <w:rPr>
                <w:rFonts w:ascii="Arial" w:cs="Arial" w:eastAsia="Arial" w:hAnsi="Arial"/>
                <w:sz w:val="29"/>
                <w:szCs w:val="29"/>
                <w:color w:val="auto"/>
                <w:w w:val="96"/>
                <w:vertAlign w:val="superscript"/>
              </w:rPr>
              <w:t>(2)</w:t>
            </w:r>
          </w:p>
        </w:tc>
        <w:tc>
          <w:tcPr>
            <w:tcW w:w="2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480" w:type="dxa"/>
            <w:vAlign w:val="bottom"/>
            <w:shd w:val="clear" w:color="auto" w:fill="EEEEEE"/>
          </w:tcPr>
          <w:p>
            <w:pPr>
              <w:spacing w:after="0"/>
              <w:rPr>
                <w:sz w:val="22"/>
                <w:szCs w:val="22"/>
                <w:color w:val="auto"/>
              </w:rPr>
            </w:pPr>
          </w:p>
        </w:tc>
        <w:tc>
          <w:tcPr>
            <w:tcW w:w="1040" w:type="dxa"/>
            <w:vAlign w:val="bottom"/>
            <w:shd w:val="clear" w:color="auto" w:fill="EEEEEE"/>
          </w:tcPr>
          <w:p>
            <w:pPr>
              <w:jc w:val="right"/>
              <w:ind w:right="315"/>
              <w:spacing w:after="0"/>
              <w:rPr>
                <w:sz w:val="20"/>
                <w:szCs w:val="20"/>
                <w:color w:val="auto"/>
              </w:rPr>
            </w:pPr>
            <w:r>
              <w:rPr>
                <w:rFonts w:ascii="Arial" w:cs="Arial" w:eastAsia="Arial" w:hAnsi="Arial"/>
                <w:sz w:val="18"/>
                <w:szCs w:val="18"/>
                <w:color w:val="auto"/>
                <w:w w:val="92"/>
              </w:rPr>
              <w:t>(88,684)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460" w:type="dxa"/>
            <w:vAlign w:val="bottom"/>
            <w:gridSpan w:val="2"/>
          </w:tcPr>
          <w:p>
            <w:pPr>
              <w:jc w:val="right"/>
              <w:ind w:right="432"/>
              <w:spacing w:after="0"/>
              <w:rPr>
                <w:sz w:val="20"/>
                <w:szCs w:val="20"/>
                <w:color w:val="auto"/>
              </w:rPr>
            </w:pPr>
            <w:r>
              <w:rPr>
                <w:rFonts w:ascii="Arial" w:cs="Arial" w:eastAsia="Arial" w:hAnsi="Arial"/>
                <w:sz w:val="18"/>
                <w:szCs w:val="18"/>
                <w:color w:val="auto"/>
              </w:rPr>
              <w:t>23,122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24"/>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8"/>
                <w:szCs w:val="18"/>
                <w:color w:val="auto"/>
              </w:rPr>
              <w:t>23,157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54,666</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24"/>
              <w:spacing w:after="0"/>
              <w:rPr>
                <w:sz w:val="20"/>
                <w:szCs w:val="20"/>
                <w:color w:val="auto"/>
              </w:rPr>
            </w:pPr>
            <w:r>
              <w:rPr>
                <w:rFonts w:ascii="Arial" w:cs="Arial" w:eastAsia="Arial" w:hAnsi="Arial"/>
                <w:sz w:val="18"/>
                <w:szCs w:val="18"/>
                <w:color w:val="auto"/>
              </w:rPr>
              <w:t>12,564</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96"/>
              <w:spacing w:after="0"/>
              <w:rPr>
                <w:sz w:val="20"/>
                <w:szCs w:val="20"/>
                <w:color w:val="auto"/>
              </w:rPr>
            </w:pPr>
            <w:r>
              <w:rPr>
                <w:rFonts w:ascii="Arial" w:cs="Arial" w:eastAsia="Arial" w:hAnsi="Arial"/>
                <w:sz w:val="18"/>
                <w:szCs w:val="18"/>
                <w:color w:val="auto"/>
                <w:w w:val="87"/>
              </w:rPr>
              <w:t>351,362</w:t>
            </w:r>
            <w:r>
              <w:rPr>
                <w:rFonts w:ascii="Arial" w:cs="Arial" w:eastAsia="Arial" w:hAnsi="Arial"/>
                <w:sz w:val="14"/>
                <w:szCs w:val="14"/>
                <w:color w:val="auto"/>
                <w:w w:val="87"/>
              </w:rPr>
              <w:t>(4)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w w:val="86"/>
              </w:rPr>
              <w:t>418,592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8"/>
          </w:tcPr>
          <w:p>
            <w:pPr>
              <w:jc w:val="right"/>
              <w:ind w:right="476"/>
              <w:spacing w:after="0"/>
              <w:rPr>
                <w:sz w:val="20"/>
                <w:szCs w:val="20"/>
                <w:color w:val="auto"/>
              </w:rPr>
            </w:pPr>
            <w:r>
              <w:rPr>
                <w:rFonts w:ascii="Arial" w:cs="Arial" w:eastAsia="Arial" w:hAnsi="Arial"/>
                <w:sz w:val="14"/>
                <w:szCs w:val="14"/>
                <w:color w:val="auto"/>
              </w:rPr>
              <w:t>Nine Months Ended September 30, 2001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color w:val="auto"/>
              </w:rPr>
              <w:t>Research &amp;</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color w:val="auto"/>
                <w:w w:val="86"/>
              </w:rPr>
              <w:t>Contract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36"/>
              <w:spacing w:after="0"/>
              <w:rPr>
                <w:sz w:val="20"/>
                <w:szCs w:val="20"/>
                <w:color w:val="auto"/>
              </w:rPr>
            </w:pPr>
            <w:r>
              <w:rPr>
                <w:rFonts w:ascii="Arial" w:cs="Arial" w:eastAsia="Arial" w:hAnsi="Arial"/>
                <w:sz w:val="14"/>
                <w:szCs w:val="14"/>
                <w:color w:val="auto"/>
                <w:w w:val="91"/>
              </w:rPr>
              <w:t>Reconciling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340"/>
              <w:spacing w:after="0"/>
              <w:rPr>
                <w:sz w:val="20"/>
                <w:szCs w:val="20"/>
                <w:color w:val="auto"/>
              </w:rPr>
            </w:pPr>
            <w:r>
              <w:rPr>
                <w:rFonts w:ascii="Arial" w:cs="Arial" w:eastAsia="Arial" w:hAnsi="Arial"/>
                <w:sz w:val="14"/>
                <w:szCs w:val="14"/>
                <w:color w:val="auto"/>
              </w:rPr>
              <w:t>Development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Manufacturing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center"/>
              <w:ind w:right="596"/>
              <w:spacing w:after="0"/>
              <w:rPr>
                <w:sz w:val="20"/>
                <w:szCs w:val="20"/>
                <w:color w:val="auto"/>
              </w:rPr>
            </w:pPr>
            <w:r>
              <w:rPr>
                <w:rFonts w:ascii="Arial" w:cs="Arial" w:eastAsia="Arial" w:hAnsi="Arial"/>
                <w:sz w:val="14"/>
                <w:szCs w:val="14"/>
                <w:color w:val="auto"/>
                <w:w w:val="87"/>
              </w:rPr>
              <w:t>Items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0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94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2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04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93"/>
              </w:rPr>
              <w:t>9,351</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44"/>
              <w:spacing w:after="0"/>
              <w:rPr>
                <w:sz w:val="20"/>
                <w:szCs w:val="20"/>
                <w:color w:val="auto"/>
              </w:rPr>
            </w:pPr>
            <w:r>
              <w:rPr>
                <w:rFonts w:ascii="Arial" w:cs="Arial" w:eastAsia="Arial" w:hAnsi="Arial"/>
                <w:sz w:val="18"/>
                <w:szCs w:val="18"/>
                <w:color w:val="auto"/>
              </w:rPr>
              <w:t>$8,221</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6"/>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w w:val="98"/>
              </w:rPr>
              <w:t>17,572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Loss in Amgen-Regeneron Partners</w:t>
            </w:r>
          </w:p>
        </w:tc>
        <w:tc>
          <w:tcPr>
            <w:tcW w:w="540" w:type="dxa"/>
            <w:vAlign w:val="bottom"/>
          </w:tcPr>
          <w:p>
            <w:pPr>
              <w:spacing w:after="0"/>
              <w:rPr>
                <w:sz w:val="18"/>
                <w:szCs w:val="18"/>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93"/>
              </w:rPr>
              <w:t>4,267</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5"/>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44"/>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4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(60,114)</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44"/>
              <w:spacing w:after="0"/>
              <w:rPr>
                <w:sz w:val="20"/>
                <w:szCs w:val="20"/>
                <w:color w:val="auto"/>
              </w:rPr>
            </w:pPr>
            <w:r>
              <w:rPr>
                <w:rFonts w:ascii="Arial" w:cs="Arial" w:eastAsia="Arial" w:hAnsi="Arial"/>
                <w:sz w:val="18"/>
                <w:szCs w:val="18"/>
                <w:color w:val="auto"/>
              </w:rPr>
              <w:t>2,838</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416"/>
              <w:spacing w:after="0"/>
              <w:rPr>
                <w:sz w:val="20"/>
                <w:szCs w:val="20"/>
                <w:color w:val="auto"/>
              </w:rPr>
            </w:pPr>
            <w:r>
              <w:rPr>
                <w:rFonts w:ascii="Arial" w:cs="Arial" w:eastAsia="Arial" w:hAnsi="Arial"/>
                <w:sz w:val="18"/>
                <w:szCs w:val="18"/>
                <w:color w:val="auto"/>
              </w:rPr>
              <w:t>9,474</w:t>
            </w:r>
            <w:r>
              <w:rPr>
                <w:rFonts w:ascii="Arial" w:cs="Arial" w:eastAsia="Arial" w:hAnsi="Arial"/>
                <w:sz w:val="14"/>
                <w:szCs w:val="14"/>
                <w:color w:val="auto"/>
              </w:rPr>
              <w:t>(3)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35"/>
              <w:spacing w:after="0"/>
              <w:rPr>
                <w:sz w:val="20"/>
                <w:szCs w:val="20"/>
                <w:color w:val="auto"/>
              </w:rPr>
            </w:pPr>
            <w:r>
              <w:rPr>
                <w:rFonts w:ascii="Arial" w:cs="Arial" w:eastAsia="Arial" w:hAnsi="Arial"/>
                <w:sz w:val="18"/>
                <w:szCs w:val="18"/>
                <w:color w:val="auto"/>
                <w:w w:val="89"/>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5,563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244"/>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5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35,890</w:t>
            </w: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44"/>
              <w:spacing w:after="0"/>
              <w:rPr>
                <w:sz w:val="20"/>
                <w:szCs w:val="20"/>
                <w:color w:val="auto"/>
              </w:rPr>
            </w:pPr>
            <w:r>
              <w:rPr>
                <w:rFonts w:ascii="Arial" w:cs="Arial" w:eastAsia="Arial" w:hAnsi="Arial"/>
                <w:sz w:val="18"/>
                <w:szCs w:val="18"/>
                <w:color w:val="auto"/>
              </w:rPr>
              <w:t>8,998</w:t>
            </w: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60" w:type="dxa"/>
            <w:vAlign w:val="bottom"/>
            <w:gridSpan w:val="5"/>
            <w:shd w:val="clear" w:color="auto" w:fill="EEEEEE"/>
          </w:tcPr>
          <w:p>
            <w:pPr>
              <w:jc w:val="right"/>
              <w:ind w:right="416"/>
              <w:spacing w:after="0"/>
              <w:rPr>
                <w:sz w:val="20"/>
                <w:szCs w:val="20"/>
                <w:color w:val="auto"/>
              </w:rPr>
            </w:pPr>
            <w:r>
              <w:rPr>
                <w:rFonts w:ascii="Arial" w:cs="Arial" w:eastAsia="Arial" w:hAnsi="Arial"/>
                <w:sz w:val="18"/>
                <w:szCs w:val="18"/>
                <w:color w:val="auto"/>
              </w:rPr>
              <w:t>273,725</w:t>
            </w:r>
            <w:r>
              <w:rPr>
                <w:rFonts w:ascii="Arial" w:cs="Arial" w:eastAsia="Arial" w:hAnsi="Arial"/>
                <w:sz w:val="14"/>
                <w:szCs w:val="14"/>
                <w:color w:val="auto"/>
              </w:rPr>
              <w:t>(4)</w:t>
            </w:r>
          </w:p>
        </w:tc>
        <w:tc>
          <w:tcPr>
            <w:tcW w:w="1820" w:type="dxa"/>
            <w:vAlign w:val="bottom"/>
            <w:gridSpan w:val="4"/>
            <w:shd w:val="clear" w:color="auto" w:fill="EEEEEE"/>
          </w:tcPr>
          <w:p>
            <w:pPr>
              <w:jc w:val="right"/>
              <w:ind w:right="395"/>
              <w:spacing w:after="0"/>
              <w:rPr>
                <w:sz w:val="20"/>
                <w:szCs w:val="20"/>
                <w:color w:val="auto"/>
              </w:rPr>
            </w:pPr>
            <w:r>
              <w:rPr>
                <w:rFonts w:ascii="Arial" w:cs="Arial" w:eastAsia="Arial" w:hAnsi="Arial"/>
                <w:sz w:val="18"/>
                <w:szCs w:val="18"/>
                <w:color w:val="auto"/>
              </w:rPr>
              <w:t>318,613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460" w:right="340" w:hanging="207"/>
        <w:spacing w:after="0" w:line="228" w:lineRule="auto"/>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Depreciation and amortization related to contract manufacturing is capitalized into inventory and included in contract manufacturing expense when the product is shipped.</w:t>
      </w:r>
    </w:p>
    <w:p>
      <w:pPr>
        <w:spacing w:after="0" w:line="1" w:lineRule="exact"/>
        <w:rPr>
          <w:rFonts w:ascii="Arial" w:cs="Arial" w:eastAsia="Arial" w:hAnsi="Arial"/>
          <w:sz w:val="25"/>
          <w:szCs w:val="25"/>
          <w:color w:val="auto"/>
          <w:vertAlign w:val="superscript"/>
        </w:rPr>
      </w:pPr>
    </w:p>
    <w:p>
      <w:pPr>
        <w:ind w:left="460" w:hanging="207"/>
        <w:spacing w:after="0" w:line="180" w:lineRule="auto"/>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Represents investment income, net of interest expense related to convertible notes issued in October 2001.</w:t>
      </w:r>
    </w:p>
    <w:p>
      <w:pPr>
        <w:spacing w:after="0" w:line="48" w:lineRule="exact"/>
        <w:rPr>
          <w:rFonts w:ascii="Arial" w:cs="Arial" w:eastAsia="Arial" w:hAnsi="Arial"/>
          <w:sz w:val="25"/>
          <w:szCs w:val="25"/>
          <w:color w:val="auto"/>
          <w:vertAlign w:val="superscript"/>
        </w:rPr>
      </w:pPr>
    </w:p>
    <w:p>
      <w:pPr>
        <w:ind w:left="460" w:hanging="207"/>
        <w:spacing w:after="0" w:line="181"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Represents investment income.</w:t>
      </w:r>
    </w:p>
    <w:p>
      <w:pPr>
        <w:spacing w:after="0" w:line="48" w:lineRule="exact"/>
        <w:rPr>
          <w:rFonts w:ascii="Arial" w:cs="Arial" w:eastAsia="Arial" w:hAnsi="Arial"/>
          <w:sz w:val="24"/>
          <w:szCs w:val="24"/>
          <w:color w:val="auto"/>
          <w:vertAlign w:val="superscript"/>
        </w:rPr>
      </w:pPr>
    </w:p>
    <w:p>
      <w:pPr>
        <w:ind w:left="460" w:hanging="207"/>
        <w:spacing w:after="0" w:line="181"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Includes cash and cash equivalents, marketable securities, restricted marketable securities, prepaid expenses and other current assets, and other assets.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31" w:lineRule="exact"/>
        <w:rPr>
          <w:rFonts w:ascii="Arial" w:cs="Arial" w:eastAsia="Arial" w:hAnsi="Arial"/>
          <w:sz w:val="18"/>
          <w:szCs w:val="18"/>
          <w:b w:val="1"/>
          <w:bCs w:val="1"/>
          <w:color w:val="auto"/>
        </w:rPr>
      </w:pPr>
    </w:p>
    <w:p>
      <w:pPr>
        <w:jc w:val="both"/>
        <w:ind w:left="56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from time to time, has been subject to legal claims arising in connection with its business. While the ultimate results of the legal claims cannot be predicted with certainty, at September 30, 2002 there were no asserted claims against the Company which, in the opinion of management, if adversely decided would have a materially adverse effect on the Company’s financial position, results of operations, and cash flows.</w:t>
      </w:r>
    </w:p>
    <w:p>
      <w:pPr>
        <w:spacing w:after="0" w:line="154"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Previously Reported Pro Forma Operating Results</w:t>
      </w:r>
    </w:p>
    <w:p>
      <w:pPr>
        <w:spacing w:after="0" w:line="231" w:lineRule="exact"/>
        <w:rPr>
          <w:rFonts w:ascii="Arial" w:cs="Arial" w:eastAsia="Arial" w:hAnsi="Arial"/>
          <w:sz w:val="18"/>
          <w:szCs w:val="18"/>
          <w:b w:val="1"/>
          <w:bCs w:val="1"/>
          <w:color w:val="auto"/>
        </w:rPr>
      </w:pPr>
    </w:p>
    <w:p>
      <w:pPr>
        <w:ind w:left="56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measures the compensation costs associated with its stock option plan using the intrinsic value based method of accounting prescribed by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In accordance with the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(“SFAS No.123”), the Company provides pro forma disclosure of the net loss and net loss per share as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based method of accounting had been applied (“SFAS No. 123 pro forma operating results”).</w:t>
      </w:r>
    </w:p>
    <w:p>
      <w:pPr>
        <w:spacing w:after="0" w:line="166" w:lineRule="exact"/>
        <w:rPr>
          <w:rFonts w:ascii="Arial" w:cs="Arial" w:eastAsia="Arial" w:hAnsi="Arial"/>
          <w:sz w:val="18"/>
          <w:szCs w:val="18"/>
          <w:b w:val="1"/>
          <w:bCs w:val="1"/>
          <w:color w:val="auto"/>
        </w:rPr>
      </w:pPr>
    </w:p>
    <w:p>
      <w:pPr>
        <w:jc w:val="both"/>
        <w:ind w:left="56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is adjusting its SFAS No. 123 pro forma operating results for the years ended December 31, 2001, 2000, and 1999. In August 2002, the Company discovered minor errors in the process used by the Company to value options for purposes of SFAS No. 123. The Company believes that the errors are immaterial, and the Company is not aware of any other adjustments to be made to the SFAS No. 123 pro forma operating results.</w:t>
      </w:r>
    </w:p>
    <w:p>
      <w:pPr>
        <w:spacing w:after="0" w:line="16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adjustments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2001</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3"/>
              </w:rPr>
              <w:t>1999</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02"/>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442"/>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77"/>
              </w:rPr>
              <w:t>As</w:t>
            </w:r>
          </w:p>
        </w:tc>
        <w:tc>
          <w:tcPr>
            <w:tcW w:w="220" w:type="dxa"/>
            <w:vAlign w:val="bottom"/>
          </w:tcPr>
          <w:p>
            <w:pPr>
              <w:spacing w:after="0"/>
              <w:rPr>
                <w:sz w:val="20"/>
                <w:szCs w:val="20"/>
                <w:color w:val="auto"/>
              </w:rPr>
            </w:pPr>
          </w:p>
        </w:tc>
        <w:tc>
          <w:tcPr>
            <w:tcW w:w="840" w:type="dxa"/>
            <w:vAlign w:val="bottom"/>
          </w:tcPr>
          <w:p>
            <w:pPr>
              <w:jc w:val="right"/>
              <w:ind w:right="439"/>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79"/>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9"/>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w w:val="87"/>
              </w:rPr>
              <w:t>Reported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5"/>
                <w:szCs w:val="15"/>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06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Adjusted</w:t>
            </w:r>
          </w:p>
        </w:tc>
        <w:tc>
          <w:tcPr>
            <w:tcW w:w="260" w:type="dxa"/>
            <w:vAlign w:val="bottom"/>
          </w:tcPr>
          <w:p>
            <w:pPr>
              <w:spacing w:after="0"/>
              <w:rPr>
                <w:sz w:val="15"/>
                <w:szCs w:val="15"/>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5"/>
                <w:szCs w:val="15"/>
                <w:color w:val="auto"/>
              </w:rPr>
            </w:pPr>
          </w:p>
        </w:tc>
        <w:tc>
          <w:tcPr>
            <w:tcW w:w="11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95"/>
        </w:trPr>
        <w:tc>
          <w:tcPr>
            <w:tcW w:w="266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82"/>
              <w:spacing w:after="0"/>
              <w:rPr>
                <w:sz w:val="20"/>
                <w:szCs w:val="20"/>
                <w:color w:val="auto"/>
              </w:rPr>
            </w:pPr>
            <w:r>
              <w:rPr>
                <w:rFonts w:ascii="Arial" w:cs="Arial" w:eastAsia="Arial" w:hAnsi="Arial"/>
                <w:sz w:val="18"/>
                <w:szCs w:val="18"/>
                <w:color w:val="auto"/>
                <w:w w:val="86"/>
              </w:rPr>
              <w:t>102,909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42"/>
              <w:spacing w:after="0"/>
              <w:rPr>
                <w:sz w:val="20"/>
                <w:szCs w:val="20"/>
                <w:color w:val="auto"/>
              </w:rPr>
            </w:pPr>
            <w:r>
              <w:rPr>
                <w:rFonts w:ascii="Arial" w:cs="Arial" w:eastAsia="Arial" w:hAnsi="Arial"/>
                <w:sz w:val="18"/>
                <w:szCs w:val="18"/>
                <w:color w:val="auto"/>
                <w:w w:val="86"/>
              </w:rPr>
              <w:t>108,338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62"/>
              <w:spacing w:after="0"/>
              <w:rPr>
                <w:sz w:val="20"/>
                <w:szCs w:val="20"/>
                <w:color w:val="auto"/>
              </w:rPr>
            </w:pPr>
            <w:r>
              <w:rPr>
                <w:rFonts w:ascii="Arial" w:cs="Arial" w:eastAsia="Arial" w:hAnsi="Arial"/>
                <w:sz w:val="18"/>
                <w:szCs w:val="18"/>
                <w:color w:val="auto"/>
                <w:w w:val="83"/>
              </w:rPr>
              <w:t>33,131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9"/>
              <w:spacing w:after="0"/>
              <w:rPr>
                <w:sz w:val="20"/>
                <w:szCs w:val="20"/>
                <w:color w:val="auto"/>
              </w:rPr>
            </w:pPr>
            <w:r>
              <w:rPr>
                <w:rFonts w:ascii="Arial" w:cs="Arial" w:eastAsia="Arial" w:hAnsi="Arial"/>
                <w:sz w:val="18"/>
                <w:szCs w:val="18"/>
                <w:color w:val="auto"/>
                <w:w w:val="83"/>
              </w:rPr>
              <w:t>33,723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w w:val="83"/>
              </w:rPr>
              <w:t>27,739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w w:val="83"/>
              </w:rPr>
              <w:t>28,047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 forma net loss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82"/>
              <w:spacing w:after="0"/>
              <w:rPr>
                <w:sz w:val="20"/>
                <w:szCs w:val="20"/>
                <w:color w:val="auto"/>
              </w:rPr>
            </w:pPr>
            <w:r>
              <w:rPr>
                <w:rFonts w:ascii="Arial" w:cs="Arial" w:eastAsia="Arial" w:hAnsi="Arial"/>
                <w:sz w:val="18"/>
                <w:szCs w:val="18"/>
                <w:color w:val="auto"/>
              </w:rPr>
              <w:t>2.45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42"/>
              <w:spacing w:after="0"/>
              <w:rPr>
                <w:sz w:val="20"/>
                <w:szCs w:val="20"/>
                <w:color w:val="auto"/>
              </w:rPr>
            </w:pPr>
            <w:r>
              <w:rPr>
                <w:rFonts w:ascii="Arial" w:cs="Arial" w:eastAsia="Arial" w:hAnsi="Arial"/>
                <w:sz w:val="18"/>
                <w:szCs w:val="18"/>
                <w:color w:val="auto"/>
              </w:rPr>
              <w:t>2.57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62"/>
              <w:spacing w:after="0"/>
              <w:rPr>
                <w:sz w:val="20"/>
                <w:szCs w:val="20"/>
                <w:color w:val="auto"/>
              </w:rPr>
            </w:pPr>
            <w:r>
              <w:rPr>
                <w:rFonts w:ascii="Arial" w:cs="Arial" w:eastAsia="Arial" w:hAnsi="Arial"/>
                <w:sz w:val="18"/>
                <w:szCs w:val="18"/>
                <w:color w:val="auto"/>
              </w:rPr>
              <w:t>0.95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9"/>
              <w:spacing w:after="0"/>
              <w:rPr>
                <w:sz w:val="20"/>
                <w:szCs w:val="20"/>
                <w:color w:val="auto"/>
              </w:rPr>
            </w:pPr>
            <w:r>
              <w:rPr>
                <w:rFonts w:ascii="Arial" w:cs="Arial" w:eastAsia="Arial" w:hAnsi="Arial"/>
                <w:sz w:val="18"/>
                <w:szCs w:val="18"/>
                <w:color w:val="auto"/>
              </w:rPr>
              <w:t>0.96</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0.89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Company’s financial results, as reported in its Statement of Operations and Balance Sheets for the years ended December 31, 2001, 2000, and 1999, are not affected by these adjustments.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ind w:left="540"/>
        <w:spacing w:after="0" w:line="323" w:lineRule="auto"/>
        <w:rPr>
          <w:sz w:val="20"/>
          <w:szCs w:val="20"/>
          <w:color w:val="auto"/>
        </w:rPr>
      </w:pPr>
      <w:r>
        <w:rPr>
          <w:rFonts w:ascii="Arial" w:cs="Arial" w:eastAsia="Arial" w:hAnsi="Arial"/>
          <w:sz w:val="15"/>
          <w:szCs w:val="15"/>
          <w:color w:val="auto"/>
        </w:rPr>
        <w:t xml:space="preserve">The Financial Accounting Standards Board (“FASB”) has recently issued Statement of Financial Accounting Standards No. 145, </w:t>
      </w:r>
      <w:r>
        <w:rPr>
          <w:rFonts w:ascii="Arial" w:cs="Arial" w:eastAsia="Arial" w:hAnsi="Arial"/>
          <w:sz w:val="15"/>
          <w:szCs w:val="15"/>
          <w:i w:val="1"/>
          <w:iCs w:val="1"/>
          <w:color w:val="auto"/>
        </w:rPr>
        <w:t>Rescission of FASB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Statements No. 4, 44, and 64, Amendment of FASB Statement No. 13, and Technical Corrections as of April 2002, </w:t>
      </w:r>
      <w:r>
        <w:rPr>
          <w:rFonts w:ascii="Arial" w:cs="Arial" w:eastAsia="Arial" w:hAnsi="Arial"/>
          <w:sz w:val="15"/>
          <w:szCs w:val="15"/>
          <w:color w:val="auto"/>
        </w:rPr>
        <w:t>and Statement of Financial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Standards No. 146, </w:t>
      </w:r>
      <w:r>
        <w:rPr>
          <w:rFonts w:ascii="Arial" w:cs="Arial" w:eastAsia="Arial" w:hAnsi="Arial"/>
          <w:sz w:val="15"/>
          <w:szCs w:val="15"/>
          <w:i w:val="1"/>
          <w:iCs w:val="1"/>
          <w:color w:val="auto"/>
        </w:rPr>
        <w:t>Accounting for Costs Associated with Exit or Disposal Activities,</w:t>
      </w:r>
      <w:r>
        <w:rPr>
          <w:rFonts w:ascii="Arial" w:cs="Arial" w:eastAsia="Arial" w:hAnsi="Arial"/>
          <w:sz w:val="15"/>
          <w:szCs w:val="15"/>
          <w:color w:val="auto"/>
        </w:rPr>
        <w:t xml:space="preserve"> which the Company will be required to adopt in future periods. Management believes that the future adoption of these accounting standards will not have a material impact on the Company’s financial statements.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i w:val="1"/>
          <w:iCs w:val="1"/>
          <w:color w:val="auto"/>
        </w:rPr>
        <w:t>The discussion below contains forward-looking statements that involve risks and uncertainties relating to the future financial performance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Regeneron Pharmaceuticals, Inc. and actual events or results may differ materially. These statements concern, among other things, the possible therapeutic applications of our product candidates and research programs, the timing, nature, and success of the clinical and research programs now underway or planned, and the future uses of capital and our financial needs. These statements are made by us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3"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color w:val="auto"/>
        </w:rPr>
        <w:t>Regeneron Pharmaceuticals, Inc., which may be referred to as “we”, “us”, or “our”, is a biopharmaceutical company that discovers, develops, and intends to commercialize therapeutic medicines for the treatment of serious medical conditions. Our product pipeline includes product candidates for the treatment of obesity, rheumatoid arthritis and other inflammatory conditions, cancer and related disorders, allergies, asthma, and other diseases and disorders. Developing and commercializing new therapeutic drugs entails risk and significant expense. Since inception, we have not generated any sales or profits from the commercialization of any of our product candidates.</w:t>
      </w:r>
    </w:p>
    <w:p>
      <w:pPr>
        <w:spacing w:after="0" w:line="197"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Our core business strategy is to combine our strong foundation in science and technology with our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which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170" w:lineRule="exact"/>
        <w:rPr>
          <w:sz w:val="20"/>
          <w:szCs w:val="20"/>
          <w:color w:val="auto"/>
        </w:rPr>
      </w:pPr>
    </w:p>
    <w:p>
      <w:pPr>
        <w:jc w:val="both"/>
        <w:ind w:right="120" w:firstLine="385"/>
        <w:spacing w:after="0" w:line="259" w:lineRule="auto"/>
        <w:rPr>
          <w:sz w:val="20"/>
          <w:szCs w:val="20"/>
          <w:color w:val="auto"/>
        </w:rPr>
      </w:pPr>
      <w:r>
        <w:rPr>
          <w:rFonts w:ascii="Arial" w:cs="Arial" w:eastAsia="Arial" w:hAnsi="Arial"/>
          <w:sz w:val="18"/>
          <w:szCs w:val="18"/>
          <w:color w:val="auto"/>
        </w:rPr>
        <w:t>A key aspect of our strategy is to retain significant ownership and commercialization rights to our pipeline. Below is a summary of our leading clinical and preclinical research programs. We currently retain sole ownership and marketing rights for each of these programs and are developing them independent of any corporate partners.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hanging="451"/>
        <w:spacing w:after="0" w:line="286"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AXOKINE®: </w:t>
      </w:r>
      <w:r>
        <w:rPr>
          <w:rFonts w:ascii="Arial" w:cs="Arial" w:eastAsia="Arial" w:hAnsi="Arial"/>
          <w:sz w:val="16"/>
          <w:szCs w:val="16"/>
          <w:color w:val="auto"/>
        </w:rPr>
        <w:t>Acts on the brain region regulating food intake and energy expenditure and is being developed for the treatment of obesity. In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2000, we announced the preliminary results of a twelve-week Phase II dose-ranging trial of AXOKINE in 170 severely obese subjects. In the trial, AXOKINE was generally well tolerated and subjects treated with AXOKINE showed medically meaningful and statistically significant weight loss compared with those receiving placebo. In September 2001, we reported that subjects who completed 36 weeks of follow-up after cessation of AXOKINE treatment, on average, maintained the weight loss observed in the twelve-week treatment period. In July 2001, we initiated a Phase III clinical program of AXOKINE in overweight and obese subjects. We began enrolling subjects in the initial pivotal trial in September 2001 and in January 2002 completed enrollment of approximately 2,000 subjects in 65 sites across the United States. This pivotal trial includes a twelve-month treatment period, which is expected to be completed in January 2003, in which subjects receive daily subcutaneous self-injections of placebo or AXOKINE. The treatment period is followed by a twelve-month open-label extension phase, during which all study subjects receive AXOKINE. In June 2002, we announced the initiation of a clinical trial to assess the safety and efficacy of AXOKINE in overweight and obese individuals with type 2 diabetes mellitus. In July 2002, we announced that we had completed enrollment for two additional trials, each of which includes approximately 300 subjects, that are designed to evaluate the safety of intermittent treatment with AXOKINE and to study maintenance of weight loss following short-term treatment regimens. Additional Phase III studies are expected to begin in 2003.</w:t>
      </w:r>
    </w:p>
    <w:p>
      <w:pPr>
        <w:spacing w:after="0" w:line="174" w:lineRule="exact"/>
        <w:rPr>
          <w:rFonts w:ascii="Arial" w:cs="Arial" w:eastAsia="Arial" w:hAnsi="Arial"/>
          <w:sz w:val="16"/>
          <w:szCs w:val="16"/>
          <w:color w:val="auto"/>
        </w:rPr>
      </w:pPr>
    </w:p>
    <w:p>
      <w:pPr>
        <w:ind w:left="1040" w:right="80" w:hanging="451"/>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INTERLEUKIN-1 CYTOKINE TRAP (IL-1 Trap): </w:t>
      </w:r>
      <w:r>
        <w:rPr>
          <w:rFonts w:ascii="Arial" w:cs="Arial" w:eastAsia="Arial" w:hAnsi="Arial"/>
          <w:sz w:val="16"/>
          <w:szCs w:val="16"/>
          <w:color w:val="auto"/>
        </w:rPr>
        <w:t>Protein-based drug candidate designed to bind the interleukin-1 (called IL-1) cytokine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its interaction with cell surface receptors. IL-1 is thought to play a major role in rheumatoid arthritis and other inflammatory diseases. In December 2000, we initiated a Phase I study to assess the safety and tolerability of the IL-1 Trap in subjects with rheumatoid arthritis. In January 2002, we reported positive preliminary results from the trial. Subjects treated with the IL-1 Trap experienced dose-dependent improvements in tender and swollen joints and CRP (C-Reactive Protein) levels, as well as the composite ACR (American College of Rheumatology) measure of disease activity. In July 2002, we announced the initiation of a dose-ranging Phase II trial, that will involve approximately 200 participants, to study the safety and efficacy of the IL-1 Trap in subjects with rheumatoid arthritis.</w:t>
      </w:r>
    </w:p>
    <w:p>
      <w:pPr>
        <w:spacing w:after="0" w:line="167" w:lineRule="exact"/>
        <w:rPr>
          <w:rFonts w:ascii="Arial" w:cs="Arial" w:eastAsia="Arial" w:hAnsi="Arial"/>
          <w:sz w:val="16"/>
          <w:szCs w:val="16"/>
          <w:color w:val="auto"/>
        </w:rPr>
      </w:pPr>
    </w:p>
    <w:p>
      <w:pPr>
        <w:ind w:left="1040" w:right="300" w:hanging="451"/>
        <w:spacing w:after="0" w:line="25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VEGF TRAP: </w:t>
      </w:r>
      <w:r>
        <w:rPr>
          <w:rFonts w:ascii="Arial" w:cs="Arial" w:eastAsia="Arial" w:hAnsi="Arial"/>
          <w:sz w:val="18"/>
          <w:szCs w:val="18"/>
          <w:color w:val="auto"/>
        </w:rPr>
        <w:t>Protein-based drug candidate designed to bind Vascular Endothelial Growth Factor (called VEGF, also known as Vascular</w:t>
      </w:r>
      <w:r>
        <w:rPr>
          <w:rFonts w:ascii="Arial" w:cs="Arial" w:eastAsia="Arial" w:hAnsi="Arial"/>
          <w:sz w:val="18"/>
          <w:szCs w:val="18"/>
          <w:b w:val="1"/>
          <w:bCs w:val="1"/>
          <w:color w:val="auto"/>
        </w:rPr>
        <w:t xml:space="preserve"> </w:t>
      </w:r>
      <w:r>
        <w:rPr>
          <w:rFonts w:ascii="Arial" w:cs="Arial" w:eastAsia="Arial" w:hAnsi="Arial"/>
          <w:sz w:val="18"/>
          <w:szCs w:val="18"/>
          <w:color w:val="auto"/>
        </w:rPr>
        <w:t>Permeability Factor or VPF) and prevent its interaction with cell surface receptors. VEGF is required for the growth of blood vessels that are needed for tumors to grow and is a potent regulator of vascular permeability and leak. In 2001, we initiated a dose-ranging Phase I clinical trial designed to assess the safety and tolerability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VEGF Trap in subjects with solid tumor malignancies and subjects with non-Hodgkin’s lymphoma. This trial is currently in progress.</w:t>
      </w:r>
    </w:p>
    <w:p>
      <w:pPr>
        <w:spacing w:after="0" w:line="219" w:lineRule="exact"/>
        <w:rPr>
          <w:sz w:val="20"/>
          <w:szCs w:val="20"/>
          <w:color w:val="auto"/>
        </w:rPr>
      </w:pPr>
    </w:p>
    <w:p>
      <w:pPr>
        <w:ind w:left="1040" w:right="20" w:hanging="451"/>
        <w:spacing w:after="0" w:line="25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INTERLEUKIN-4/INTERLEUKIN-13 CYTOKINE TRAP (IL-4/13 Trap): </w:t>
      </w:r>
      <w:r>
        <w:rPr>
          <w:rFonts w:ascii="Arial" w:cs="Arial" w:eastAsia="Arial" w:hAnsi="Arial"/>
          <w:sz w:val="18"/>
          <w:szCs w:val="18"/>
          <w:color w:val="auto"/>
        </w:rPr>
        <w:t>Protein-based drug candidate designed to bind the interleukin-4</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interleukin-13 (called IL-4 and IL-13) cytokines and prevent their interaction with cell surface receptors. IL-4 and IL-13 are thought to play a major role in diseases such as asthma, allergic disorders, and other inflammatory diseases. We recently initiated a Phase I trial for the IL-4/13 Trap in subjects with mild to moderate asthma. This trial is a placebo-controlled, double-blind, dose escalation study to assess the safety and tolerability of the molecule.</w:t>
      </w:r>
    </w:p>
    <w:p>
      <w:pPr>
        <w:spacing w:after="0" w:line="192" w:lineRule="exact"/>
        <w:rPr>
          <w:rFonts w:ascii="Arial" w:cs="Arial" w:eastAsia="Arial" w:hAnsi="Arial"/>
          <w:sz w:val="18"/>
          <w:szCs w:val="18"/>
          <w:color w:val="auto"/>
        </w:rPr>
      </w:pPr>
    </w:p>
    <w:p>
      <w:pPr>
        <w:ind w:left="1040" w:right="100" w:hanging="451"/>
        <w:spacing w:after="0" w:line="30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PEGYLATED AXOKINE: </w:t>
      </w:r>
      <w:r>
        <w:rPr>
          <w:rFonts w:ascii="Arial" w:cs="Arial" w:eastAsia="Arial" w:hAnsi="Arial"/>
          <w:sz w:val="16"/>
          <w:szCs w:val="16"/>
          <w:color w:val="auto"/>
        </w:rPr>
        <w:t>Chemically modified version of AXOKINE that is being evaluated for its potential to remain in the bloodstream</w:t>
      </w:r>
      <w:r>
        <w:rPr>
          <w:rFonts w:ascii="Arial" w:cs="Arial" w:eastAsia="Arial" w:hAnsi="Arial"/>
          <w:sz w:val="16"/>
          <w:szCs w:val="16"/>
          <w:b w:val="1"/>
          <w:bCs w:val="1"/>
          <w:color w:val="auto"/>
        </w:rPr>
        <w:t xml:space="preserve"> </w:t>
      </w:r>
      <w:r>
        <w:rPr>
          <w:rFonts w:ascii="Arial" w:cs="Arial" w:eastAsia="Arial" w:hAnsi="Arial"/>
          <w:sz w:val="16"/>
          <w:szCs w:val="16"/>
          <w:color w:val="auto"/>
        </w:rPr>
        <w:t>longer than unmodified AXOKINE in obese subjects. Preliminary results of a Phase I trial demonstrate a long pharmacokinetic half-life, potentially compatible with once-per-week dosing regimens. In its current form, the molecule is not optimally absorbed into the blood stream and has caused unacceptable injection site reactions. We are currently working to develop an improved form of PegAXOKINE.</w:t>
      </w:r>
    </w:p>
    <w:p>
      <w:pPr>
        <w:spacing w:after="0" w:line="157" w:lineRule="exact"/>
        <w:rPr>
          <w:rFonts w:ascii="Arial" w:cs="Arial" w:eastAsia="Arial" w:hAnsi="Arial"/>
          <w:sz w:val="16"/>
          <w:szCs w:val="16"/>
          <w:color w:val="auto"/>
        </w:rPr>
      </w:pPr>
    </w:p>
    <w:p>
      <w:pPr>
        <w:ind w:left="1040" w:right="180" w:hanging="451"/>
        <w:spacing w:after="0" w:line="25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ANGIOPOIETINS: </w:t>
      </w:r>
      <w:r>
        <w:rPr>
          <w:rFonts w:ascii="Arial" w:cs="Arial" w:eastAsia="Arial" w:hAnsi="Arial"/>
          <w:sz w:val="18"/>
          <w:szCs w:val="18"/>
          <w:color w:val="auto"/>
        </w:rPr>
        <w:t>A new family of growth factors that act specifically on the endothelium cells that line blood vessels. Angiopoietins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useful for growing blood vessels in diseased hearts and other tissues with decreased blood flow and for repairing blood vessel leaks that cause swelling and edema in many different diseases such as stroke, diabetic retinopathy, and inflammatory diseases. We have an active preclinical research program covering this family of growth factors. We have not yet selected a specific molecule to advance into clinical development or a specific indication for such development.</w:t>
      </w:r>
    </w:p>
    <w:p>
      <w:pPr>
        <w:spacing w:after="0" w:line="199"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have development rights to Neurotrophin-3, or NT-3, a clinical compound for the treatment of constipating conditions, although there are no ongoing development activities for NT-3 at this time. In all of these research collaborations, we retain 50% of the commercialization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Third Quarter 2002 Activities</w:t>
      </w:r>
    </w:p>
    <w:p>
      <w:pPr>
        <w:spacing w:after="0" w:line="225" w:lineRule="exact"/>
        <w:rPr>
          <w:sz w:val="20"/>
          <w:szCs w:val="20"/>
          <w:color w:val="auto"/>
        </w:rPr>
      </w:pPr>
    </w:p>
    <w:p>
      <w:pPr>
        <w:ind w:right="20" w:firstLine="395"/>
        <w:spacing w:after="0" w:line="259" w:lineRule="auto"/>
        <w:rPr>
          <w:sz w:val="20"/>
          <w:szCs w:val="20"/>
          <w:color w:val="auto"/>
        </w:rPr>
      </w:pPr>
      <w:r>
        <w:rPr>
          <w:rFonts w:ascii="Arial" w:cs="Arial" w:eastAsia="Arial" w:hAnsi="Arial"/>
          <w:sz w:val="18"/>
          <w:szCs w:val="18"/>
          <w:color w:val="auto"/>
        </w:rPr>
        <w:t>In July 2001, we initiated a Phase III clinical program of AXOKINE in overweight and obese subjects. We announced in January 2002 that the initial trial was fully enrolled with approximately 2,000 subjects at 65 sites across the United States. This trial is a double-blind, randomized, placebo-controlled study. It has a twelve-month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treatment period, which is expected to be completed in January 2003, in which subjects receive daily subcutaneous self-injections of placebo or AXOKINE at a dose of 1.0 microgram (mcg) per kilogram (kg) of body weight. The treatment period is followed by a twelve-month open-label safety extension phase, during which all study subjects receive AXOKINE. Endpoints of the study are based on changes in body weight versus baseline during the treatment period.</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second quarter of 2002, we initiated three additional studies in the AXOKINE Phase III program. Two of the studies were fully enrolled in July</w:t>
      </w:r>
    </w:p>
    <w:p>
      <w:pPr>
        <w:spacing w:after="0" w:line="38"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2002 and are running concurrently. Each of these randomized, double-blind short-term treatment studies will assess the safety and efficacy of AXOKINE compared with placebo in approximately 300 subjects over defined dosing periods. Participants in the first study are being given AXOKINE or placebo for</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6 months and will then be observed for another 6 months off-treatment. The companion study is treating subjects with AXOKINE or placebo for 3 months and will observe them for an additional 9 months off-treatment. The primary end-point of these studies is weight loss at the end of 12 months. At the end of the initial 12-month treatment and observation periods of the two studies, participants will receive an additional 6 months of treatment of which 3 months is on AXOKINE and 3 months on placebo. A follow-up evaluation will assess the safety and weight-loss effects of re-treatment with AXOKINE.</w:t>
      </w:r>
    </w:p>
    <w:p>
      <w:pPr>
        <w:spacing w:after="0" w:line="169" w:lineRule="exact"/>
        <w:rPr>
          <w:sz w:val="20"/>
          <w:szCs w:val="20"/>
          <w:color w:val="auto"/>
        </w:rPr>
      </w:pPr>
    </w:p>
    <w:p>
      <w:pPr>
        <w:ind w:firstLine="392"/>
        <w:spacing w:after="0" w:line="294" w:lineRule="auto"/>
        <w:rPr>
          <w:sz w:val="20"/>
          <w:szCs w:val="20"/>
          <w:color w:val="auto"/>
        </w:rPr>
      </w:pPr>
      <w:r>
        <w:rPr>
          <w:rFonts w:ascii="Arial" w:cs="Arial" w:eastAsia="Arial" w:hAnsi="Arial"/>
          <w:sz w:val="16"/>
          <w:szCs w:val="16"/>
          <w:color w:val="auto"/>
        </w:rPr>
        <w:t>The third study, initiated in June 2002, will assess the safety and efficacy of AXOKINE in overweight and obese individuals with type 2 diabetes mellitus. In this double-blind, placebo-controlled study, participants are randomized into three treatment groups and given placebo or one of two AXOKINE doses (0.5 or 1.0 mcg/kg/day) for 12 weeks. At the end of the initial phase, all participants will receive AXOKINE for a 12-week extension period in two separate dose groups. This study involves approximately 160 overweight and obese subjects with type 2 diabetes and is being conducted at 24 sites within the United States. The trial will measure weight loss and explore the short-term effects of weight loss with AXOKINE on blood levels of insulin, glucose, and other glycemic parameters.</w:t>
      </w:r>
    </w:p>
    <w:p>
      <w:pPr>
        <w:spacing w:after="0" w:line="170" w:lineRule="exact"/>
        <w:rPr>
          <w:sz w:val="20"/>
          <w:szCs w:val="20"/>
          <w:color w:val="auto"/>
        </w:rPr>
      </w:pPr>
    </w:p>
    <w:p>
      <w:pPr>
        <w:jc w:val="both"/>
        <w:ind w:right="460" w:firstLine="385"/>
        <w:spacing w:after="0" w:line="259" w:lineRule="auto"/>
        <w:rPr>
          <w:sz w:val="20"/>
          <w:szCs w:val="20"/>
          <w:color w:val="auto"/>
        </w:rPr>
      </w:pPr>
      <w:r>
        <w:rPr>
          <w:rFonts w:ascii="Arial" w:cs="Arial" w:eastAsia="Arial" w:hAnsi="Arial"/>
          <w:sz w:val="18"/>
          <w:szCs w:val="18"/>
          <w:color w:val="auto"/>
        </w:rPr>
        <w:t>As part of the overall Phase III program, Regeneron plans to conduct additional confirmatory and ancillary studies of AXOKINE in obese and obese diabetic subjects. These studies, which are expected to begin in 2003, will vary in duration and size and are planned to be completed in 2004. The Phase III program is expected to enroll over 4,000 subjects in total.</w:t>
      </w:r>
    </w:p>
    <w:p>
      <w:pPr>
        <w:spacing w:after="0" w:line="194" w:lineRule="exact"/>
        <w:rPr>
          <w:sz w:val="20"/>
          <w:szCs w:val="20"/>
          <w:color w:val="auto"/>
        </w:rPr>
      </w:pPr>
    </w:p>
    <w:p>
      <w:pPr>
        <w:ind w:right="80" w:firstLine="395"/>
        <w:spacing w:after="0" w:line="255" w:lineRule="auto"/>
        <w:rPr>
          <w:sz w:val="20"/>
          <w:szCs w:val="20"/>
          <w:color w:val="auto"/>
        </w:rPr>
      </w:pPr>
      <w:r>
        <w:rPr>
          <w:rFonts w:ascii="Arial" w:cs="Arial" w:eastAsia="Arial" w:hAnsi="Arial"/>
          <w:sz w:val="18"/>
          <w:szCs w:val="18"/>
          <w:color w:val="auto"/>
        </w:rPr>
        <w:t>In December 2000, we initiated a Phase I study of the IL-1 Trap to assess its safety and tolerability in subjects with rheumatoid arthritis. The placebo-controlled, double-blind, dose-escalation study was conducted at several centers in the United States and included a single dose phase and a multiple dose phase. In January 2002, we reported positive preliminary results from the trial. The preliminary results indicated that subjects treated with the IL-1 Trap experienced dose dependent improvements in tender and swollen joints and CRP levels as well as the composite ACR measure of disease activity. We also conducted a small pilot safety study of the IL-1 Trap at a single, fixed high dose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of 100 mg compared with placebo. This study involved 14 subjects with active rheumatoid arthritis who received IL-1 Trap by weekly subcutaneous injections at the study sites over 6 weeks. The trial was not designed to measure disease activity. Preliminary results indicated that the IL-1 Trap was generally well tolerated with similar adverse events in the drug-treated and placebo-treated subjects. There were no drug-related serious adverse events.</w:t>
      </w:r>
    </w:p>
    <w:p>
      <w:pPr>
        <w:spacing w:after="0" w:line="161" w:lineRule="exact"/>
        <w:rPr>
          <w:sz w:val="20"/>
          <w:szCs w:val="20"/>
          <w:color w:val="auto"/>
        </w:rPr>
      </w:pPr>
    </w:p>
    <w:p>
      <w:pPr>
        <w:ind w:firstLine="395"/>
        <w:spacing w:after="0" w:line="318" w:lineRule="auto"/>
        <w:rPr>
          <w:sz w:val="20"/>
          <w:szCs w:val="20"/>
          <w:color w:val="auto"/>
        </w:rPr>
      </w:pPr>
      <w:r>
        <w:rPr>
          <w:rFonts w:ascii="Arial" w:cs="Arial" w:eastAsia="Arial" w:hAnsi="Arial"/>
          <w:sz w:val="15"/>
          <w:szCs w:val="15"/>
          <w:color w:val="auto"/>
        </w:rPr>
        <w:t>In July 2002, we announced the initiation of a dose-ranging Phase II trial to study the safety and efficacy of the IL-1 Trap in subjects with rheumatoid arthritis. The trial is a randomized, placebo-controlled, double-blind study in subjects who have had an inadequate response to at least one disease-modifying anti-rheumatic medicine. The study will involve approximately 200 participants, who will be randomized equally into placebo or one of three fixed-dose groups (25, 50, or 100 milligrams) to receive self-administered, weekly subcutaneous injections. The double-blind treatment period is 12 weeks, and participants will also be evaluated for 10 weeks following treatment. The ACR20 criteria for improvement in rheumatoid arthritis as a function of IL-1 Trap dose is the primary end-point.</w:t>
      </w:r>
    </w:p>
    <w:p>
      <w:pPr>
        <w:spacing w:after="0" w:line="154" w:lineRule="exact"/>
        <w:rPr>
          <w:sz w:val="20"/>
          <w:szCs w:val="20"/>
          <w:color w:val="auto"/>
        </w:rPr>
      </w:pPr>
    </w:p>
    <w:p>
      <w:pPr>
        <w:ind w:right="40" w:firstLine="395"/>
        <w:spacing w:after="0" w:line="294" w:lineRule="auto"/>
        <w:rPr>
          <w:sz w:val="20"/>
          <w:szCs w:val="20"/>
          <w:color w:val="auto"/>
        </w:rPr>
      </w:pPr>
      <w:r>
        <w:rPr>
          <w:rFonts w:ascii="Arial" w:cs="Arial" w:eastAsia="Arial" w:hAnsi="Arial"/>
          <w:sz w:val="16"/>
          <w:szCs w:val="16"/>
          <w:color w:val="auto"/>
        </w:rPr>
        <w:t>In July 2002, we entered into an agreement with Amgen and Immunex Corporation for a non-exclusive license to certain intellectual property rights which may be used in the development and commercialization of the IL-1 Trap. Amgen and Immunex agreed to grant the license as part of a consent agreement with the United States Federal Trade Commission in connection with Amgen’s acquisition of Immunex. This agreement followed licensing arrangements with ZymoGenetics, Inc. and Tularik Inc., under which we obtained non-exclusive rights to patents for potential use in the IL-1 Trap program. We will be required to make royalty payments under these three license agreements on any future sales of the IL-1 Trap.</w:t>
      </w:r>
    </w:p>
    <w:p>
      <w:pPr>
        <w:spacing w:after="0" w:line="170"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color w:val="auto"/>
        </w:rPr>
        <w:t>In November 2001, we initiated a Phase I clinical trial designed to assess the safety and tolerability of VEGF Trap in subjects with solid tumor malignancies and subjects with non-Hodgkin’s lymphoma. The Phase I trial is an open-label study in subjects with advanced tumors and will evaluate the VEGF Trap in increasing dose levels. The study is being conducted at three clinical sites in the United States.</w:t>
      </w:r>
    </w:p>
    <w:p>
      <w:pPr>
        <w:spacing w:after="0" w:line="194" w:lineRule="exact"/>
        <w:rPr>
          <w:sz w:val="20"/>
          <w:szCs w:val="20"/>
          <w:color w:val="auto"/>
        </w:rPr>
      </w:pPr>
    </w:p>
    <w:p>
      <w:pPr>
        <w:jc w:val="both"/>
        <w:ind w:right="80" w:firstLine="395"/>
        <w:spacing w:after="0" w:line="259" w:lineRule="auto"/>
        <w:rPr>
          <w:sz w:val="20"/>
          <w:szCs w:val="20"/>
          <w:color w:val="auto"/>
        </w:rPr>
      </w:pPr>
      <w:r>
        <w:rPr>
          <w:rFonts w:ascii="Arial" w:cs="Arial" w:eastAsia="Arial" w:hAnsi="Arial"/>
          <w:sz w:val="18"/>
          <w:szCs w:val="18"/>
          <w:color w:val="auto"/>
        </w:rPr>
        <w:t>In July 2002, we announced that we had submitted an IND application to the FDA to initiate a clinical trial development program for a dual IL-4/13 Trap in adult subjects with mild to moderate asthma. We initiated a Phase I trial in October 2002. This placebo-controlled, double-blind study is designed to evaluate the safety and tolerability of increasing doses of the IL-4/13 Trap in adult subjects with mild to moderate asthma.</w:t>
      </w:r>
    </w:p>
    <w:p>
      <w:pPr>
        <w:spacing w:after="0" w:line="194" w:lineRule="exact"/>
        <w:rPr>
          <w:sz w:val="20"/>
          <w:szCs w:val="20"/>
          <w:color w:val="auto"/>
        </w:rPr>
      </w:pPr>
    </w:p>
    <w:p>
      <w:pPr>
        <w:ind w:right="80" w:firstLine="395"/>
        <w:spacing w:after="0" w:line="256" w:lineRule="auto"/>
        <w:rPr>
          <w:sz w:val="20"/>
          <w:szCs w:val="20"/>
          <w:color w:val="auto"/>
        </w:rPr>
      </w:pPr>
      <w:r>
        <w:rPr>
          <w:rFonts w:ascii="Arial" w:cs="Arial" w:eastAsia="Arial" w:hAnsi="Arial"/>
          <w:sz w:val="18"/>
          <w:szCs w:val="18"/>
          <w:color w:val="auto"/>
        </w:rPr>
        <w:t>In June 2002, we initiated a Phase I placebo-controlled, double-blind, single-dose, dose-escalation study to assess the safety and pharmacokinetics of the Company’s pegylated version of AXOKINE (PegAXOKINE) for the treatment of obesity. We developed this chemically modified version of AXOKINE to remain in the bloodstream longer than unmodified AXOKINE in obese subjects. Preliminary results of the Phase I trial demonstrate a long pharmacokinetic half-life, potentially compatible with once-per-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week dosing regimens. In its current form, the molecule is not optimally absorbed into the blood stream and has caused unacceptable injection site reactions. We are currently working to develop an improved form of PegAXOKINE.</w:t>
      </w:r>
    </w:p>
    <w:p>
      <w:pPr>
        <w:spacing w:after="0" w:line="186" w:lineRule="exact"/>
        <w:rPr>
          <w:sz w:val="20"/>
          <w:szCs w:val="20"/>
          <w:color w:val="auto"/>
        </w:rPr>
      </w:pPr>
    </w:p>
    <w:p>
      <w:pPr>
        <w:ind w:firstLine="385"/>
        <w:spacing w:after="0" w:line="287" w:lineRule="auto"/>
        <w:rPr>
          <w:sz w:val="20"/>
          <w:szCs w:val="20"/>
          <w:color w:val="auto"/>
        </w:rPr>
      </w:pPr>
      <w:r>
        <w:rPr>
          <w:rFonts w:ascii="Arial" w:cs="Arial" w:eastAsia="Arial" w:hAnsi="Arial"/>
          <w:sz w:val="16"/>
          <w:szCs w:val="16"/>
          <w:color w:val="auto"/>
        </w:rPr>
        <w:t>A minority of all research and development programs ultimately results in commercially successful pharmaceutical drugs; it is not possible to predict whether any program will succeed until it actually produces a medicine that is commercially marketed for a significant period of time. In addition, in each of the areas of our independent and collaborative activities, other companies and entities are actively pursuing competitive paths toward similar objectives. The results of Regeneron’s and its collaborators’ past activities in connection with the research and development of AXOKINE, Cytokine Traps, Angiopoietins, cancer, abnormal bone growth, muscle atrophy, small molecules, and other programs or areas of research or development do not necessarily predict the results or success of current or future activities including, but not limited to, any additional preclinical or clinical studies. We cannot predict whether, when, or under what conditions any of our research or product candidates, including without limitation AXOKINE, IL-1 Trap, VEGF Trap, IL-4/13 Trap, or Pegylated AXOKINE, will be shown to be safe or effective to treat any human condition or be approved for marketing by any regulatory agency. The delay or failure of current or future studies to demonstrate the safety or efficacy of product candidates to treat human conditions or to be approved for marketing could have a material adverse impact on us. We discuss the risks associated with pharmaceutical drug development in the section of this report titled “Factors That May Affect Future Operating Results.”</w:t>
      </w:r>
    </w:p>
    <w:p>
      <w:pPr>
        <w:spacing w:after="0" w:line="393" w:lineRule="exact"/>
        <w:rPr>
          <w:sz w:val="20"/>
          <w:szCs w:val="20"/>
          <w:color w:val="auto"/>
        </w:rPr>
      </w:pPr>
    </w:p>
    <w:p>
      <w:pPr>
        <w:ind w:right="340" w:firstLine="392"/>
        <w:spacing w:after="0" w:line="255" w:lineRule="auto"/>
        <w:rPr>
          <w:sz w:val="20"/>
          <w:szCs w:val="20"/>
          <w:color w:val="auto"/>
        </w:rPr>
      </w:pPr>
      <w:r>
        <w:rPr>
          <w:rFonts w:ascii="Arial" w:cs="Arial" w:eastAsia="Arial" w:hAnsi="Arial"/>
          <w:sz w:val="18"/>
          <w:szCs w:val="18"/>
          <w:color w:val="auto"/>
        </w:rPr>
        <w:t>We have not received revenue from the commercialization of our product candidates and may never receive such revenues. Before revenues from the commercialization of our product candidates can be realized, we (or our collaborators) must overcome a number of hurdles which include successfully completing our research and development efforts and obtaining regulatory approval from the FDA or regulatory authorities in other countries. In addition, the biotechnology and pharmaceutical industries are rapidly evolving and highly competitive, and new developments may render our products and technologies noncompetitive or obsolete.</w:t>
      </w:r>
    </w:p>
    <w:p>
      <w:pPr>
        <w:spacing w:after="0" w:line="197" w:lineRule="exact"/>
        <w:rPr>
          <w:sz w:val="20"/>
          <w:szCs w:val="20"/>
          <w:color w:val="auto"/>
        </w:rPr>
      </w:pPr>
    </w:p>
    <w:p>
      <w:pPr>
        <w:ind w:right="60" w:firstLine="395"/>
        <w:spacing w:after="0" w:line="294" w:lineRule="auto"/>
        <w:rPr>
          <w:sz w:val="20"/>
          <w:szCs w:val="20"/>
          <w:color w:val="auto"/>
        </w:rPr>
      </w:pPr>
      <w:r>
        <w:rPr>
          <w:rFonts w:ascii="Arial" w:cs="Arial" w:eastAsia="Arial" w:hAnsi="Arial"/>
          <w:sz w:val="16"/>
          <w:szCs w:val="16"/>
          <w:color w:val="auto"/>
        </w:rPr>
        <w:t>From inception on January 8, 1988 through September 30, 2002, we had a cumulative loss of $388.4 million. In the absence of revenues from the commercialization of our product candidates or other sources, the amount, timing, nature, or source of which cannot be predicted, our losses will continue as we conduct our research and development activities. Our activities may expand over time and may require additional resources and we expect our operating losses to be substantial over at least the next several years. Our losses may fluctuate from quarter to quarter and will depend, among other factors, on the timing of certain clinical, manufacturing, and commercialization expenses and on the progress of our research and development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i w:val="1"/>
          <w:iCs w:val="1"/>
          <w:color w:val="auto"/>
        </w:rPr>
        <w:t xml:space="preserve">Three months ended September 30, 2002 and 2001. </w:t>
      </w:r>
      <w:r>
        <w:rPr>
          <w:rFonts w:ascii="Arial" w:cs="Arial" w:eastAsia="Arial" w:hAnsi="Arial"/>
          <w:sz w:val="16"/>
          <w:szCs w:val="16"/>
          <w:color w:val="auto"/>
        </w:rPr>
        <w:t>Our total revenue increased to $6.6 million for the third quarter of 2002 from $5.5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2001. Contract research and development revenue, related primarily to our long-term collaboration agreement with Procter &amp; Gamble, was $2.8 million in both the third quarters of 2002 and 2001. Contract manufacturing revenue increased to $3.8 million in the third quarter of 2002 from $2.7 million for the same period in 2001, due primarily to the receipt of a non-recurring $1.0 million payment from Merck &amp; Co., Inc. related to services we provided in prior years in connection with our long-term agreement to manufacture a vaccine intermediate for Merck at our Rensselaer, New York facility. We shipped similar quantities of product to Merck in the third quarters of 2002 and 2001.</w:t>
      </w:r>
    </w:p>
    <w:p>
      <w:pPr>
        <w:spacing w:after="0" w:line="174" w:lineRule="exact"/>
        <w:rPr>
          <w:sz w:val="20"/>
          <w:szCs w:val="20"/>
          <w:color w:val="auto"/>
        </w:rPr>
      </w:pPr>
    </w:p>
    <w:p>
      <w:pPr>
        <w:ind w:firstLine="395"/>
        <w:spacing w:after="0" w:line="288" w:lineRule="auto"/>
        <w:rPr>
          <w:sz w:val="20"/>
          <w:szCs w:val="20"/>
          <w:color w:val="auto"/>
        </w:rPr>
      </w:pPr>
      <w:r>
        <w:rPr>
          <w:rFonts w:ascii="Arial" w:cs="Arial" w:eastAsia="Arial" w:hAnsi="Arial"/>
          <w:sz w:val="16"/>
          <w:szCs w:val="16"/>
          <w:color w:val="auto"/>
        </w:rPr>
        <w:t>Our total operating expenses increased to $38.7 million in the third quarter of 2002 from $28.8 million for the same period in 2001. Research and development expenses increased to $34.3 million in the third quarter of 2002 from $25.0 million for the comparable period in 2001, due primarily to our increased clinical development activity, especially related to our Phase III clinical program for AXOKINE. In addition, research and development expenses increased as a result of added staffing to support our increased clinical development activity and expanded research programs and the enabling technology platforms supporting that research. Research and development expenses were 89% of total operating expenses in the third quarter of 2002, compared to 87% for the same period in 2001. Contract manufacturing expenses related to our long-term agreement with Merck increased to $1.6 million in the third quarter of 2002 from $1.3 million for the comparable period in 2001 due primarily to additional production runs. General and administrative expenses increased to $2.8 million in the third quarter of 2002 from $2.5 million for the same period of 2001, due primarily to additional administrative staffing to support the growth of the company and higher fees paid to outside service providers.</w:t>
      </w:r>
    </w:p>
    <w:p>
      <w:pPr>
        <w:spacing w:after="0" w:line="174"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Investment income decreased to $2.4 million in the third quarter of 2002 from $3.2 million for the same period of 2001, due to lower effective interest rates on investment securities in 2002 compared to 2001. Our share of the loss in Amgen-Regeneron Partners was approximately $1,000 for the third quarter of 2002 compared to earnings of $0.2 million for the same period in 2001. The partnership is not currently conducting any clinical studies. The partnership’s third quarter 2001 net income is attributable primarily to a $0.8 million reduction of previously estimated costs to wind-down a completed clinical study. Interest expense increased $3.0 million in the third quarter of 2002 compared to the same period in 2001, due to interest incurred on $200.0 million of convertible senior subordinated notes issued in October 2001. These notes bear interest at 5.5% per annum, payable semi-annually.</w:t>
      </w:r>
    </w:p>
    <w:p>
      <w:pPr>
        <w:spacing w:after="0" w:line="174" w:lineRule="exact"/>
        <w:rPr>
          <w:sz w:val="20"/>
          <w:szCs w:val="20"/>
          <w:color w:val="auto"/>
        </w:rPr>
      </w:pPr>
    </w:p>
    <w:p>
      <w:pPr>
        <w:ind w:right="340" w:firstLine="395"/>
        <w:spacing w:after="0" w:line="268" w:lineRule="auto"/>
        <w:rPr>
          <w:sz w:val="20"/>
          <w:szCs w:val="20"/>
          <w:color w:val="auto"/>
        </w:rPr>
      </w:pPr>
      <w:r>
        <w:rPr>
          <w:rFonts w:ascii="Arial" w:cs="Arial" w:eastAsia="Arial" w:hAnsi="Arial"/>
          <w:sz w:val="18"/>
          <w:szCs w:val="18"/>
          <w:color w:val="auto"/>
        </w:rPr>
        <w:t>Our net loss for the third quarter of 2002 was $32.8 million, or $0.75 per share (basic and diluted), compared to a net loss of $19.9 million, or $0.46 per share (basic and diluted), for the same period in 2001.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Nine months ended September 30, 2002 and 2001. </w:t>
      </w:r>
      <w:r>
        <w:rPr>
          <w:rFonts w:ascii="Arial" w:cs="Arial" w:eastAsia="Arial" w:hAnsi="Arial"/>
          <w:sz w:val="16"/>
          <w:szCs w:val="16"/>
          <w:color w:val="auto"/>
        </w:rPr>
        <w:t>Our total revenue decreased to $17.1 million for the nine months ended September 30, 2002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$17.6 million for the same period in 2001. Contract research and development revenue decreased to $8.2 million for the nine months ended September 30,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$9.4 million for the same period in 2001, due to the substantial completion of studies conducted on behalf of Amgen-Regeneron Partners.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manufacturing revenue, related primarily to our long-term agreement with Merck, increased to $8.9 million in the first nine months of 2002 from $8.2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2001. In the third quarter of 2002, we received a non-recurring $1.0 million payment related to services we provided in prior years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Merck agreement. This increase was partly offset by lower revenue because we shipped less product to Merck in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than the comparable period of 2001. Certain quantities of product that we manufactured for Merck in the first nine months of 2002 will not be shipped until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later this year or 2003. Contract manufacturing revenue and the related manufacturing expense are recognized as product is shipped.</w:t>
      </w:r>
    </w:p>
    <w:p>
      <w:pPr>
        <w:spacing w:after="0" w:line="219" w:lineRule="exact"/>
        <w:rPr>
          <w:sz w:val="20"/>
          <w:szCs w:val="20"/>
          <w:color w:val="auto"/>
        </w:rPr>
      </w:pPr>
    </w:p>
    <w:p>
      <w:pPr>
        <w:ind w:right="40" w:firstLine="395"/>
        <w:spacing w:after="0" w:line="308" w:lineRule="auto"/>
        <w:rPr>
          <w:sz w:val="20"/>
          <w:szCs w:val="20"/>
          <w:color w:val="auto"/>
        </w:rPr>
      </w:pPr>
      <w:r>
        <w:rPr>
          <w:rFonts w:ascii="Arial" w:cs="Arial" w:eastAsia="Arial" w:hAnsi="Arial"/>
          <w:sz w:val="15"/>
          <w:szCs w:val="15"/>
          <w:color w:val="auto"/>
        </w:rPr>
        <w:t>Our total operating expenses increased to $104.4 million for the nine months ended September 30, 2002 from $73.7 million for the same period in 2001. Research and development expenses increased to $90.5 million in the first nine months of 2002 from $61.4 million for the comparable period in 2001, due primarily to our expanded clinical development activity, especially our Phase III clinical program for AXOKINE, which we initiated in July 2001. In addition, research and development expenses increased as a result of added staffing to support our increased clinical development activity and expanded research programs and the enabling technology platforms supporting that research. Research and development expenses were 87% of total operating expenses for the first nine months of 2002, compared to 83% for the same period in 2001. Contract manufacturing expenses related to our long-term agreement with Merck decreased to $4.8 million for the nine months ended September 30, 2002 from $5.3 million for the same period in 2001, primarily due to the above-described decrease in shipments of product to Merck and higher manufacturing costs in the first quarter of 2001. General and administrative expenses increased to $9.2 million in the first nine months of 2002 from $6.9 million for the same period of 2001, due primarily to additional administrative staffing to support the growth of the company, higher fees paid to outside service providers, and higher patent prosecution and legal expenses related to the expansion of our intellectual property portfolio.</w:t>
      </w:r>
    </w:p>
    <w:p>
      <w:pPr>
        <w:spacing w:after="0" w:line="163"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color w:val="auto"/>
        </w:rPr>
        <w:t>Investment income decreased to $7.7 million for the nine months ended September 30, 2002 from $9.5 million for the same period of 2001, due to lower effective interest rates on investment securities in 2002 compared to 2001. Our share of the loss in Amgen-Regeneron Partners decreased to approximately $2,000 in the first nine months of 2002 compared to $1.1 million for the same period in 2001, due to the substantial completion of studies conducted on behalf of the partnership. Interest expense increased by $8.9 million for the first nine months of 2002 compared to the same period in 2001, due to interest incurred on $200.0 million of convertible senior subordinated notes issued in October 2001. These notes bear interest at 5.5% per annum, payable semi-annually.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80" w:firstLine="395"/>
        <w:spacing w:after="0" w:line="268" w:lineRule="auto"/>
        <w:rPr>
          <w:sz w:val="20"/>
          <w:szCs w:val="20"/>
          <w:color w:val="auto"/>
        </w:rPr>
      </w:pPr>
      <w:r>
        <w:rPr>
          <w:rFonts w:ascii="Arial" w:cs="Arial" w:eastAsia="Arial" w:hAnsi="Arial"/>
          <w:sz w:val="18"/>
          <w:szCs w:val="18"/>
          <w:color w:val="auto"/>
        </w:rPr>
        <w:t>Our net loss for the nine months ended September 30, 2002 was $88.7 million, or $2.02 per share (basic and diluted), compared to a net loss of $47.8 million, or $1.15 per share (basic and diluted), for the same period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40" w:firstLine="395"/>
        <w:spacing w:after="0" w:line="259" w:lineRule="auto"/>
        <w:rPr>
          <w:sz w:val="20"/>
          <w:szCs w:val="20"/>
          <w:color w:val="auto"/>
        </w:rPr>
      </w:pPr>
      <w:r>
        <w:rPr>
          <w:rFonts w:ascii="Arial" w:cs="Arial" w:eastAsia="Arial" w:hAnsi="Arial"/>
          <w:sz w:val="18"/>
          <w:szCs w:val="18"/>
          <w:color w:val="auto"/>
        </w:rPr>
        <w:t>Since our inception in 1988, we have financed our operations primarily through private placements and public offerings of our equity securities, a private placement of convertible debt, revenue earned under our agreements with Amgen, Sumitomo Chemical Co., Ltd., Sumitomo Pharmaceuticals Company, Ltd., Merck, and Procter &amp; Gamble, and investment income.</w:t>
      </w:r>
    </w:p>
    <w:p>
      <w:pPr>
        <w:spacing w:after="0" w:line="194" w:lineRule="exact"/>
        <w:rPr>
          <w:sz w:val="20"/>
          <w:szCs w:val="20"/>
          <w:color w:val="auto"/>
        </w:rPr>
      </w:pPr>
    </w:p>
    <w:p>
      <w:pPr>
        <w:ind w:right="360" w:firstLine="392"/>
        <w:spacing w:after="0" w:line="370" w:lineRule="auto"/>
        <w:rPr>
          <w:sz w:val="20"/>
          <w:szCs w:val="20"/>
          <w:color w:val="auto"/>
        </w:rPr>
      </w:pPr>
      <w:r>
        <w:rPr>
          <w:rFonts w:ascii="Arial" w:cs="Arial" w:eastAsia="Arial" w:hAnsi="Arial"/>
          <w:sz w:val="15"/>
          <w:szCs w:val="15"/>
          <w:color w:val="auto"/>
        </w:rPr>
        <w:t>We and Procter &amp; Gamble have a long-term collaboration agreement. Under our agreement, since the first quarter of 2001 and through December 2005, Procter &amp; Gamble provides funding in support of our research efforts related to the collaboration of $2.5 million per quarter, plus adjustments for inflation.</w:t>
      </w:r>
    </w:p>
    <w:p>
      <w:pPr>
        <w:spacing w:after="0" w:line="116"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auto"/>
        </w:rPr>
        <w:t>We are compensated by Amgen-Regeneron Partners for services we render on behalf of the partnership, and we recognize these amounts as revenue. We and Amgen fund Amgen-Regeneron Partners through capital contributions. If there are any further development costs of the partnership, we would expect to fund 50% of those costs in order to maintain equal ownership and equal sharing of the profits or losses of the partnership. Our aggregate capital contribution to Amgen-Regeneron Partners from the partnership’s inception in June 1993 through September 30, 2002 was $57.9 million. We do not expect to make capital contributions to the partnership in 2002 and during the third quarter of 2002 we and Amgen each withdrew $0.5 million of capital from the partnership, since there are currently no ongoing development activities. Additional contributions may be required, if, among other things, Amgen-Regeneron Partners initiates any new development activities.</w:t>
      </w:r>
    </w:p>
    <w:p>
      <w:pPr>
        <w:spacing w:after="0" w:line="201" w:lineRule="exact"/>
        <w:rPr>
          <w:sz w:val="20"/>
          <w:szCs w:val="20"/>
          <w:color w:val="auto"/>
        </w:rPr>
      </w:pPr>
    </w:p>
    <w:p>
      <w:pPr>
        <w:ind w:right="80" w:firstLine="385"/>
        <w:spacing w:after="0" w:line="291" w:lineRule="auto"/>
        <w:rPr>
          <w:sz w:val="20"/>
          <w:szCs w:val="20"/>
          <w:color w:val="auto"/>
        </w:rPr>
      </w:pPr>
      <w:r>
        <w:rPr>
          <w:rFonts w:ascii="Arial" w:cs="Arial" w:eastAsia="Arial" w:hAnsi="Arial"/>
          <w:sz w:val="16"/>
          <w:szCs w:val="16"/>
          <w:color w:val="auto"/>
        </w:rPr>
        <w:t>At September 30, 2002, we had $341.4 million in cash, cash equivalents, marketable securities, and restricted marketable securities. Restricted marketable securities of $26.8 million at September 30, 2002, consist of U.S. government securities that are pledged as collateral primarily with respect to initial interest payments due on the $200.0 million of convertible senior subordinated notes due 2008 that we issued in October 2001. We have no off-balance sheet arrangements and do not guarantee the obligations of any other entity. As of September 30, 2002, we had no established banking arrangements through which we could obtain short-term financing or a line of credit. We may seek additional funding through, among other things, future collaboration agreements and public or private financing. We cannot assure you that additional financing will be available to us or, if available, that it will be available on acceptable terms.</w:t>
      </w:r>
    </w:p>
    <w:p>
      <w:pPr>
        <w:spacing w:after="0" w:line="174" w:lineRule="exact"/>
        <w:rPr>
          <w:sz w:val="20"/>
          <w:szCs w:val="20"/>
          <w:color w:val="auto"/>
        </w:rPr>
      </w:pPr>
    </w:p>
    <w:p>
      <w:pPr>
        <w:ind w:right="220" w:firstLine="395"/>
        <w:spacing w:after="0" w:line="259" w:lineRule="auto"/>
        <w:rPr>
          <w:sz w:val="20"/>
          <w:szCs w:val="20"/>
          <w:color w:val="auto"/>
        </w:rPr>
      </w:pPr>
      <w:r>
        <w:rPr>
          <w:rFonts w:ascii="Arial" w:cs="Arial" w:eastAsia="Arial" w:hAnsi="Arial"/>
          <w:sz w:val="18"/>
          <w:szCs w:val="18"/>
          <w:color w:val="auto"/>
        </w:rPr>
        <w:t>Our additions to property, plant, and equipment totaled $23.2 million and $5.6 million for the first nine months of 2002 and 2001, respectively. During March 2002, we entered into a new sublease for additional space at our Tarrytown, New York location, which expires in December 2005. During July 2002, we entered into a new lease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manufacturing and warehouse space adjacent to our Rensselaer, New York facility, which expires in July 2007 and contains renewal options to extend the lease for two additional five-year terms. During August 2002, we leased additional space at our Tarrytown location, with a term that expires in December 2006 and a renewal option to extend for an additional three-year period. Our base rent will increase by $1.6 million per year for these additional premises in Tarrytown and Rensselaer, New York, excluding costs for utilities, real estate taxes, and operating expenses.</w:t>
      </w:r>
    </w:p>
    <w:p>
      <w:pPr>
        <w:spacing w:after="0" w:line="167" w:lineRule="exact"/>
        <w:rPr>
          <w:sz w:val="20"/>
          <w:szCs w:val="20"/>
          <w:color w:val="auto"/>
        </w:rPr>
      </w:pPr>
    </w:p>
    <w:p>
      <w:pPr>
        <w:ind w:right="60" w:firstLine="392"/>
        <w:spacing w:after="0" w:line="288" w:lineRule="auto"/>
        <w:rPr>
          <w:sz w:val="20"/>
          <w:szCs w:val="20"/>
          <w:color w:val="auto"/>
        </w:rPr>
      </w:pPr>
      <w:r>
        <w:rPr>
          <w:rFonts w:ascii="Arial" w:cs="Arial" w:eastAsia="Arial" w:hAnsi="Arial"/>
          <w:sz w:val="16"/>
          <w:szCs w:val="16"/>
          <w:color w:val="auto"/>
        </w:rPr>
        <w:t>We expect to incur substantial funding requirements for, among other things, research and development activities (including preclinical and clinical testing), expansion and validation of manufacturing facilities, and the acquisition of equipment. We anticipate that full-year expenses for research and development will increase in 2002 by 30% or more over 2001 amounts. We currently anticipate that for the remainder of 2002, approximately 50-70% of our expenditures will be directed toward the preclinical and clinical development of product candidates, including AXOKINE, IL-1 Trap, VEGF Trap, IL-4/13 Trap, PegAXOKINE, and the Angiopoietins; approximately 10-20% will be invested in expansion of our manufacturing facilities; approximately 10-20% will cover our basic research activities; approximately 5-15% will be directed toward the continued development of our novel technology platforms, including potential efforts to commercialize these technologies; and the remainder of our expenditures will be for general corporate purposes, including administrative expenses and working capital. During the remainder of 2002, we expect to incur approximately $15 million in capital expenditures for our expanded manufacturing and research and development activities.</w:t>
      </w:r>
    </w:p>
    <w:p>
      <w:pPr>
        <w:spacing w:after="0" w:line="174" w:lineRule="exact"/>
        <w:rPr>
          <w:sz w:val="20"/>
          <w:szCs w:val="20"/>
          <w:color w:val="auto"/>
        </w:rPr>
      </w:pPr>
    </w:p>
    <w:p>
      <w:pPr>
        <w:ind w:right="220" w:firstLine="392"/>
        <w:spacing w:after="0" w:line="268" w:lineRule="auto"/>
        <w:rPr>
          <w:sz w:val="20"/>
          <w:szCs w:val="20"/>
          <w:color w:val="auto"/>
        </w:rPr>
      </w:pPr>
      <w:r>
        <w:rPr>
          <w:rFonts w:ascii="Arial" w:cs="Arial" w:eastAsia="Arial" w:hAnsi="Arial"/>
          <w:sz w:val="18"/>
          <w:szCs w:val="18"/>
          <w:color w:val="auto"/>
        </w:rPr>
        <w:t>We anticipate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186"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color w:val="auto"/>
        </w:rPr>
        <w:t>The amount we need to fund operations will depend on various factors, including the success of our research and development programs, the potential future need to expand our professional and support staff and facilities, the status of patents and other intellectual property rights, the status of competitive products, the delay or failure of a clinical trial of any of our potential drug candidates, and the continuation, extent, and success of any collaborative research arrangements (including those with Procter &amp; Gamble, Medarex, Emisphere Technologies, Inc., and Amgen). Clinical trial costs are dependent, among other things, on the size and duration of trials, fees charged for services provided by clinical trial investigators and other third parties, and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We believe that our existing capital resources will enable us to meet operating needs through at least 2003. However, this is a forward-looking statement based on our current operating plan, and we cannot assure you that there will be no change in projected revenues or expenses that would lead to our capital being consumed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before such time. If there is insufficient capital to fund all of our planned operations and activities, we believe we would prioritize available capital to fund preclinical and clinical development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ind w:right="140" w:firstLine="392"/>
        <w:spacing w:after="0" w:line="298" w:lineRule="auto"/>
        <w:rPr>
          <w:sz w:val="20"/>
          <w:szCs w:val="20"/>
          <w:color w:val="auto"/>
        </w:rPr>
      </w:pPr>
      <w:r>
        <w:rPr>
          <w:rFonts w:ascii="Arial" w:cs="Arial" w:eastAsia="Arial" w:hAnsi="Arial"/>
          <w:sz w:val="16"/>
          <w:szCs w:val="16"/>
          <w:color w:val="auto"/>
        </w:rPr>
        <w:t xml:space="preserve">The Financial Accounting Standards Board (“FASB”) has recently issued Statement of Financial Accounting Standards No. 145, </w:t>
      </w:r>
      <w:r>
        <w:rPr>
          <w:rFonts w:ascii="Arial" w:cs="Arial" w:eastAsia="Arial" w:hAnsi="Arial"/>
          <w:sz w:val="16"/>
          <w:szCs w:val="16"/>
          <w:i w:val="1"/>
          <w:iCs w:val="1"/>
          <w:color w:val="auto"/>
        </w:rPr>
        <w:t>Rescission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No. 4, 44, and 64, Amendment of FASB Statement No. 13, and Technical Corrections as of April 2002, </w:t>
      </w:r>
      <w:r>
        <w:rPr>
          <w:rFonts w:ascii="Arial" w:cs="Arial" w:eastAsia="Arial" w:hAnsi="Arial"/>
          <w:sz w:val="16"/>
          <w:szCs w:val="16"/>
          <w:color w:val="auto"/>
        </w:rPr>
        <w:t>and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which we will be required to adopt in future periods. Management believes that the future adoption of these accounting standards will not have a material impact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Operating Results</w:t>
      </w:r>
    </w:p>
    <w:p>
      <w:pPr>
        <w:spacing w:after="0" w:line="231" w:lineRule="exact"/>
        <w:rPr>
          <w:sz w:val="20"/>
          <w:szCs w:val="20"/>
          <w:color w:val="auto"/>
        </w:rPr>
      </w:pPr>
    </w:p>
    <w:p>
      <w:pPr>
        <w:ind w:right="160" w:firstLine="392"/>
        <w:spacing w:after="0" w:line="255" w:lineRule="auto"/>
        <w:rPr>
          <w:sz w:val="20"/>
          <w:szCs w:val="20"/>
          <w:color w:val="auto"/>
        </w:rPr>
      </w:pPr>
      <w:r>
        <w:rPr>
          <w:rFonts w:ascii="Arial" w:cs="Arial" w:eastAsia="Arial" w:hAnsi="Arial"/>
          <w:sz w:val="18"/>
          <w:szCs w:val="18"/>
          <w:color w:val="auto"/>
        </w:rPr>
        <w:t>We caution shareholders and potential investors that the following important factors, among others, in some cases have affected, and in the future could affect, our actual results and could cause our actual results to differ materially from those expressed in any forward-looking statements made by, or on behalf of, us.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97" w:lineRule="exact"/>
        <w:rPr>
          <w:sz w:val="20"/>
          <w:szCs w:val="20"/>
          <w:color w:val="auto"/>
        </w:rPr>
      </w:pPr>
    </w:p>
    <w:p>
      <w:pPr>
        <w:ind w:left="1040" w:right="580" w:hanging="451"/>
        <w:spacing w:after="0" w:line="26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difficulty, or failure of our research and development programs to produce product candidates that are scientifically or commercially appropriate for further development by us or others.</w:t>
      </w:r>
    </w:p>
    <w:p>
      <w:pPr>
        <w:spacing w:after="0" w:line="185" w:lineRule="exact"/>
        <w:rPr>
          <w:rFonts w:ascii="Arial" w:cs="Arial" w:eastAsia="Arial" w:hAnsi="Arial"/>
          <w:sz w:val="18"/>
          <w:szCs w:val="18"/>
          <w:color w:val="auto"/>
        </w:rPr>
      </w:pPr>
    </w:p>
    <w:p>
      <w:pPr>
        <w:jc w:val="both"/>
        <w:ind w:left="1040" w:right="20" w:hanging="451"/>
        <w:spacing w:after="0" w:line="306"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Cancellation or termination of material collaborative or licensing agreements (including in particular, but not limited to, the agreement with Procter &amp; Gamble) and the resulting loss of research or other funding could have a material adverse effect on us and our operations. A change of control of one or more of our material collaborators or licensees could also have a material adverse effect on us.</w:t>
      </w:r>
    </w:p>
    <w:p>
      <w:pPr>
        <w:spacing w:after="0" w:line="160" w:lineRule="exact"/>
        <w:rPr>
          <w:rFonts w:ascii="Arial" w:cs="Arial" w:eastAsia="Arial" w:hAnsi="Arial"/>
          <w:sz w:val="16"/>
          <w:szCs w:val="16"/>
          <w:color w:val="auto"/>
        </w:rPr>
      </w:pPr>
    </w:p>
    <w:p>
      <w:pPr>
        <w:ind w:left="1040" w:right="60" w:hanging="451"/>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difficulty, or failure of a clinical trial of any of our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difficulty in enrolling and maintaining subjects, lack of sufficient supplies of the product candidate, and the failure of clinical investigators, trial monitors and other consultants, or trial subjects to comply with the trial plan or protocol.</w:t>
      </w:r>
    </w:p>
    <w:p>
      <w:pPr>
        <w:spacing w:after="0" w:line="196" w:lineRule="exact"/>
        <w:rPr>
          <w:rFonts w:ascii="Arial" w:cs="Arial" w:eastAsia="Arial" w:hAnsi="Arial"/>
          <w:sz w:val="18"/>
          <w:szCs w:val="18"/>
          <w:color w:val="auto"/>
        </w:rPr>
      </w:pPr>
    </w:p>
    <w:p>
      <w:pPr>
        <w:ind w:left="1040" w:hanging="451"/>
        <w:spacing w:after="0" w:line="26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the safety, efficacy, manufacturing, and regulatory hurdles faced by our pharmaceutical candidates, the administration of recombinant proteins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20"/>
        <w:spacing w:after="0" w:line="291" w:lineRule="auto"/>
        <w:rPr>
          <w:sz w:val="20"/>
          <w:szCs w:val="20"/>
          <w:color w:val="auto"/>
        </w:rPr>
      </w:pPr>
      <w:r>
        <w:rPr>
          <w:rFonts w:ascii="Arial" w:cs="Arial" w:eastAsia="Arial" w:hAnsi="Arial"/>
          <w:sz w:val="16"/>
          <w:szCs w:val="16"/>
          <w:color w:val="auto"/>
        </w:rPr>
        <w:t>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Subjects who have received AXOKINE and the IL-1 Trap in clinical trials have developed antibodies.</w:t>
      </w:r>
    </w:p>
    <w:p>
      <w:pPr>
        <w:spacing w:after="0" w:line="174" w:lineRule="exact"/>
        <w:rPr>
          <w:sz w:val="20"/>
          <w:szCs w:val="20"/>
          <w:color w:val="auto"/>
        </w:rPr>
      </w:pPr>
    </w:p>
    <w:p>
      <w:pPr>
        <w:ind w:left="1040" w:right="100" w:hanging="451"/>
        <w:spacing w:after="0" w:line="26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difficulty, or failure in obtaining regulatory approval (including approval of our facilities for production) for our products, including delays or difficulties in development because of insufficient proof of safety or efficacy.</w:t>
      </w:r>
    </w:p>
    <w:p>
      <w:pPr>
        <w:spacing w:after="0" w:line="185" w:lineRule="exact"/>
        <w:rPr>
          <w:rFonts w:ascii="Arial" w:cs="Arial" w:eastAsia="Arial" w:hAnsi="Arial"/>
          <w:sz w:val="18"/>
          <w:szCs w:val="18"/>
          <w:color w:val="auto"/>
        </w:rPr>
      </w:pPr>
    </w:p>
    <w:p>
      <w:pPr>
        <w:ind w:left="1040" w:right="120" w:hanging="451"/>
        <w:spacing w:after="0" w:line="26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and irregular costs of development, manufacture, regulatory approval, sales, and marketing associated with the introduction of products in the late stage of development.</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or market factors that may cause use of our products to be limited or otherwise fail to achieve broad acceptance.</w:t>
      </w:r>
    </w:p>
    <w:p>
      <w:pPr>
        <w:spacing w:after="0" w:line="225" w:lineRule="exact"/>
        <w:rPr>
          <w:rFonts w:ascii="Arial" w:cs="Arial" w:eastAsia="Arial" w:hAnsi="Arial"/>
          <w:sz w:val="18"/>
          <w:szCs w:val="18"/>
          <w:color w:val="auto"/>
        </w:rPr>
      </w:pPr>
    </w:p>
    <w:p>
      <w:pPr>
        <w:ind w:left="1040" w:right="360" w:hanging="451"/>
        <w:spacing w:after="0" w:line="26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85" w:lineRule="exact"/>
        <w:rPr>
          <w:rFonts w:ascii="Arial" w:cs="Arial" w:eastAsia="Arial" w:hAnsi="Arial"/>
          <w:sz w:val="18"/>
          <w:szCs w:val="18"/>
          <w:color w:val="auto"/>
        </w:rPr>
      </w:pPr>
    </w:p>
    <w:p>
      <w:pPr>
        <w:ind w:left="1040" w:hanging="45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or high costs of obtaining adequate financing to fund the cost of developing and manufacturing product candidates.</w:t>
      </w:r>
    </w:p>
    <w:p>
      <w:pPr>
        <w:spacing w:after="0" w:line="225" w:lineRule="exact"/>
        <w:rPr>
          <w:rFonts w:ascii="Arial" w:cs="Arial" w:eastAsia="Arial" w:hAnsi="Arial"/>
          <w:sz w:val="18"/>
          <w:szCs w:val="18"/>
          <w:color w:val="auto"/>
        </w:rPr>
      </w:pPr>
    </w:p>
    <w:p>
      <w:pPr>
        <w:ind w:left="1040" w:hanging="451"/>
        <w:spacing w:after="0" w:line="26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and rate of growth of our general and administrative expenses, and the impact of unusual charges resulting from our ongoing evaluation of our business strategies and organizational structure.</w:t>
      </w:r>
    </w:p>
    <w:p>
      <w:pPr>
        <w:spacing w:after="0" w:line="185" w:lineRule="exact"/>
        <w:rPr>
          <w:rFonts w:ascii="Arial" w:cs="Arial" w:eastAsia="Arial" w:hAnsi="Arial"/>
          <w:sz w:val="18"/>
          <w:szCs w:val="18"/>
          <w:color w:val="auto"/>
        </w:rPr>
      </w:pPr>
    </w:p>
    <w:p>
      <w:pPr>
        <w:ind w:left="1040" w:right="100" w:hanging="451"/>
        <w:spacing w:after="0" w:line="33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of corporate partners to develop or commercialize successfully our products or to retain and expand the markets served by the commercial collaborations; conflicts of interest, priorities, and commercial strategies which may arise between our corporate partners and us.</w:t>
      </w:r>
    </w:p>
    <w:p>
      <w:pPr>
        <w:spacing w:after="0" w:line="139" w:lineRule="exact"/>
        <w:rPr>
          <w:rFonts w:ascii="Arial" w:cs="Arial" w:eastAsia="Arial" w:hAnsi="Arial"/>
          <w:sz w:val="16"/>
          <w:szCs w:val="16"/>
          <w:color w:val="auto"/>
        </w:rPr>
      </w:pPr>
    </w:p>
    <w:p>
      <w:pPr>
        <w:ind w:left="1040" w:right="500" w:hanging="451"/>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94" w:lineRule="exact"/>
        <w:rPr>
          <w:rFonts w:ascii="Arial" w:cs="Arial" w:eastAsia="Arial" w:hAnsi="Arial"/>
          <w:sz w:val="18"/>
          <w:szCs w:val="18"/>
          <w:color w:val="auto"/>
        </w:rPr>
      </w:pPr>
    </w:p>
    <w:p>
      <w:pPr>
        <w:ind w:left="1040" w:hanging="45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obtaining key raw materials and supplies for the manufacture of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40" w:hanging="451"/>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service providers upon whom we rely to carry out our clinical development programs, such as contract research organizations and third parties who fill and label our clinical supplies, to perform their contractual responsibilities. These failures could lead to delays in our clinical development programs.</w:t>
      </w:r>
    </w:p>
    <w:p>
      <w:pPr>
        <w:spacing w:after="0" w:line="194" w:lineRule="exact"/>
        <w:rPr>
          <w:rFonts w:ascii="Arial" w:cs="Arial" w:eastAsia="Arial" w:hAnsi="Arial"/>
          <w:sz w:val="18"/>
          <w:szCs w:val="18"/>
          <w:color w:val="auto"/>
        </w:rPr>
      </w:pPr>
    </w:p>
    <w:p>
      <w:pPr>
        <w:ind w:left="1040" w:right="20" w:hanging="451"/>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other effects of legal and administrative cases and proceedings (whether civil litigation, such as product liability, commercial, employment-related, or environmental claims, or criminal litigation), settlements, and investigations; developments or assertions by or against us relating to intellectual property rights and licenses; the issuance and use of patents and proprietary technology by us and our competitors, including the possible negative effect on our ability to develop, manufacture, and sell our products in circumstances where we are unable to obtain licenses to patents which may be required for our products.</w:t>
      </w:r>
    </w:p>
    <w:p>
      <w:pPr>
        <w:spacing w:after="0" w:line="196" w:lineRule="exact"/>
        <w:rPr>
          <w:rFonts w:ascii="Arial" w:cs="Arial" w:eastAsia="Arial" w:hAnsi="Arial"/>
          <w:sz w:val="18"/>
          <w:szCs w:val="18"/>
          <w:color w:val="auto"/>
        </w:rPr>
      </w:pPr>
    </w:p>
    <w:p>
      <w:pPr>
        <w:ind w:left="1040" w:right="180" w:hanging="451"/>
        <w:spacing w:after="0" w:line="33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Underutilization of our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39" w:lineRule="exact"/>
        <w:rPr>
          <w:rFonts w:ascii="Arial" w:cs="Arial" w:eastAsia="Arial" w:hAnsi="Arial"/>
          <w:sz w:val="16"/>
          <w:szCs w:val="16"/>
          <w:color w:val="auto"/>
        </w:rPr>
      </w:pPr>
    </w:p>
    <w:p>
      <w:pPr>
        <w:ind w:left="1040" w:right="580" w:hanging="451"/>
        <w:spacing w:after="0" w:line="33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have sufficient manufacturing capacity to make clinical supplies or commercial product in a timely and cost-competitive manner. Insufficient manufacturing capacity could delay clinical trials or limit commercial sale of marketed products.</w:t>
      </w:r>
    </w:p>
    <w:p>
      <w:pPr>
        <w:spacing w:after="0" w:line="139" w:lineRule="exact"/>
        <w:rPr>
          <w:rFonts w:ascii="Arial" w:cs="Arial" w:eastAsia="Arial" w:hAnsi="Arial"/>
          <w:sz w:val="16"/>
          <w:szCs w:val="16"/>
          <w:color w:val="auto"/>
        </w:rPr>
      </w:pPr>
    </w:p>
    <w:p>
      <w:pPr>
        <w:ind w:left="1040" w:hanging="45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care reform, including reductions or changes in reimbursement available for prescription medications or other reforms.</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attracting and retaining key personnel, especially in areas where we have little experience such as sales and marketing.</w:t>
      </w:r>
    </w:p>
    <w:p>
      <w:pPr>
        <w:spacing w:after="0" w:line="248" w:lineRule="exact"/>
        <w:rPr>
          <w:sz w:val="20"/>
          <w:szCs w:val="20"/>
          <w:color w:val="auto"/>
        </w:rPr>
      </w:pPr>
    </w:p>
    <w:p>
      <w:pPr>
        <w:ind w:firstLine="385"/>
        <w:spacing w:after="0" w:line="259" w:lineRule="auto"/>
        <w:rPr>
          <w:sz w:val="20"/>
          <w:szCs w:val="20"/>
          <w:color w:val="auto"/>
        </w:rPr>
      </w:pPr>
      <w:r>
        <w:rPr>
          <w:rFonts w:ascii="Arial" w:cs="Arial" w:eastAsia="Arial" w:hAnsi="Arial"/>
          <w:sz w:val="18"/>
          <w:szCs w:val="18"/>
          <w:color w:val="auto"/>
        </w:rPr>
        <w:t>As our scientific efforts lead to potentially promising new directions, both outside of recombinant protein therapies and into conditions or diseases outside of our current areas of experience and expertise, we will require additional internal expertise or external collaborations in areas in which we currently do not have substantial resources and personnel.</w:t>
      </w:r>
    </w:p>
    <w:p>
      <w:pPr>
        <w:spacing w:after="0" w:line="194" w:lineRule="exact"/>
        <w:rPr>
          <w:sz w:val="20"/>
          <w:szCs w:val="20"/>
          <w:color w:val="auto"/>
        </w:rPr>
      </w:pPr>
    </w:p>
    <w:p>
      <w:pPr>
        <w:ind w:right="120" w:firstLine="395"/>
        <w:spacing w:after="0" w:line="268" w:lineRule="auto"/>
        <w:rPr>
          <w:sz w:val="20"/>
          <w:szCs w:val="20"/>
          <w:color w:val="auto"/>
        </w:rPr>
      </w:pPr>
      <w:r>
        <w:rPr>
          <w:rFonts w:ascii="Arial" w:cs="Arial" w:eastAsia="Arial" w:hAnsi="Arial"/>
          <w:sz w:val="18"/>
          <w:szCs w:val="18"/>
          <w:color w:val="auto"/>
        </w:rPr>
        <w:t>Other parties could allege to have blocking patents covering any of our product candidates in clinical and/or pre-clinical development. For example, we are aware of certain United States and foreign patents held by third parties relating to particular IL-4 and IL-13 receptors.</w:t>
      </w:r>
    </w:p>
    <w:p>
      <w:pPr>
        <w:spacing w:after="0" w:line="186" w:lineRule="exact"/>
        <w:rPr>
          <w:sz w:val="20"/>
          <w:szCs w:val="20"/>
          <w:color w:val="auto"/>
        </w:rPr>
      </w:pPr>
    </w:p>
    <w:p>
      <w:pPr>
        <w:ind w:right="540" w:firstLine="392"/>
        <w:spacing w:after="0" w:line="268"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commercially reasonable terms, if at all. The failure to obtain any such license could prevent us from developing or commercializing one or more of our product candidates, which could severely harm our business.</w:t>
      </w:r>
    </w:p>
    <w:p>
      <w:pPr>
        <w:spacing w:after="0" w:line="186" w:lineRule="exact"/>
        <w:rPr>
          <w:sz w:val="20"/>
          <w:szCs w:val="20"/>
          <w:color w:val="auto"/>
        </w:rPr>
      </w:pPr>
    </w:p>
    <w:p>
      <w:pPr>
        <w:jc w:val="both"/>
        <w:ind w:right="100" w:firstLine="395"/>
        <w:spacing w:after="0" w:line="306" w:lineRule="auto"/>
        <w:rPr>
          <w:sz w:val="20"/>
          <w:szCs w:val="20"/>
          <w:color w:val="auto"/>
        </w:rPr>
      </w:pPr>
      <w:r>
        <w:rPr>
          <w:rFonts w:ascii="Arial" w:cs="Arial" w:eastAsia="Arial" w:hAnsi="Arial"/>
          <w:sz w:val="16"/>
          <w:szCs w:val="16"/>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license fees or royalties to take into account patent rights of third parties.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ind w:right="120" w:firstLine="395"/>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firstLine="392"/>
        <w:spacing w:after="0" w:line="290" w:lineRule="auto"/>
        <w:rPr>
          <w:sz w:val="20"/>
          <w:szCs w:val="20"/>
          <w:color w:val="auto"/>
        </w:rPr>
      </w:pPr>
      <w:r>
        <w:rPr>
          <w:rFonts w:ascii="Arial" w:cs="Arial" w:eastAsia="Arial" w:hAnsi="Arial"/>
          <w:sz w:val="16"/>
          <w:szCs w:val="16"/>
          <w:color w:val="auto"/>
        </w:rPr>
        <w:t>Within the 90 days prior to the date of this report (the “Evaluation Date”), we carried out an evaluation, under the supervision and with the participation of our management, including our President and Chief Executive Officer and Chief Financial Officer, of the effectiveness of the design and operation of our disclosure controls and procedures as such term is defined in Rules 13a-14(c) and 15d-14(c) of the Securities Exchange Act of 1934, as amended (the “Exchange Act”). Based upon the evaluation, our President and Chief Executive Officer along with our Chief Financial Officer concluded that, as of the Evaluation Date, our disclosure controls and procedures are effective in timely alerting them to material information relating to Regeneron required to be included in our reports filed or submitted under the Exchange Act. There have been no significant changes in our internal controls or in other factors that could significantly affect internal controls subsequent to the Evaluation Date.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6"/>
          <w:szCs w:val="16"/>
          <w:color w:val="auto"/>
        </w:rPr>
        <w:t>99.1 - Certification of CEO and CFO pursuant to 18 U.S.C. Section 1350, as adopted pursuant to Section 906 of the Sarbanes-Oxley Act of 2002.</w:t>
      </w:r>
    </w:p>
    <w:p>
      <w:pPr>
        <w:spacing w:after="0" w:line="248"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6280" w:val="left"/>
          <w:tab w:leader="none" w:pos="672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040" w:right="460" w:hanging="478"/>
        <w:spacing w:after="0" w:line="268"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quarterly report is being prepared;</w:t>
      </w:r>
    </w:p>
    <w:p>
      <w:pPr>
        <w:spacing w:after="0" w:line="185" w:lineRule="exact"/>
        <w:rPr>
          <w:rFonts w:ascii="Arial" w:cs="Arial" w:eastAsia="Arial" w:hAnsi="Arial"/>
          <w:sz w:val="18"/>
          <w:szCs w:val="18"/>
          <w:color w:val="auto"/>
        </w:rPr>
      </w:pPr>
    </w:p>
    <w:p>
      <w:pPr>
        <w:ind w:left="1040" w:right="20" w:hanging="478"/>
        <w:spacing w:after="0" w:line="268"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040" w:right="220" w:hanging="478"/>
        <w:spacing w:after="0" w:line="268"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040" w:right="280" w:hanging="478"/>
        <w:spacing w:after="0" w:line="332"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hanging="478"/>
        <w:spacing w:after="0" w:line="268"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6980" w:val="left"/>
          <w:tab w:leader="none" w:pos="742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25"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040" w:right="460" w:hanging="478"/>
        <w:spacing w:after="0" w:line="268"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is made known to us by others within the registrant, particularly during the period in which this quarterly report is being prepared;</w:t>
      </w:r>
    </w:p>
    <w:p>
      <w:pPr>
        <w:spacing w:after="0" w:line="185" w:lineRule="exact"/>
        <w:rPr>
          <w:rFonts w:ascii="Arial" w:cs="Arial" w:eastAsia="Arial" w:hAnsi="Arial"/>
          <w:sz w:val="18"/>
          <w:szCs w:val="18"/>
          <w:color w:val="auto"/>
        </w:rPr>
      </w:pPr>
    </w:p>
    <w:p>
      <w:pPr>
        <w:ind w:left="1040" w:right="20" w:hanging="478"/>
        <w:spacing w:after="0" w:line="268"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040" w:right="220" w:hanging="478"/>
        <w:spacing w:after="0" w:line="268"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040" w:right="280" w:hanging="478"/>
        <w:spacing w:after="0" w:line="332" w:lineRule="auto"/>
        <w:tabs>
          <w:tab w:leader="none" w:pos="10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1040" w:right="140" w:hanging="478"/>
        <w:spacing w:after="0" w:line="268"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6980" w:val="left"/>
          <w:tab w:leader="none" w:pos="7420" w:val="left"/>
        </w:tabs>
        <w:rPr>
          <w:sz w:val="20"/>
          <w:szCs w:val="20"/>
          <w:color w:val="auto"/>
        </w:rPr>
      </w:pPr>
      <w:r>
        <w:rPr>
          <w:rFonts w:ascii="Arial" w:cs="Arial" w:eastAsia="Arial" w:hAnsi="Arial"/>
          <w:sz w:val="18"/>
          <w:szCs w:val="18"/>
          <w:color w:val="auto"/>
        </w:rPr>
        <w:t>Date: November 12,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Senior Vice President, Finance &amp;</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 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Treasurer, and Assistant Secretary</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19"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ending September 30, 2002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197" w:lineRule="exact"/>
        <w:rPr>
          <w:sz w:val="20"/>
          <w:szCs w:val="20"/>
          <w:color w:val="auto"/>
        </w:rPr>
      </w:pPr>
    </w:p>
    <w:p>
      <w:pPr>
        <w:ind w:left="700" w:hanging="29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97"/>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71120</wp:posOffset>
            </wp:positionV>
            <wp:extent cx="291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71120</wp:posOffset>
            </wp:positionV>
            <wp:extent cx="291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3"/>
    </w:lvl>
  </w:abstractNum>
  <w:abstractNum w:abstractNumId="2">
    <w:nsid w:val="140E0F76"/>
    <w:multiLevelType w:val="hybridMultilevel"/>
    <w:lvl w:ilvl="0">
      <w:lvlJc w:val="left"/>
      <w:lvlText w:val="%1"/>
      <w:numFmt w:val="decimal"/>
      <w:start w:val="1"/>
    </w:lvl>
    <w:lvl w:ilvl="1">
      <w:lvlJc w:val="left"/>
      <w:lvlText w:val="(%2)"/>
      <w:numFmt w:val="decimal"/>
      <w:start w:val="1"/>
    </w:lvl>
  </w:abstractNum>
  <w:abstractNum w:abstractNumId="3">
    <w:nsid w:val="3352255A"/>
    <w:multiLevelType w:val="hybridMultilevel"/>
    <w:lvl w:ilvl="0">
      <w:lvlJc w:val="left"/>
      <w:lvlText w:val="%1."/>
      <w:numFmt w:val="decimal"/>
      <w:start w:val="4"/>
    </w:lvl>
    <w:lvl w:ilvl="1">
      <w:lvlJc w:val="left"/>
      <w:lvlText w:val="%2"/>
      <w:numFmt w:val="decimal"/>
      <w:start w:val="1"/>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2"/>
    </w:lvl>
  </w:abstractNum>
  <w:abstractNum w:abstractNumId="18">
    <w:nsid w:val="436C6125"/>
    <w:multiLevelType w:val="hybridMultilevel"/>
    <w:lvl w:ilvl="0">
      <w:lvlJc w:val="left"/>
      <w:lvlText w:val="%1."/>
      <w:numFmt w:val="decimal"/>
      <w:start w:val="6"/>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6"/>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2019-12-20T02:15:52Z</dcterms:created>
  <dcterms:modified xsi:type="dcterms:W3CDTF">2019-12-20T02:15:52Z</dcterms:modified>
</cp:coreProperties>
</file>