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Date of Report (Date of earliest event reported) July 25, 2002 (July 24, 2002)</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31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0-19034</w:t>
            </w:r>
          </w:p>
        </w:tc>
        <w:tc>
          <w:tcPr>
            <w:tcW w:w="2540" w:type="dxa"/>
            <w:vAlign w:val="bottom"/>
          </w:tcPr>
          <w:p>
            <w:pPr>
              <w:ind w:left="1160"/>
              <w:spacing w:after="0"/>
              <w:rPr>
                <w:sz w:val="20"/>
                <w:szCs w:val="20"/>
                <w:color w:val="auto"/>
              </w:rPr>
            </w:pPr>
            <w:r>
              <w:rPr>
                <w:rFonts w:ascii="Courier New" w:cs="Courier New" w:eastAsia="Courier New" w:hAnsi="Courier New"/>
                <w:sz w:val="18"/>
                <w:szCs w:val="18"/>
                <w:color w:val="auto"/>
                <w:w w:val="96"/>
              </w:rPr>
              <w:t>No.13-3444607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36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3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(914) 347-7000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9</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On July 24, 2002 and July 25, 2002, the Company issued press releases, copies of which are included as exhibits to this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jc w:val="both"/>
        <w:ind w:left="2860" w:right="3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99(a) Press Release dated July 24, 2002. 99(b) Press Release dated July 25,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REGENERON PHARMACEUTICALS, INC.</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Stuart Kolinski</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Stuart Kolinski</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25, 2002</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INITIATES PHASE II CLINICAL TRIAL OF IL1 TRAP</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PATIENTS WITH RHEUMATOID ARTHRITIS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Lead Compound in Regeneron's Custom-designed Trap Program</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Advances in Clinic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Tarrytown, NY - July 24, 2002 - Regeneron Pharmaceuticals, Inc. (Nasdaq: REGN) today announced that it has initiated a dose-ranging Phase II trial to study the safety and efficacy of the Interleukin-1 (IL1) Trap in patients with rheumatoid arthritis (RA).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multi-center Phase II trial is a randomized, placebo-controlled, double-blind study in patients with active RA, who have had an inadequate response to at least one disease-modifying anti-rheumatic medicine. The study will involve approximately 200 participants, who will be randomized equally into placebo or one of three fixed-dose groups (25, 50, or 100 milligrams) to receive self-administered, weekly subcutaneous injections. The double-blind treatment period will be 12 weeks, and participants will also be evaluated for 10 weeks following treatment. The American College of Rheumatology (ACR20) criteria for improvement in RA as a function of IL1Trap dose will be the primary end-point.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"Despite the recent advances in the treatment of rheumatoid arthritis, there is still a major need for new treatment options for patients suffering from this disease," noted Leonard S. Schleifer, M.D., Ph.D., Regeneron's President and Chief Executive Officer. "The IL1 Trap is a highly potent blocker of Interleukin-1 that works through a new mechanism of action. The advancement of this molecule into Phase II is an important milestone for our research program that uses a</w:t>
      </w:r>
    </w:p>
    <w:p>
      <w:pPr>
        <w:sectPr>
          <w:pgSz w:w="11900" w:h="16838" w:orient="portrait"/>
          <w:cols w:equalWidth="0" w:num="1">
            <w:col w:w="10219"/>
          </w:cols>
          <w:pgMar w:left="240" w:top="339" w:right="1440" w:bottom="1440" w:gutter="0" w:footer="0" w:header="0"/>
        </w:sectPr>
      </w:pPr>
    </w:p>
    <w:bookmarkStart w:id="4" w:name="page5"/>
    <w:bookmarkEnd w:id="4"/>
    <w:p>
      <w:pPr>
        <w:ind w:right="1779"/>
        <w:spacing w:after="0" w:line="235" w:lineRule="auto"/>
        <w:rPr>
          <w:sz w:val="20"/>
          <w:szCs w:val="20"/>
          <w:color w:val="auto"/>
        </w:rPr>
      </w:pPr>
      <w:r>
        <w:rPr>
          <w:rFonts w:ascii="Courier New" w:cs="Courier New" w:eastAsia="Courier New" w:hAnsi="Courier New"/>
          <w:sz w:val="18"/>
          <w:szCs w:val="18"/>
          <w:color w:val="auto"/>
        </w:rPr>
        <w:t>thorough understanding of disease biology to validate pharmaceutical targets and discover novel therapeutic candidates for development."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IL1 Trap is the leading candidate in our proprietary Trap program and is an excellent example of the therapeutic potential of these custom-designed molecules," noted Neil Stahl, Ph.D., Senior Vice President of Preclinical Development and Biomolecular Science. "With this cornerstone of our Trap franchise entering Phase II testing, we are extremely excited about the potential of building a premier pipeline of internally derived product candidates based on our Trap technology."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REGENERON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and cancer, and has preclinical programs in asthma, allergies, and other diseases and disorders. Regeneron's platform technologies include Targeted GenomicsTM, FunctionomicsTM, and Designer Protein TherapeuticsTM.</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MARCH 31, 2002.</w:t>
      </w:r>
    </w:p>
    <w:p>
      <w:pPr>
        <w:sectPr>
          <w:pgSz w:w="11900" w:h="16838" w:orient="portrait"/>
          <w:cols w:equalWidth="0" w:num="1">
            <w:col w:w="10219"/>
          </w:cols>
          <w:pgMar w:left="240" w:top="723" w:right="1440" w:bottom="1440" w:gutter="0" w:footer="0" w:header="0"/>
        </w:sectPr>
      </w:pPr>
    </w:p>
    <w:bookmarkStart w:id="5" w:name="page6"/>
    <w:bookmarkEnd w:id="5"/>
    <w:p>
      <w:pPr>
        <w:ind w:right="2519"/>
        <w:spacing w:after="0" w:line="236" w:lineRule="auto"/>
        <w:rPr>
          <w:sz w:val="20"/>
          <w:szCs w:val="20"/>
          <w:color w:val="auto"/>
        </w:rPr>
      </w:pPr>
      <w:r>
        <w:rPr>
          <w:rFonts w:ascii="Courier New" w:cs="Courier New" w:eastAsia="Courier New" w:hAnsi="Courier New"/>
          <w:sz w:val="18"/>
          <w:szCs w:val="18"/>
          <w:color w:val="auto"/>
        </w:rPr>
        <w:t>REGENERON DOES NOT UNDERTAKE ANY OBLIGATION TO UPDATE PUBLICLY ANY FORWARD-LOOKING STATEMENT, WHETHER AS A RESULT OF NEW INFORMATION, FUTURE EVENTS, OR OTHERWISE, UNLESS REQUIRED BY LAW.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 Contact: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Charles Poole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Investor Relations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Regeneron Pharmaceuticals, Inc.</w:t>
      </w:r>
    </w:p>
    <w:p>
      <w:pPr>
        <w:ind w:left="100"/>
        <w:spacing w:after="0" w:line="238" w:lineRule="auto"/>
        <w:rPr>
          <w:sz w:val="20"/>
          <w:szCs w:val="20"/>
          <w:color w:val="auto"/>
        </w:rPr>
      </w:pPr>
      <w:r>
        <w:rPr>
          <w:rFonts w:ascii="Courier New" w:cs="Courier New" w:eastAsia="Courier New" w:hAnsi="Courier New"/>
          <w:sz w:val="18"/>
          <w:szCs w:val="18"/>
          <w:color w:val="auto"/>
        </w:rPr>
        <w:t>charles.poole@regn.com</w:t>
      </w:r>
    </w:p>
    <w:p>
      <w:pPr>
        <w:spacing w:after="0"/>
        <w:rPr>
          <w:sz w:val="20"/>
          <w:szCs w:val="20"/>
          <w:color w:val="auto"/>
        </w:rPr>
      </w:pPr>
      <w:r>
        <w:rPr>
          <w:rFonts w:ascii="Courier New" w:cs="Courier New" w:eastAsia="Courier New" w:hAnsi="Courier New"/>
          <w:sz w:val="18"/>
          <w:szCs w:val="18"/>
          <w:color w:val="auto"/>
        </w:rPr>
        <w:t>(914) 345-7641</w:t>
      </w:r>
    </w:p>
    <w:p>
      <w:pPr>
        <w:spacing w:after="0" w:line="200" w:lineRule="exact"/>
        <w:rPr>
          <w:sz w:val="20"/>
          <w:szCs w:val="20"/>
          <w:color w:val="auto"/>
        </w:rPr>
      </w:pPr>
    </w:p>
    <w:p>
      <w:pPr>
        <w:sectPr>
          <w:pgSz w:w="11900" w:h="16838" w:orient="portrait"/>
          <w:cols w:equalWidth="0" w:num="2">
            <w:col w:w="2980" w:space="720"/>
            <w:col w:w="651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Jeanne Abi-Nader</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Robinson, Lerer, Montgomery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jabi-nader@rlmnet.com</w:t>
      </w:r>
    </w:p>
    <w:p>
      <w:pPr>
        <w:spacing w:after="0" w:line="238" w:lineRule="auto"/>
        <w:rPr>
          <w:sz w:val="20"/>
          <w:szCs w:val="20"/>
          <w:color w:val="auto"/>
        </w:rPr>
      </w:pPr>
      <w:r>
        <w:rPr>
          <w:rFonts w:ascii="Courier New" w:cs="Courier New" w:eastAsia="Courier New" w:hAnsi="Courier New"/>
          <w:sz w:val="18"/>
          <w:szCs w:val="18"/>
          <w:color w:val="auto"/>
        </w:rPr>
        <w:t>(212) 484-7954</w:t>
      </w:r>
    </w:p>
    <w:p>
      <w:pPr>
        <w:spacing w:after="0" w:line="200" w:lineRule="exact"/>
        <w:rPr>
          <w:sz w:val="20"/>
          <w:szCs w:val="20"/>
          <w:color w:val="auto"/>
        </w:rPr>
      </w:pPr>
    </w:p>
    <w:p>
      <w:pPr>
        <w:sectPr>
          <w:pgSz w:w="11900" w:h="16838" w:orient="portrait"/>
          <w:cols w:equalWidth="0" w:num="2">
            <w:col w:w="3080" w:space="720"/>
            <w:col w:w="6419"/>
          </w:cols>
          <w:pgMar w:left="240" w:top="520" w:right="1440" w:bottom="1440" w:gutter="0" w:footer="0" w:header="0"/>
          <w:type w:val="continuous"/>
        </w:sectPr>
      </w:pPr>
    </w:p>
    <w:p>
      <w:pPr>
        <w:spacing w:after="0" w:line="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Additional information about Regeneron and recent news releases are available on Regeneron's Worldwide Web Home Page at www.regn.com. Fax copies of news releases can be obtained from Regeneron's News-on-Demand Service by dialing (800)</w:t>
      </w:r>
    </w:p>
    <w:p>
      <w:pPr>
        <w:spacing w:after="0" w:line="233" w:lineRule="auto"/>
        <w:rPr>
          <w:sz w:val="20"/>
          <w:szCs w:val="20"/>
          <w:color w:val="auto"/>
        </w:rPr>
      </w:pPr>
      <w:r>
        <w:rPr>
          <w:rFonts w:ascii="Courier New" w:cs="Courier New" w:eastAsia="Courier New" w:hAnsi="Courier New"/>
          <w:sz w:val="18"/>
          <w:szCs w:val="18"/>
          <w:color w:val="auto"/>
        </w:rPr>
        <w:t>311-0841.</w:t>
      </w:r>
    </w:p>
    <w:p>
      <w:pPr>
        <w:sectPr>
          <w:pgSz w:w="11900" w:h="16838" w:orient="portrait"/>
          <w:cols w:equalWidth="0" w:num="1">
            <w:col w:w="10219"/>
          </w:cols>
          <w:pgMar w:left="240" w:top="520"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COMPLETES ENROLLMENT</w:t>
      </w:r>
    </w:p>
    <w:p>
      <w:pPr>
        <w:ind w:left="1900"/>
        <w:spacing w:after="0" w:line="238" w:lineRule="auto"/>
        <w:rPr>
          <w:sz w:val="20"/>
          <w:szCs w:val="20"/>
          <w:color w:val="auto"/>
        </w:rPr>
      </w:pPr>
      <w:r>
        <w:rPr>
          <w:rFonts w:ascii="Courier New" w:cs="Courier New" w:eastAsia="Courier New" w:hAnsi="Courier New"/>
          <w:sz w:val="18"/>
          <w:szCs w:val="18"/>
          <w:color w:val="auto"/>
        </w:rPr>
        <w:t>OF PHASE III STUDIES FOR SHORT-TERM TREATMENT</w:t>
      </w:r>
    </w:p>
    <w:p>
      <w:pPr>
        <w:ind w:left="2320"/>
        <w:spacing w:after="0"/>
        <w:rPr>
          <w:sz w:val="20"/>
          <w:szCs w:val="20"/>
          <w:color w:val="auto"/>
        </w:rPr>
      </w:pPr>
      <w:r>
        <w:rPr>
          <w:rFonts w:ascii="Courier New" w:cs="Courier New" w:eastAsia="Courier New" w:hAnsi="Courier New"/>
          <w:sz w:val="18"/>
          <w:szCs w:val="18"/>
          <w:color w:val="auto"/>
        </w:rPr>
        <w:t>REGIMENS WITH AXOKINE(R) FOR OBESITY</w:t>
      </w:r>
    </w:p>
    <w:p>
      <w:pPr>
        <w:spacing w:after="0" w:line="20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STUDIES WILL MEASURE SHORTER DOSING PERIODS AND SUBJECTS' ABILITY</w:t>
      </w:r>
    </w:p>
    <w:p>
      <w:pPr>
        <w:spacing w:after="0" w:line="4" w:lineRule="exact"/>
        <w:rPr>
          <w:sz w:val="20"/>
          <w:szCs w:val="20"/>
          <w:color w:val="auto"/>
        </w:rPr>
      </w:pPr>
    </w:p>
    <w:p>
      <w:pPr>
        <w:ind w:left="2540" w:right="3679" w:hanging="1158"/>
        <w:spacing w:after="0" w:line="235" w:lineRule="auto"/>
        <w:rPr>
          <w:sz w:val="20"/>
          <w:szCs w:val="20"/>
          <w:color w:val="auto"/>
        </w:rPr>
      </w:pPr>
      <w:r>
        <w:rPr>
          <w:rFonts w:ascii="Courier New" w:cs="Courier New" w:eastAsia="Courier New" w:hAnsi="Courier New"/>
          <w:sz w:val="18"/>
          <w:szCs w:val="18"/>
          <w:color w:val="auto"/>
        </w:rPr>
        <w:t>TO MAINTAIN WEIGHT LOSS WITHOUT RAPID WEIGHT GAIN FOLLOWING CESSATION OF TREATMENT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Tarrytown, NY (July 25, 2002) - Regeneron Pharmaceuticals, Inc. (Nasdaq: REGN) announced today that it has completed enrollment for two additional studies within its Phase III clinical development program of AXOKINE for the treatment of obesity. The trials are designed to study maintenance of weight loss following short-term treatment regimens with AXOKINE.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"Full enrollment of these studies marks another important milestone in the development of AXOKINE," said Hans-Peter Guler, M.D., Regeneron's Vice President, Clinical Sciences. "In our Phase II trial, subjects treated with AXOKINE for three months experienced, on average, statistically significant weight loss that was not followed by the rapid rebound weight gain often associated with weight loss programs. These new studies are designed to confirm these earlier results."</w:t>
      </w: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Commenting on the overall Phase III program, Dr. Guler said, "We have now enrolled more than 2,600 participants in four separate studies and plan to initiate additional specialized and confirmatory studies later this year. In our pivotal trial, which enrolled nearly 2,000 patients, the average time on study</w:t>
      </w:r>
    </w:p>
    <w:p>
      <w:pPr>
        <w:sectPr>
          <w:pgSz w:w="11900" w:h="16838" w:orient="portrait"/>
          <w:cols w:equalWidth="0" w:num="1">
            <w:col w:w="10219"/>
          </w:cols>
          <w:pgMar w:left="240" w:top="339" w:right="1440" w:bottom="1440" w:gutter="0" w:footer="0" w:header="0"/>
        </w:sectPr>
      </w:pPr>
    </w:p>
    <w:bookmarkStart w:id="7" w:name="page8"/>
    <w:bookmarkEnd w:id="7"/>
    <w:p>
      <w:pPr>
        <w:ind w:right="1999"/>
        <w:spacing w:after="0" w:line="236" w:lineRule="auto"/>
        <w:rPr>
          <w:sz w:val="20"/>
          <w:szCs w:val="20"/>
          <w:color w:val="auto"/>
        </w:rPr>
      </w:pPr>
      <w:r>
        <w:rPr>
          <w:rFonts w:ascii="Courier New" w:cs="Courier New" w:eastAsia="Courier New" w:hAnsi="Courier New"/>
          <w:sz w:val="18"/>
          <w:szCs w:val="18"/>
          <w:color w:val="auto"/>
        </w:rPr>
        <w:t>exceeds eight months. The final patient in the pivotal trial will complete 12 months of treatment early next year, and we expect to have weight loss data in the spring of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SHORT-TERM TREATMENT STUDIES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randomized, double-blind, short-term treatment studies will assess the safety and efficacy of AXOKINE compared with placebo in two different dosing periods. Participants in the first study are being given AXOKINE or placebo for 6 months and will then be observed for another 6 months off-treatment. The companion study is treating subjects with AXOKINE or placebo for 3 months and will observe them for an additional 9 months off-treatment. The primary end-point of these studies is weight loss at the end of 12 months.</w:t>
      </w:r>
    </w:p>
    <w:p>
      <w:pPr>
        <w:spacing w:after="0" w:line="21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trials, running concurrently and each with about 300 subjects, are being conducted at approximately 20 study sites within the U.S. At the end of the initial 12-month treatment and observation periods of the two studies, participants will receive an additional 6 months of treatment of which 3 months is on AXOKINE and 3 months on placebo. A follow-up evaluation will be made to assess the safety and weight-loss effects of re-treatment with AXOKINE.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REGENERON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and cancer, and has preclinical programs in asthma, allergies, and other diseases and disorders. Regeneron's platform technologies include Targeted Genomics(TM), Functionomics(TM), and Designer Protein Therapeutics(TM).</w:t>
      </w:r>
    </w:p>
    <w:p>
      <w:pPr>
        <w:sectPr>
          <w:pgSz w:w="11900" w:h="16838" w:orient="portrait"/>
          <w:cols w:equalWidth="0" w:num="1">
            <w:col w:w="10219"/>
          </w:cols>
          <w:pgMar w:left="240" w:top="520" w:right="1440" w:bottom="1440" w:gutter="0" w:footer="0" w:header="0"/>
        </w:sectPr>
      </w:pPr>
    </w:p>
    <w:bookmarkStart w:id="8" w:name="page9"/>
    <w:bookmarkEnd w:id="8"/>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March 31, 2002.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 Contact: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Poole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charles.poole@regn.com</w:t>
      </w:r>
    </w:p>
    <w:p>
      <w:pPr>
        <w:spacing w:after="0"/>
        <w:rPr>
          <w:sz w:val="20"/>
          <w:szCs w:val="20"/>
          <w:color w:val="auto"/>
        </w:rPr>
      </w:pPr>
      <w:r>
        <w:rPr>
          <w:rFonts w:ascii="Courier New" w:cs="Courier New" w:eastAsia="Courier New" w:hAnsi="Courier New"/>
          <w:sz w:val="18"/>
          <w:szCs w:val="18"/>
          <w:color w:val="auto"/>
        </w:rPr>
        <w:t>(914) 345-7641</w:t>
      </w:r>
    </w:p>
    <w:p>
      <w:pPr>
        <w:spacing w:after="0" w:line="200" w:lineRule="exact"/>
        <w:rPr>
          <w:sz w:val="20"/>
          <w:szCs w:val="20"/>
          <w:color w:val="auto"/>
        </w:rPr>
      </w:pPr>
    </w:p>
    <w:p>
      <w:pPr>
        <w:sectPr>
          <w:pgSz w:w="11900" w:h="16838" w:orient="portrait"/>
          <w:cols w:equalWidth="0" w:num="2">
            <w:col w:w="2860" w:space="300"/>
            <w:col w:w="705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Jeanne Abi-Nader</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Robinson, Lerer, Montgomery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jabi-nader@rlmnet.com</w:t>
      </w:r>
    </w:p>
    <w:p>
      <w:pPr>
        <w:spacing w:after="0" w:line="238" w:lineRule="auto"/>
        <w:rPr>
          <w:sz w:val="20"/>
          <w:szCs w:val="20"/>
          <w:color w:val="auto"/>
        </w:rPr>
      </w:pPr>
      <w:r>
        <w:rPr>
          <w:rFonts w:ascii="Courier New" w:cs="Courier New" w:eastAsia="Courier New" w:hAnsi="Courier New"/>
          <w:sz w:val="18"/>
          <w:szCs w:val="18"/>
          <w:color w:val="auto"/>
        </w:rPr>
        <w:t>(212) 484-7954</w:t>
      </w:r>
    </w:p>
    <w:p>
      <w:pPr>
        <w:spacing w:after="0" w:line="200" w:lineRule="exact"/>
        <w:rPr>
          <w:sz w:val="20"/>
          <w:szCs w:val="20"/>
          <w:color w:val="auto"/>
        </w:rPr>
      </w:pPr>
    </w:p>
    <w:p>
      <w:pPr>
        <w:sectPr>
          <w:pgSz w:w="11900" w:h="16838" w:orient="portrait"/>
          <w:cols w:equalWidth="0" w:num="2">
            <w:col w:w="2440" w:space="720"/>
            <w:col w:w="7059"/>
          </w:cols>
          <w:pgMar w:left="240" w:top="520" w:right="1440" w:bottom="1440" w:gutter="0" w:footer="0" w:header="0"/>
          <w:type w:val="continuous"/>
        </w:sectPr>
      </w:pPr>
    </w:p>
    <w:p>
      <w:pPr>
        <w:spacing w:after="0" w:line="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Additional information about Regeneron and recent news releases are available on Regeneron's Worldwide Web Home Page at www.regn.com. Fax copies of news releases can be obtained from Regeneron's News-on-Demand Service by dialing (800)</w:t>
      </w:r>
    </w:p>
    <w:p>
      <w:pPr>
        <w:spacing w:after="0" w:line="233" w:lineRule="auto"/>
        <w:rPr>
          <w:sz w:val="20"/>
          <w:szCs w:val="20"/>
          <w:color w:val="auto"/>
        </w:rPr>
      </w:pPr>
      <w:r>
        <w:rPr>
          <w:rFonts w:ascii="Courier New" w:cs="Courier New" w:eastAsia="Courier New" w:hAnsi="Courier New"/>
          <w:sz w:val="18"/>
          <w:szCs w:val="18"/>
          <w:color w:val="auto"/>
        </w:rPr>
        <w:t>311-0841.</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2019-12-20T01:50:58Z</dcterms:created>
  <dcterms:modified xsi:type="dcterms:W3CDTF">2019-12-20T01:50:58Z</dcterms:modified>
</cp:coreProperties>
</file>