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13d-101)</w:t>
      </w: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11)*</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Karen Linehan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Executive Vice President, Legal Affairs and General Counsel</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Sanofi</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54, rue La Boétie, 75008</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Paris, France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Telephone: +33 1 53 77 40 00</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Copy to:</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Michael J. Aiello, Esq.</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Weil, Gotshal &amp; Manges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767 Fifth Avenue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New York, New York 10153</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1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9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152400</wp:posOffset>
            </wp:positionV>
            <wp:extent cx="8890" cy="6028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60286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8890" cy="6028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60286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360" w:type="dxa"/>
            <w:vAlign w:val="bottom"/>
            <w:tcBorders>
              <w:top w:val="single" w:sz="8" w:color="auto"/>
              <w:right w:val="single" w:sz="8" w:color="auto"/>
            </w:tcBorders>
          </w:tcPr>
          <w:p>
            <w:pPr>
              <w:spacing w:after="0"/>
              <w:rPr>
                <w:sz w:val="18"/>
                <w:szCs w:val="18"/>
                <w:color w:val="auto"/>
              </w:rPr>
            </w:pPr>
          </w:p>
        </w:tc>
        <w:tc>
          <w:tcPr>
            <w:tcW w:w="9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NAMES OF REPORTING PERSONS</w:t>
            </w:r>
          </w:p>
        </w:tc>
        <w:tc>
          <w:tcPr>
            <w:tcW w:w="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Borders>
              <w:right w:val="single" w:sz="8" w:color="auto"/>
            </w:tcBorders>
            <w:vMerge w:val="restart"/>
          </w:tcPr>
          <w:p>
            <w:pPr>
              <w:jc w:val="right"/>
              <w:ind w:right="438"/>
              <w:spacing w:after="0"/>
              <w:rPr>
                <w:sz w:val="20"/>
                <w:szCs w:val="20"/>
                <w:color w:val="auto"/>
              </w:rPr>
            </w:pPr>
            <w:r>
              <w:rPr>
                <w:rFonts w:ascii="Arial" w:cs="Arial" w:eastAsia="Arial" w:hAnsi="Arial"/>
                <w:sz w:val="32"/>
                <w:szCs w:val="32"/>
                <w:b w:val="1"/>
                <w:bCs w:val="1"/>
                <w:color w:val="auto"/>
              </w:rPr>
              <w:t>1</w:t>
            </w:r>
          </w:p>
        </w:tc>
        <w:tc>
          <w:tcPr>
            <w:tcW w:w="9540" w:type="dxa"/>
            <w:vAlign w:val="bottom"/>
          </w:tcPr>
          <w:p>
            <w:pPr>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60" w:type="dxa"/>
            <w:vAlign w:val="bottom"/>
            <w:tcBorders>
              <w:right w:val="single" w:sz="8" w:color="auto"/>
            </w:tcBorders>
            <w:vMerge w:val="continue"/>
          </w:tcPr>
          <w:p>
            <w:pPr>
              <w:spacing w:after="0"/>
              <w:rPr>
                <w:sz w:val="16"/>
                <w:szCs w:val="16"/>
                <w:color w:val="auto"/>
              </w:rPr>
            </w:pPr>
          </w:p>
        </w:tc>
        <w:tc>
          <w:tcPr>
            <w:tcW w:w="9540" w:type="dxa"/>
            <w:vAlign w:val="bottom"/>
            <w:vMerge w:val="restart"/>
          </w:tcPr>
          <w:p>
            <w:pPr>
              <w:spacing w:after="0"/>
              <w:rPr>
                <w:sz w:val="20"/>
                <w:szCs w:val="20"/>
                <w:color w:val="auto"/>
              </w:rPr>
            </w:pPr>
            <w:r>
              <w:rPr>
                <w:rFonts w:ascii="Arial" w:cs="Arial" w:eastAsia="Arial" w:hAnsi="Arial"/>
                <w:sz w:val="18"/>
                <w:szCs w:val="18"/>
                <w:color w:val="auto"/>
              </w:rPr>
              <w:t>Sanofi</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60" w:type="dxa"/>
            <w:vAlign w:val="bottom"/>
            <w:tcBorders>
              <w:right w:val="single" w:sz="8" w:color="auto"/>
            </w:tcBorders>
          </w:tcPr>
          <w:p>
            <w:pPr>
              <w:spacing w:after="0"/>
              <w:rPr>
                <w:sz w:val="11"/>
                <w:szCs w:val="11"/>
                <w:color w:val="auto"/>
              </w:rPr>
            </w:pPr>
          </w:p>
        </w:tc>
        <w:tc>
          <w:tcPr>
            <w:tcW w:w="95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95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360" w:type="dxa"/>
            <w:vAlign w:val="bottom"/>
            <w:tcBorders>
              <w:right w:val="single" w:sz="8" w:color="auto"/>
            </w:tcBorders>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40" w:type="dxa"/>
            <w:vAlign w:val="bottom"/>
          </w:tcPr>
          <w:p>
            <w:pPr>
              <w:spacing w:after="0" w:line="163" w:lineRule="exact"/>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163"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1360" w:type="dxa"/>
            <w:vAlign w:val="bottom"/>
            <w:tcBorders>
              <w:right w:val="single" w:sz="8" w:color="auto"/>
            </w:tcBorders>
            <w:vMerge w:val="continue"/>
          </w:tcPr>
          <w:p>
            <w:pPr>
              <w:spacing w:after="0"/>
              <w:rPr>
                <w:sz w:val="24"/>
                <w:szCs w:val="24"/>
                <w:color w:val="auto"/>
              </w:rPr>
            </w:pPr>
          </w:p>
        </w:tc>
        <w:tc>
          <w:tcPr>
            <w:tcW w:w="954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360" w:type="dxa"/>
            <w:vAlign w:val="bottom"/>
            <w:tcBorders>
              <w:bottom w:val="single" w:sz="8" w:color="auto"/>
              <w:right w:val="single" w:sz="8" w:color="auto"/>
            </w:tcBorders>
          </w:tcPr>
          <w:p>
            <w:pPr>
              <w:spacing w:after="0"/>
              <w:rPr>
                <w:sz w:val="11"/>
                <w:szCs w:val="11"/>
                <w:color w:val="auto"/>
              </w:rPr>
            </w:pPr>
          </w:p>
        </w:tc>
        <w:tc>
          <w:tcPr>
            <w:tcW w:w="95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60" w:type="dxa"/>
            <w:vAlign w:val="bottom"/>
            <w:tcBorders>
              <w:right w:val="single" w:sz="8" w:color="auto"/>
            </w:tcBorders>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40" w:type="dxa"/>
            <w:vAlign w:val="bottom"/>
            <w:shd w:val="clear" w:color="auto" w:fill="BFBFBF"/>
          </w:tcPr>
          <w:p>
            <w:pPr>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vMerge w:val="continue"/>
          </w:tcPr>
          <w:p>
            <w:pPr>
              <w:spacing w:after="0"/>
              <w:rPr>
                <w:sz w:val="18"/>
                <w:szCs w:val="18"/>
                <w:color w:val="auto"/>
              </w:rPr>
            </w:pPr>
          </w:p>
        </w:tc>
        <w:tc>
          <w:tcPr>
            <w:tcW w:w="9540" w:type="dxa"/>
            <w:vAlign w:val="bottom"/>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bottom w:val="single" w:sz="8" w:color="auto"/>
              <w:right w:val="single" w:sz="8" w:color="auto"/>
            </w:tcBorders>
          </w:tcPr>
          <w:p>
            <w:pPr>
              <w:spacing w:after="0"/>
              <w:rPr>
                <w:sz w:val="18"/>
                <w:szCs w:val="18"/>
                <w:color w:val="auto"/>
              </w:rPr>
            </w:pPr>
          </w:p>
        </w:tc>
        <w:tc>
          <w:tcPr>
            <w:tcW w:w="9540" w:type="dxa"/>
            <w:vAlign w:val="bottom"/>
            <w:tcBorders>
              <w:bottom w:val="single" w:sz="8" w:color="auto"/>
            </w:tcBorders>
            <w:shd w:val="clear" w:color="auto" w:fill="BFBFBF"/>
          </w:tcPr>
          <w:p>
            <w:pPr>
              <w:spacing w:after="0"/>
              <w:rPr>
                <w:sz w:val="18"/>
                <w:szCs w:val="18"/>
                <w:color w:val="auto"/>
              </w:rPr>
            </w:pPr>
          </w:p>
        </w:tc>
        <w:tc>
          <w:tcPr>
            <w:tcW w:w="50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60" w:type="dxa"/>
            <w:vAlign w:val="bottom"/>
            <w:tcBorders>
              <w:right w:val="single" w:sz="8" w:color="auto"/>
            </w:tcBorders>
            <w:vMerge w:val="restart"/>
          </w:tcPr>
          <w:p>
            <w:pPr>
              <w:jc w:val="right"/>
              <w:ind w:right="438"/>
              <w:spacing w:after="0"/>
              <w:rPr>
                <w:sz w:val="20"/>
                <w:szCs w:val="20"/>
                <w:color w:val="auto"/>
              </w:rPr>
            </w:pPr>
            <w:r>
              <w:rPr>
                <w:rFonts w:ascii="Arial" w:cs="Arial" w:eastAsia="Arial" w:hAnsi="Arial"/>
                <w:sz w:val="32"/>
                <w:szCs w:val="32"/>
                <w:b w:val="1"/>
                <w:bCs w:val="1"/>
                <w:color w:val="auto"/>
              </w:rPr>
              <w:t>4</w:t>
            </w:r>
          </w:p>
        </w:tc>
        <w:tc>
          <w:tcPr>
            <w:tcW w:w="9540" w:type="dxa"/>
            <w:vAlign w:val="bottom"/>
          </w:tcPr>
          <w:p>
            <w:pPr>
              <w:spacing w:after="0"/>
              <w:rPr>
                <w:sz w:val="20"/>
                <w:szCs w:val="20"/>
                <w:color w:val="auto"/>
              </w:rPr>
            </w:pPr>
            <w:r>
              <w:rPr>
                <w:rFonts w:ascii="Arial" w:cs="Arial" w:eastAsia="Arial" w:hAnsi="Arial"/>
                <w:sz w:val="18"/>
                <w:szCs w:val="18"/>
                <w:b w:val="1"/>
                <w:bCs w:val="1"/>
                <w:color w:val="auto"/>
              </w:rPr>
              <w:t>SOURCE OF FUNDS (SEE INSTRUCTIONS)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right w:val="single" w:sz="8" w:color="auto"/>
            </w:tcBorders>
            <w:vMerge w:val="continue"/>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WC</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95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60" w:type="dxa"/>
            <w:vAlign w:val="bottom"/>
            <w:tcBorders>
              <w:right w:val="single" w:sz="8" w:color="auto"/>
            </w:tcBorders>
            <w:vMerge w:val="restart"/>
          </w:tcPr>
          <w:p>
            <w:pPr>
              <w:jc w:val="right"/>
              <w:ind w:right="438"/>
              <w:spacing w:after="0"/>
              <w:rPr>
                <w:sz w:val="20"/>
                <w:szCs w:val="20"/>
                <w:color w:val="auto"/>
              </w:rPr>
            </w:pPr>
            <w:r>
              <w:rPr>
                <w:rFonts w:ascii="Arial" w:cs="Arial" w:eastAsia="Arial" w:hAnsi="Arial"/>
                <w:sz w:val="32"/>
                <w:szCs w:val="32"/>
                <w:b w:val="1"/>
                <w:bCs w:val="1"/>
                <w:color w:val="auto"/>
              </w:rPr>
              <w:t>5</w:t>
            </w:r>
          </w:p>
        </w:tc>
        <w:tc>
          <w:tcPr>
            <w:tcW w:w="9540" w:type="dxa"/>
            <w:vAlign w:val="bottom"/>
          </w:tcPr>
          <w:p>
            <w:pPr>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5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vMerge w:val="continue"/>
          </w:tcPr>
          <w:p>
            <w:pPr>
              <w:spacing w:after="0"/>
              <w:rPr>
                <w:sz w:val="20"/>
                <w:szCs w:val="20"/>
                <w:color w:val="auto"/>
              </w:rPr>
            </w:pPr>
          </w:p>
        </w:tc>
        <w:tc>
          <w:tcPr>
            <w:tcW w:w="9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360" w:type="dxa"/>
            <w:vAlign w:val="bottom"/>
            <w:tcBorders>
              <w:bottom w:val="single" w:sz="8" w:color="auto"/>
              <w:right w:val="single" w:sz="8" w:color="auto"/>
            </w:tcBorders>
          </w:tcPr>
          <w:p>
            <w:pPr>
              <w:spacing w:after="0"/>
              <w:rPr>
                <w:sz w:val="11"/>
                <w:szCs w:val="11"/>
                <w:color w:val="auto"/>
              </w:rPr>
            </w:pPr>
          </w:p>
        </w:tc>
        <w:tc>
          <w:tcPr>
            <w:tcW w:w="95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360" w:type="dxa"/>
            <w:vAlign w:val="bottom"/>
            <w:tcBorders>
              <w:right w:val="single" w:sz="8" w:color="auto"/>
            </w:tcBorders>
            <w:vMerge w:val="restart"/>
          </w:tcPr>
          <w:p>
            <w:pPr>
              <w:jc w:val="right"/>
              <w:ind w:right="438"/>
              <w:spacing w:after="0"/>
              <w:rPr>
                <w:sz w:val="20"/>
                <w:szCs w:val="20"/>
                <w:color w:val="auto"/>
              </w:rPr>
            </w:pPr>
            <w:r>
              <w:rPr>
                <w:rFonts w:ascii="Arial" w:cs="Arial" w:eastAsia="Arial" w:hAnsi="Arial"/>
                <w:sz w:val="32"/>
                <w:szCs w:val="32"/>
                <w:b w:val="1"/>
                <w:bCs w:val="1"/>
                <w:color w:val="auto"/>
              </w:rPr>
              <w:t>6</w:t>
            </w:r>
          </w:p>
        </w:tc>
        <w:tc>
          <w:tcPr>
            <w:tcW w:w="9540" w:type="dxa"/>
            <w:vAlign w:val="bottom"/>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Borders>
              <w:right w:val="single" w:sz="8" w:color="auto"/>
            </w:tcBorders>
            <w:vMerge w:val="continue"/>
          </w:tcPr>
          <w:p>
            <w:pPr>
              <w:spacing w:after="0"/>
              <w:rPr>
                <w:sz w:val="24"/>
                <w:szCs w:val="24"/>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The Republic of France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95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-8255</wp:posOffset>
            </wp:positionV>
            <wp:extent cx="8890" cy="1689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8973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-8255</wp:posOffset>
            </wp:positionV>
            <wp:extent cx="8890" cy="1689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80"/>
        <w:spacing w:after="0" w:line="277" w:lineRule="auto"/>
        <w:rPr>
          <w:sz w:val="20"/>
          <w:szCs w:val="20"/>
          <w:color w:val="auto"/>
        </w:rPr>
      </w:pPr>
      <w:r>
        <w:rPr>
          <w:rFonts w:ascii="Arial" w:cs="Arial" w:eastAsia="Arial" w:hAnsi="Arial"/>
          <w:sz w:val="17"/>
          <w:szCs w:val="17"/>
          <w:b w:val="1"/>
          <w:bCs w:val="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820" w:type="dxa"/>
            <w:vAlign w:val="bottom"/>
          </w:tcPr>
          <w:p>
            <w:pPr>
              <w:ind w:left="1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06"/>
        </w:trPr>
        <w:tc>
          <w:tcPr>
            <w:tcW w:w="600" w:type="dxa"/>
            <w:vAlign w:val="bottom"/>
            <w:vMerge w:val="continue"/>
          </w:tcPr>
          <w:p>
            <w:pPr>
              <w:spacing w:after="0"/>
              <w:rPr>
                <w:sz w:val="24"/>
                <w:szCs w:val="24"/>
                <w:color w:val="auto"/>
              </w:rPr>
            </w:pPr>
          </w:p>
        </w:tc>
        <w:tc>
          <w:tcPr>
            <w:tcW w:w="88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60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60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820" w:type="dxa"/>
            <w:vAlign w:val="bottom"/>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306"/>
        </w:trPr>
        <w:tc>
          <w:tcPr>
            <w:tcW w:w="600" w:type="dxa"/>
            <w:vAlign w:val="bottom"/>
            <w:vMerge w:val="continue"/>
          </w:tcPr>
          <w:p>
            <w:pPr>
              <w:spacing w:after="0"/>
              <w:rPr>
                <w:sz w:val="24"/>
                <w:szCs w:val="24"/>
                <w:color w:val="auto"/>
              </w:rPr>
            </w:pPr>
          </w:p>
        </w:tc>
        <w:tc>
          <w:tcPr>
            <w:tcW w:w="8820" w:type="dxa"/>
            <w:vAlign w:val="bottom"/>
          </w:tcPr>
          <w:p>
            <w:pPr>
              <w:ind w:left="100"/>
              <w:spacing w:after="0"/>
              <w:rPr>
                <w:sz w:val="20"/>
                <w:szCs w:val="20"/>
                <w:color w:val="auto"/>
              </w:rPr>
            </w:pPr>
            <w:r>
              <w:rPr>
                <w:rFonts w:ascii="Arial" w:cs="Arial" w:eastAsia="Arial" w:hAnsi="Arial"/>
                <w:sz w:val="18"/>
                <w:szCs w:val="18"/>
                <w:color w:val="auto"/>
              </w:rPr>
              <w:t>23,108,570 (1)</w:t>
            </w:r>
          </w:p>
        </w:tc>
        <w:tc>
          <w:tcPr>
            <w:tcW w:w="0" w:type="dxa"/>
            <w:vAlign w:val="bottom"/>
          </w:tcPr>
          <w:p>
            <w:pPr>
              <w:spacing w:after="0"/>
              <w:rPr>
                <w:sz w:val="1"/>
                <w:szCs w:val="1"/>
                <w:color w:val="auto"/>
              </w:rPr>
            </w:pPr>
          </w:p>
        </w:tc>
      </w:tr>
      <w:tr>
        <w:trPr>
          <w:trHeight w:val="108"/>
        </w:trPr>
        <w:tc>
          <w:tcPr>
            <w:tcW w:w="60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60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820" w:type="dxa"/>
            <w:vAlign w:val="bottom"/>
          </w:tcPr>
          <w:p>
            <w:pPr>
              <w:ind w:left="1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306"/>
        </w:trPr>
        <w:tc>
          <w:tcPr>
            <w:tcW w:w="600" w:type="dxa"/>
            <w:vAlign w:val="bottom"/>
            <w:vMerge w:val="continue"/>
          </w:tcPr>
          <w:p>
            <w:pPr>
              <w:spacing w:after="0"/>
              <w:rPr>
                <w:sz w:val="24"/>
                <w:szCs w:val="24"/>
                <w:color w:val="auto"/>
              </w:rPr>
            </w:pPr>
          </w:p>
        </w:tc>
        <w:tc>
          <w:tcPr>
            <w:tcW w:w="88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60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60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8820" w:type="dxa"/>
            <w:vAlign w:val="bottom"/>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06"/>
        </w:trPr>
        <w:tc>
          <w:tcPr>
            <w:tcW w:w="600" w:type="dxa"/>
            <w:vAlign w:val="bottom"/>
            <w:vMerge w:val="continue"/>
          </w:tcPr>
          <w:p>
            <w:pPr>
              <w:spacing w:after="0"/>
              <w:rPr>
                <w:sz w:val="24"/>
                <w:szCs w:val="24"/>
                <w:color w:val="auto"/>
              </w:rPr>
            </w:pPr>
          </w:p>
        </w:tc>
        <w:tc>
          <w:tcPr>
            <w:tcW w:w="8820" w:type="dxa"/>
            <w:vAlign w:val="bottom"/>
          </w:tcPr>
          <w:p>
            <w:pPr>
              <w:ind w:left="100"/>
              <w:spacing w:after="0"/>
              <w:rPr>
                <w:sz w:val="20"/>
                <w:szCs w:val="20"/>
                <w:color w:val="auto"/>
              </w:rPr>
            </w:pPr>
            <w:r>
              <w:rPr>
                <w:rFonts w:ascii="Arial" w:cs="Arial" w:eastAsia="Arial" w:hAnsi="Arial"/>
                <w:sz w:val="18"/>
                <w:szCs w:val="18"/>
                <w:color w:val="auto"/>
              </w:rPr>
              <w:t>23,108,570 (1)</w:t>
            </w: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2">
            <w:col w:w="1940" w:space="60"/>
            <w:col w:w="94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06"/>
        </w:trPr>
        <w:tc>
          <w:tcPr>
            <w:tcW w:w="1360" w:type="dxa"/>
            <w:vAlign w:val="bottom"/>
            <w:tcBorders>
              <w:right w:val="single" w:sz="8" w:color="auto"/>
            </w:tcBorders>
            <w:vMerge w:val="continue"/>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23,108,570 (1)</w:t>
            </w: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10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60" w:type="dxa"/>
            <w:vAlign w:val="bottom"/>
          </w:tcPr>
          <w:p>
            <w:pPr>
              <w:spacing w:after="0" w:line="207" w:lineRule="exact"/>
              <w:rPr>
                <w:sz w:val="20"/>
                <w:szCs w:val="20"/>
                <w:color w:val="auto"/>
              </w:rPr>
            </w:pPr>
            <w:r>
              <w:rPr>
                <w:rFonts w:ascii="Arial" w:cs="Arial" w:eastAsia="Arial" w:hAnsi="Arial"/>
                <w:sz w:val="18"/>
                <w:szCs w:val="18"/>
                <w:b w:val="1"/>
                <w:bCs w:val="1"/>
                <w:color w:val="auto"/>
                <w:w w:val="88"/>
              </w:rPr>
              <w:t>CHECK BOX IF THE AGGREGATE AMOUNT IN ROW (11) EXCLUDES CERTAIN SHARES (SEE INSTRUCTIONS)</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vMerge w:val="continue"/>
          </w:tcPr>
          <w:p>
            <w:pPr>
              <w:spacing w:after="0"/>
              <w:rPr>
                <w:sz w:val="20"/>
                <w:szCs w:val="20"/>
                <w:color w:val="auto"/>
              </w:rPr>
            </w:pPr>
          </w:p>
        </w:tc>
        <w:tc>
          <w:tcPr>
            <w:tcW w:w="10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360" w:type="dxa"/>
            <w:vAlign w:val="bottom"/>
            <w:tcBorders>
              <w:bottom w:val="single" w:sz="8" w:color="auto"/>
              <w:right w:val="single" w:sz="8" w:color="auto"/>
            </w:tcBorders>
          </w:tcPr>
          <w:p>
            <w:pPr>
              <w:spacing w:after="0"/>
              <w:rPr>
                <w:sz w:val="11"/>
                <w:szCs w:val="11"/>
                <w:color w:val="auto"/>
              </w:rPr>
            </w:pPr>
          </w:p>
        </w:tc>
        <w:tc>
          <w:tcPr>
            <w:tcW w:w="10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10060" w:type="dxa"/>
            <w:vAlign w:val="bottom"/>
          </w:tcPr>
          <w:p>
            <w:pPr>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0" w:type="dxa"/>
            <w:vAlign w:val="bottom"/>
          </w:tcPr>
          <w:p>
            <w:pPr>
              <w:spacing w:after="0"/>
              <w:rPr>
                <w:sz w:val="1"/>
                <w:szCs w:val="1"/>
                <w:color w:val="auto"/>
              </w:rPr>
            </w:pPr>
          </w:p>
        </w:tc>
      </w:tr>
      <w:tr>
        <w:trPr>
          <w:trHeight w:val="306"/>
        </w:trPr>
        <w:tc>
          <w:tcPr>
            <w:tcW w:w="1360" w:type="dxa"/>
            <w:vAlign w:val="bottom"/>
            <w:tcBorders>
              <w:right w:val="single" w:sz="8" w:color="auto"/>
            </w:tcBorders>
            <w:vMerge w:val="continue"/>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22.6% (2)</w:t>
            </w: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10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10060" w:type="dxa"/>
            <w:vAlign w:val="bottom"/>
          </w:tcPr>
          <w:p>
            <w:pPr>
              <w:spacing w:after="0"/>
              <w:rPr>
                <w:sz w:val="20"/>
                <w:szCs w:val="20"/>
                <w:color w:val="auto"/>
              </w:rPr>
            </w:pPr>
            <w:r>
              <w:rPr>
                <w:rFonts w:ascii="Arial" w:cs="Arial" w:eastAsia="Arial" w:hAnsi="Arial"/>
                <w:sz w:val="18"/>
                <w:szCs w:val="18"/>
                <w:b w:val="1"/>
                <w:bCs w:val="1"/>
                <w:color w:val="auto"/>
              </w:rPr>
              <w:t>TYPE OF REPORTING PERSON</w:t>
            </w:r>
          </w:p>
        </w:tc>
        <w:tc>
          <w:tcPr>
            <w:tcW w:w="0" w:type="dxa"/>
            <w:vAlign w:val="bottom"/>
          </w:tcPr>
          <w:p>
            <w:pPr>
              <w:spacing w:after="0"/>
              <w:rPr>
                <w:sz w:val="1"/>
                <w:szCs w:val="1"/>
                <w:color w:val="auto"/>
              </w:rPr>
            </w:pPr>
          </w:p>
        </w:tc>
      </w:tr>
      <w:tr>
        <w:trPr>
          <w:trHeight w:val="306"/>
        </w:trPr>
        <w:tc>
          <w:tcPr>
            <w:tcW w:w="1360" w:type="dxa"/>
            <w:vAlign w:val="bottom"/>
            <w:tcBorders>
              <w:right w:val="single" w:sz="8" w:color="auto"/>
            </w:tcBorders>
            <w:vMerge w:val="continue"/>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10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8"/>
        <w:spacing w:after="0" w:line="255" w:lineRule="auto"/>
        <w:tabs>
          <w:tab w:leader="none" w:pos="487" w:val="left"/>
        </w:tabs>
        <w:numPr>
          <w:ilvl w:val="0"/>
          <w:numId w:val="1"/>
        </w:numPr>
        <w:rPr>
          <w:rFonts w:ascii="Arial" w:cs="Arial" w:eastAsia="Arial" w:hAnsi="Arial"/>
          <w:sz w:val="18"/>
          <w:szCs w:val="18"/>
          <w:color w:val="auto"/>
        </w:rPr>
      </w:pPr>
      <w:r>
        <w:rPr>
          <w:rFonts w:ascii="Arial" w:cs="Arial" w:eastAsia="Arial" w:hAnsi="Arial"/>
          <w:sz w:val="18"/>
          <w:szCs w:val="18"/>
          <w:color w:val="auto"/>
        </w:rPr>
        <w:t>20,309,018 shares of Common Stock are held directly by sanofi-aventis Amérique du Nord (“</w:t>
      </w:r>
      <w:r>
        <w:rPr>
          <w:rFonts w:ascii="Arial" w:cs="Arial" w:eastAsia="Arial" w:hAnsi="Arial"/>
          <w:sz w:val="18"/>
          <w:szCs w:val="18"/>
          <w:u w:val="single" w:color="auto"/>
          <w:color w:val="auto"/>
        </w:rPr>
        <w:t>SAAN</w:t>
      </w:r>
      <w:r>
        <w:rPr>
          <w:rFonts w:ascii="Arial" w:cs="Arial" w:eastAsia="Arial" w:hAnsi="Arial"/>
          <w:sz w:val="18"/>
          <w:szCs w:val="18"/>
          <w:color w:val="auto"/>
        </w:rPr>
        <w:t>”) and 2,799,552 of the shares of Common Stock are held directly by Aventis Pharmaceuticals Inc. (“</w:t>
      </w:r>
      <w:r>
        <w:rPr>
          <w:rFonts w:ascii="Arial" w:cs="Arial" w:eastAsia="Arial" w:hAnsi="Arial"/>
          <w:sz w:val="18"/>
          <w:szCs w:val="18"/>
          <w:u w:val="single" w:color="auto"/>
          <w:color w:val="auto"/>
        </w:rPr>
        <w:t>Aventis</w:t>
      </w:r>
      <w:r>
        <w:rPr>
          <w:rFonts w:ascii="Arial" w:cs="Arial" w:eastAsia="Arial" w:hAnsi="Arial"/>
          <w:sz w:val="18"/>
          <w:szCs w:val="18"/>
          <w:color w:val="auto"/>
        </w:rPr>
        <w:t>”). SAAN is a direct, wholly-owned subsidiary of Sanofi. Aventis is an indirect, wholly-owned subsidiary of SAAN. See Item 5 of the Schedule 13D. Pursuant to the Amended and Restated Investor Agreement, dated as of January 11, 2014, by and among Sanofi, SAAN, sanofi-aventis US LLC, Aventis (collectively, the “</w:t>
      </w:r>
      <w:r>
        <w:rPr>
          <w:rFonts w:ascii="Arial" w:cs="Arial" w:eastAsia="Arial" w:hAnsi="Arial"/>
          <w:sz w:val="18"/>
          <w:szCs w:val="18"/>
          <w:u w:val="single" w:color="auto"/>
          <w:color w:val="auto"/>
        </w:rPr>
        <w:t>Sanofi Parties</w:t>
      </w:r>
      <w:r>
        <w:rPr>
          <w:rFonts w:ascii="Arial" w:cs="Arial" w:eastAsia="Arial" w:hAnsi="Arial"/>
          <w:sz w:val="18"/>
          <w:szCs w:val="18"/>
          <w:color w:val="auto"/>
        </w:rPr>
        <w:t>”) and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Sanofi Parties have agreed to vote their respective shares of the Company, subject to specified exceptions, in accordance with the recommendation of the Company’s Board of Directors.</w:t>
      </w:r>
    </w:p>
    <w:p>
      <w:pPr>
        <w:spacing w:after="0" w:line="220" w:lineRule="exact"/>
        <w:rPr>
          <w:rFonts w:ascii="Arial" w:cs="Arial" w:eastAsia="Arial" w:hAnsi="Arial"/>
          <w:sz w:val="18"/>
          <w:szCs w:val="18"/>
          <w:color w:val="auto"/>
        </w:rPr>
      </w:pPr>
    </w:p>
    <w:p>
      <w:pPr>
        <w:ind w:right="340" w:firstLine="8"/>
        <w:spacing w:after="0" w:line="277" w:lineRule="auto"/>
        <w:tabs>
          <w:tab w:leader="none" w:pos="487"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102,151,256 shares of Common Stock outstanding as of October 16, 2015, as reported in the Company’s Quarterly Report on Form 10-Q filed with the Securities and Exchange Commission on November 4, 2015.</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ind w:right="200"/>
        <w:spacing w:after="0" w:line="259" w:lineRule="auto"/>
        <w:rPr>
          <w:sz w:val="20"/>
          <w:szCs w:val="20"/>
          <w:color w:val="auto"/>
        </w:rPr>
      </w:pPr>
      <w:r>
        <w:rPr>
          <w:rFonts w:ascii="Arial" w:cs="Arial" w:eastAsia="Arial" w:hAnsi="Arial"/>
          <w:sz w:val="18"/>
          <w:szCs w:val="18"/>
          <w:color w:val="auto"/>
        </w:rPr>
        <w:t>This Amendment No. 11 (this “</w:t>
      </w:r>
      <w:r>
        <w:rPr>
          <w:rFonts w:ascii="Arial" w:cs="Arial" w:eastAsia="Arial" w:hAnsi="Arial"/>
          <w:sz w:val="18"/>
          <w:szCs w:val="18"/>
          <w:u w:val="single" w:color="auto"/>
          <w:color w:val="auto"/>
        </w:rPr>
        <w:t>Amendment No. 11</w:t>
      </w:r>
      <w:r>
        <w:rPr>
          <w:rFonts w:ascii="Arial" w:cs="Arial" w:eastAsia="Arial" w:hAnsi="Arial"/>
          <w:sz w:val="18"/>
          <w:szCs w:val="18"/>
          <w:color w:val="auto"/>
        </w:rPr>
        <w:t>”) amends the Statement on Schedule 13D first filed with the Securities and Exchange Commission on January 14, 2014,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Sanofi (“</w:t>
      </w:r>
      <w:r>
        <w:rPr>
          <w:rFonts w:ascii="Arial" w:cs="Arial" w:eastAsia="Arial" w:hAnsi="Arial"/>
          <w:sz w:val="18"/>
          <w:szCs w:val="18"/>
          <w:u w:val="single" w:color="auto"/>
          <w:color w:val="auto"/>
        </w:rPr>
        <w:t>Sanofi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respect to the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Issuer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but not otherwise defined herein have the meanings given to them in the Schedule 13D.</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2 of the Schedule 13D is amended and supplemented by replacing Schedule I thereto with Schedule I to this Amendment No. 11.</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as follows: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Reporting Person intends to purchase, directly or through its subsidiaries, additional shares of Common Stock to maintain and opportunistically increase its beneficial ownership on a percentage basis, without exceeding the maximum allowed under the Amended Investor Agreement (30% of Shares of Then Outstanding Common Stock, as defined therein). The Reporting Person intends to acquire these additional shares in market or private transactions or through derivatives subject to market conditions and legal and regulatory requirements, at prices and other terms acceptable to the Reporting Person. To that effect, SAAN may enter into additional agreements with a broker (a “Rule 10b5-1 Plan”), intended to comply with the requirements of Rule 10b5-1(c)(1)(i) under the Securities Exchange Act of 1934, as amended (the “Exchange Act”). The Reporting Person makes no commitment in terms of the timing of such transactions, which will depend on market conditions including the price and availability of shares of Common Stock, and on such other factors considered relevant to the Reporting Person or to the broker in carrying out the Rule 10b5-1 Plan, as the case may be.</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November 10, 2015, Mr. Robert A. Ingram, who served on the Company’s board of directors since April 4, 2014 as an Independent Designee (as defined in the Amended Investor Agreement) designated by the Reporting Person, resigned as director. The Reporting Person intends to designate a successor pursuant to Article 3.1 of the Amended Investor Agreement.</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in the Securities of the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supplemented as follows:</w:t>
      </w:r>
    </w:p>
    <w:p>
      <w:pPr>
        <w:spacing w:after="0" w:line="225" w:lineRule="exact"/>
        <w:rPr>
          <w:sz w:val="20"/>
          <w:szCs w:val="20"/>
          <w:color w:val="auto"/>
        </w:rPr>
      </w:pPr>
    </w:p>
    <w:p>
      <w:pPr>
        <w:ind w:right="20" w:firstLine="818"/>
        <w:spacing w:after="0" w:line="255" w:lineRule="auto"/>
        <w:tabs>
          <w:tab w:leader="none" w:pos="10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(b) The responses of the Reporting Person to Rows (7) through (13) of the cover page of this Amendment No. 11 as of the close of business on December 29, 2015, are incorporated herein by reference. As of the close of business on December 29, 2015, the Reporting Person beneficially owned 23,108,570 shares of Common Stock, representing approximately 22.6% of the shares of Common Stock outstanding (based on 102,151,256 shares of Common Stock outstanding as of October 16, 2015, as reported in the Company’s Quarterly Report on Form 10-Q filed with the Securities and Exchange Commission on November 4, 2015). The Reporting Person may be deemed to have shared voting and dispositive power with respect to the shares of Common Stock directly owned by SAAN and Aventis, its subsidiaries.</w:t>
      </w:r>
    </w:p>
    <w:p>
      <w:pPr>
        <w:spacing w:after="0" w:line="193" w:lineRule="exact"/>
        <w:rPr>
          <w:sz w:val="20"/>
          <w:szCs w:val="20"/>
          <w:color w:val="auto"/>
        </w:rPr>
      </w:pPr>
    </w:p>
    <w:p>
      <w:pPr>
        <w:ind w:right="300" w:firstLine="810"/>
        <w:spacing w:after="0" w:line="277"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Persons listed on Schedule I to the Schedule 13D beneficially owns any shares of Common Stock as of December 29, 2015.</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p>
      <w:pPr>
        <w:ind w:right="260" w:firstLine="818"/>
        <w:spacing w:after="0" w:line="251" w:lineRule="auto"/>
        <w:tabs>
          <w:tab w:leader="none" w:pos="1158" w:val="left"/>
        </w:tabs>
        <w:numPr>
          <w:ilvl w:val="0"/>
          <w:numId w:val="3"/>
        </w:numPr>
        <w:rPr>
          <w:rFonts w:ascii="Arial" w:cs="Arial" w:eastAsia="Arial" w:hAnsi="Arial"/>
          <w:sz w:val="22"/>
          <w:szCs w:val="22"/>
          <w:color w:val="auto"/>
        </w:rPr>
      </w:pPr>
      <w:r>
        <w:rPr>
          <w:rFonts w:ascii="Arial" w:cs="Arial" w:eastAsia="Arial" w:hAnsi="Arial"/>
          <w:sz w:val="22"/>
          <w:szCs w:val="22"/>
          <w:color w:val="auto"/>
        </w:rPr>
        <w:t>During the last sixty days through and including December 29, 2015, no transactions were effected in the Common stock by the Reporting Person.</w:t>
      </w:r>
    </w:p>
    <w:p>
      <w:pPr>
        <w:spacing w:after="0" w:line="181" w:lineRule="exact"/>
        <w:rPr>
          <w:sz w:val="20"/>
          <w:szCs w:val="20"/>
          <w:color w:val="auto"/>
        </w:rPr>
      </w:pPr>
    </w:p>
    <w:p>
      <w:pPr>
        <w:ind w:firstLine="824"/>
        <w:spacing w:after="0" w:line="277"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170" w:lineRule="exact"/>
        <w:rPr>
          <w:sz w:val="20"/>
          <w:szCs w:val="20"/>
          <w:color w:val="auto"/>
        </w:rPr>
      </w:pPr>
    </w:p>
    <w:p>
      <w:pPr>
        <w:ind w:left="1140" w:hanging="308"/>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120" w:hanging="28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“Amended Investor Agreement, </w:t>
      </w:r>
      <w:r>
        <w:rPr>
          <w:rFonts w:ascii="Arial" w:cs="Arial" w:eastAsia="Arial" w:hAnsi="Arial"/>
          <w:sz w:val="18"/>
          <w:szCs w:val="18"/>
          <w:i w:val="1"/>
          <w:iCs w:val="1"/>
          <w:color w:val="auto"/>
        </w:rPr>
        <w:t>Board Designation Right</w:t>
      </w:r>
      <w:r>
        <w:rPr>
          <w:rFonts w:ascii="Arial" w:cs="Arial" w:eastAsia="Arial" w:hAnsi="Arial"/>
          <w:sz w:val="18"/>
          <w:szCs w:val="18"/>
          <w:color w:val="auto"/>
        </w:rPr>
        <w:t>” of the Schedule 13D is supplemented as follows:</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November 10, 2015, Mr. Robert A. Ingram, who served on the Company’s board of directors since April 4, 2014 as an Independent Designee (as defined in the Amended Investor Agreement) designated by the Reporting Person, resigned as director. The Reporting Person intends to designate a successor pursuant to Article 3.1 of the Amended Investor Agreement.</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29, 2015</w:t>
      </w:r>
    </w:p>
    <w:p>
      <w:pPr>
        <w:spacing w:after="0" w:line="24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 /s/ John Felitti</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2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John Felitti</w:t>
            </w:r>
          </w:p>
        </w:tc>
        <w:tc>
          <w:tcPr>
            <w:tcW w:w="1140" w:type="dxa"/>
            <w:vAlign w:val="bottom"/>
          </w:tcPr>
          <w:p>
            <w:pPr>
              <w:spacing w:after="0"/>
              <w:rPr>
                <w:sz w:val="19"/>
                <w:szCs w:val="19"/>
                <w:color w:val="auto"/>
              </w:rPr>
            </w:pPr>
          </w:p>
        </w:tc>
      </w:tr>
      <w:tr>
        <w:trPr>
          <w:trHeight w:val="216"/>
        </w:trPr>
        <w:tc>
          <w:tcPr>
            <w:tcW w:w="55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00"/>
              <w:spacing w:after="0"/>
              <w:rPr>
                <w:sz w:val="20"/>
                <w:szCs w:val="20"/>
                <w:color w:val="auto"/>
              </w:rPr>
            </w:pPr>
            <w:r>
              <w:rPr>
                <w:rFonts w:ascii="Arial" w:cs="Arial" w:eastAsia="Arial" w:hAnsi="Arial"/>
                <w:sz w:val="18"/>
                <w:szCs w:val="18"/>
                <w:color w:val="auto"/>
              </w:rPr>
              <w:t>Associate Vice President, Corporate Law,</w:t>
            </w:r>
          </w:p>
        </w:tc>
        <w:tc>
          <w:tcPr>
            <w:tcW w:w="114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Financial &amp; Securities Law</w:t>
            </w:r>
          </w:p>
        </w:tc>
        <w:tc>
          <w:tcPr>
            <w:tcW w:w="1140" w:type="dxa"/>
            <w:vAlign w:val="bottom"/>
          </w:tcPr>
          <w:p>
            <w:pPr>
              <w:spacing w:after="0"/>
              <w:rPr>
                <w:sz w:val="20"/>
                <w:szCs w:val="20"/>
                <w:color w:val="auto"/>
              </w:rPr>
            </w:pPr>
          </w:p>
        </w:tc>
      </w:tr>
      <w:tr>
        <w:trPr>
          <w:trHeight w:val="582"/>
        </w:trPr>
        <w:tc>
          <w:tcPr>
            <w:tcW w:w="5500" w:type="dxa"/>
            <w:vAlign w:val="bottom"/>
          </w:tcPr>
          <w:p>
            <w:pPr>
              <w:spacing w:after="0"/>
              <w:rPr>
                <w:sz w:val="24"/>
                <w:szCs w:val="24"/>
                <w:color w:val="auto"/>
              </w:rPr>
            </w:pPr>
          </w:p>
        </w:tc>
        <w:tc>
          <w:tcPr>
            <w:tcW w:w="580" w:type="dxa"/>
            <w:vAlign w:val="bottom"/>
          </w:tcPr>
          <w:p>
            <w:pPr>
              <w:jc w:val="right"/>
              <w:ind w:right="256"/>
              <w:spacing w:after="0"/>
              <w:rPr>
                <w:sz w:val="20"/>
                <w:szCs w:val="20"/>
                <w:color w:val="auto"/>
              </w:rPr>
            </w:pPr>
            <w:r>
              <w:rPr>
                <w:rFonts w:ascii="Arial" w:cs="Arial" w:eastAsia="Arial" w:hAnsi="Arial"/>
                <w:sz w:val="14"/>
                <w:szCs w:val="14"/>
                <w:color w:val="auto"/>
              </w:rPr>
              <w:t>5</w:t>
            </w:r>
          </w:p>
        </w:tc>
        <w:tc>
          <w:tcPr>
            <w:tcW w:w="4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55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name, business address and present principal occupation or employment of each of the directors and executive officers of Sanofi are set forth below. Unless otherwise indicated, the business address of each director and executive officer is Sanofi, 54 rue La Boétie, 75008 Paris, France. Unless otherwise indicated, each director and executive officer is a citizen of France.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7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60" w:type="dxa"/>
            <w:vAlign w:val="bottom"/>
            <w:gridSpan w:val="2"/>
          </w:tcPr>
          <w:p>
            <w:pPr>
              <w:ind w:left="500"/>
              <w:spacing w:after="0"/>
              <w:rPr>
                <w:sz w:val="20"/>
                <w:szCs w:val="20"/>
                <w:color w:val="auto"/>
              </w:rPr>
            </w:pPr>
            <w:r>
              <w:rPr>
                <w:rFonts w:ascii="Arial" w:cs="Arial" w:eastAsia="Arial" w:hAnsi="Arial"/>
                <w:sz w:val="18"/>
                <w:szCs w:val="18"/>
                <w:b w:val="1"/>
                <w:bCs w:val="1"/>
                <w:color w:val="auto"/>
              </w:rPr>
              <w:t>Name</w:t>
            </w:r>
          </w:p>
        </w:tc>
        <w:tc>
          <w:tcPr>
            <w:tcW w:w="7700" w:type="dxa"/>
            <w:vAlign w:val="bottom"/>
          </w:tcPr>
          <w:p>
            <w:pPr>
              <w:ind w:left="860"/>
              <w:spacing w:after="0"/>
              <w:rPr>
                <w:sz w:val="20"/>
                <w:szCs w:val="20"/>
                <w:color w:val="auto"/>
              </w:rPr>
            </w:pPr>
            <w:r>
              <w:rPr>
                <w:rFonts w:ascii="Arial" w:cs="Arial" w:eastAsia="Arial" w:hAnsi="Arial"/>
                <w:sz w:val="18"/>
                <w:szCs w:val="18"/>
                <w:b w:val="1"/>
                <w:bCs w:val="1"/>
                <w:color w:val="auto"/>
                <w:w w:val="98"/>
              </w:rPr>
              <w:t>Present Principal Occupation or Employment and Name and Principal Address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700" w:type="dxa"/>
            <w:vAlign w:val="bottom"/>
          </w:tcPr>
          <w:p>
            <w:pPr>
              <w:ind w:left="860"/>
              <w:spacing w:after="0"/>
              <w:rPr>
                <w:sz w:val="20"/>
                <w:szCs w:val="20"/>
                <w:color w:val="auto"/>
              </w:rPr>
            </w:pPr>
            <w:r>
              <w:rPr>
                <w:rFonts w:ascii="Arial" w:cs="Arial" w:eastAsia="Arial" w:hAnsi="Arial"/>
                <w:sz w:val="18"/>
                <w:szCs w:val="18"/>
                <w:b w:val="1"/>
                <w:bCs w:val="1"/>
                <w:color w:val="auto"/>
              </w:rPr>
              <w:t>Corporation in which Employment is Conducted at Sanofi</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Serge Weinberg</w:t>
            </w: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Chairman of the Board of Directors of Sanofi, Chairman of Weinberg Capital Partners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Olivier Brandicourt</w:t>
            </w: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Chief Executive Officer of Sanofi</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Laurent Attal</w:t>
            </w: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Director at Sanofi, Vice President General Manager Research and Innovation at L’Oréal</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Bonnie Bassler</w:t>
            </w:r>
          </w:p>
        </w:tc>
        <w:tc>
          <w:tcPr>
            <w:tcW w:w="770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color w:val="auto"/>
                <w:w w:val="93"/>
              </w:rPr>
              <w:t>Independent Director at Sanofi, Squibb Professor and Chair at the Department of Molecular</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U.S. citizenship</w:t>
            </w: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Biology, Princeton University</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Uwe Bicker</w:t>
            </w:r>
          </w:p>
        </w:tc>
        <w:tc>
          <w:tcPr>
            <w:tcW w:w="770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color w:val="auto"/>
                <w:w w:val="96"/>
              </w:rPr>
              <w:t>Independent  Director  at  Sanofi,  Dean  at  the  Medical  Faculty,  Heidelberg  University</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German citizenship</w:t>
            </w: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(Germany),</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Robert Castaigne</w:t>
            </w: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Independent Director</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Jean-René Fourtou</w:t>
            </w: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Independent Director at Sanofi, Honorary Chairman of Vivendi</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Claudie Haigneré</w:t>
            </w: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Independent Director</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Patrick Kron</w:t>
            </w: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Independent Director at Sanofi, Chairman and Chief Executive Officer of Alstom</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Fabienne Lecorvaisier</w:t>
            </w:r>
          </w:p>
        </w:tc>
        <w:tc>
          <w:tcPr>
            <w:tcW w:w="770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color w:val="auto"/>
                <w:w w:val="93"/>
              </w:rPr>
              <w:t>Independent Director at Sanofi, Chief Financial Officer and Executive Committee Member of</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Air Liquide</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Suet-Fern Lee</w:t>
            </w:r>
          </w:p>
        </w:tc>
        <w:tc>
          <w:tcPr>
            <w:tcW w:w="770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color w:val="auto"/>
                <w:w w:val="95"/>
              </w:rPr>
              <w:t>Independent Director at Sanofi, Chairman &amp; Senior Director of Stamford Law Corporation.</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Singaporean citizenship</w:t>
            </w:r>
          </w:p>
        </w:tc>
        <w:tc>
          <w:tcPr>
            <w:tcW w:w="7700" w:type="dxa"/>
            <w:vAlign w:val="bottom"/>
            <w:shd w:val="clear" w:color="auto" w:fill="CCEEFF"/>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2"/>
        </w:trPr>
        <w:tc>
          <w:tcPr>
            <w:tcW w:w="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700" w:type="dxa"/>
            <w:vAlign w:val="bottom"/>
          </w:tcPr>
          <w:p>
            <w:pPr>
              <w:ind w:left="2620"/>
              <w:spacing w:after="0"/>
              <w:rPr>
                <w:sz w:val="20"/>
                <w:szCs w:val="20"/>
                <w:color w:val="auto"/>
              </w:rPr>
            </w:pPr>
            <w:r>
              <w:rPr>
                <w:rFonts w:ascii="Arial" w:cs="Arial" w:eastAsia="Arial" w:hAnsi="Arial"/>
                <w:sz w:val="14"/>
                <w:szCs w:val="14"/>
                <w:color w:val="auto"/>
              </w:rPr>
              <w:t>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gridSpan w:val="2"/>
          </w:tcPr>
          <w:p>
            <w:pPr>
              <w:ind w:left="500"/>
              <w:spacing w:after="0"/>
              <w:rPr>
                <w:sz w:val="20"/>
                <w:szCs w:val="20"/>
                <w:color w:val="auto"/>
              </w:rPr>
            </w:pPr>
            <w:r>
              <w:rPr>
                <w:rFonts w:ascii="Arial" w:cs="Arial" w:eastAsia="Arial" w:hAnsi="Arial"/>
                <w:sz w:val="18"/>
                <w:szCs w:val="18"/>
                <w:b w:val="1"/>
                <w:bCs w:val="1"/>
                <w:color w:val="auto"/>
              </w:rPr>
              <w:t>Name</w:t>
            </w:r>
          </w:p>
        </w:tc>
        <w:tc>
          <w:tcPr>
            <w:tcW w:w="7640" w:type="dxa"/>
            <w:vAlign w:val="bottom"/>
          </w:tcPr>
          <w:p>
            <w:pPr>
              <w:ind w:left="800"/>
              <w:spacing w:after="0"/>
              <w:rPr>
                <w:sz w:val="20"/>
                <w:szCs w:val="20"/>
                <w:color w:val="auto"/>
              </w:rPr>
            </w:pPr>
            <w:r>
              <w:rPr>
                <w:rFonts w:ascii="Arial" w:cs="Arial" w:eastAsia="Arial" w:hAnsi="Arial"/>
                <w:sz w:val="18"/>
                <w:szCs w:val="18"/>
                <w:b w:val="1"/>
                <w:bCs w:val="1"/>
                <w:color w:val="auto"/>
                <w:w w:val="98"/>
              </w:rPr>
              <w:t>Present Principal Occupation or Employment and Name and Principal Address of</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40" w:type="dxa"/>
            <w:vAlign w:val="bottom"/>
          </w:tcPr>
          <w:p>
            <w:pPr>
              <w:ind w:left="800"/>
              <w:spacing w:after="0"/>
              <w:rPr>
                <w:sz w:val="20"/>
                <w:szCs w:val="20"/>
                <w:color w:val="auto"/>
              </w:rPr>
            </w:pPr>
            <w:r>
              <w:rPr>
                <w:rFonts w:ascii="Arial" w:cs="Arial" w:eastAsia="Arial" w:hAnsi="Arial"/>
                <w:sz w:val="18"/>
                <w:szCs w:val="18"/>
                <w:b w:val="1"/>
                <w:bCs w:val="1"/>
                <w:color w:val="auto"/>
              </w:rPr>
              <w:t>Corporation in which Employment is Conducted at Sanofi</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Christian Mulliez</w:t>
            </w:r>
          </w:p>
        </w:tc>
        <w:tc>
          <w:tcPr>
            <w:tcW w:w="76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4"/>
              </w:rPr>
              <w:t>Director at Sanofi, Vice President, General Manager Administration and Finance at L’Oréal</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Carole Piwnica</w:t>
            </w:r>
          </w:p>
        </w:tc>
        <w:tc>
          <w:tcPr>
            <w:tcW w:w="764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rPr>
              <w:t>Independent Director at Sanofi, Founder Director of Naxos UK Ltd</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Belgian citizenship</w:t>
            </w:r>
          </w:p>
        </w:tc>
        <w:tc>
          <w:tcPr>
            <w:tcW w:w="7640" w:type="dxa"/>
            <w:vAlign w:val="bottom"/>
            <w:shd w:val="clear" w:color="auto" w:fill="CCEEFF"/>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Klaus Pohle</w:t>
            </w:r>
          </w:p>
        </w:tc>
        <w:tc>
          <w:tcPr>
            <w:tcW w:w="764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w w:val="92"/>
              </w:rPr>
              <w:t>Independent Director at Sanofi, Professor of Business Administration at the Berlin Institute of</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German citizenship</w:t>
            </w:r>
          </w:p>
        </w:tc>
        <w:tc>
          <w:tcPr>
            <w:tcW w:w="7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Technology (Germany)</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7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120" w:type="dxa"/>
            <w:vAlign w:val="bottom"/>
            <w:gridSpan w:val="2"/>
          </w:tcPr>
          <w:p>
            <w:pPr>
              <w:ind w:left="500"/>
              <w:spacing w:after="0"/>
              <w:rPr>
                <w:sz w:val="20"/>
                <w:szCs w:val="20"/>
                <w:color w:val="auto"/>
              </w:rPr>
            </w:pPr>
            <w:r>
              <w:rPr>
                <w:rFonts w:ascii="Arial" w:cs="Arial" w:eastAsia="Arial" w:hAnsi="Arial"/>
                <w:sz w:val="18"/>
                <w:szCs w:val="18"/>
                <w:b w:val="1"/>
                <w:bCs w:val="1"/>
                <w:color w:val="auto"/>
              </w:rPr>
              <w:t>Name</w:t>
            </w:r>
          </w:p>
        </w:tc>
        <w:tc>
          <w:tcPr>
            <w:tcW w:w="7640" w:type="dxa"/>
            <w:vAlign w:val="bottom"/>
          </w:tcPr>
          <w:p>
            <w:pPr>
              <w:ind w:left="800"/>
              <w:spacing w:after="0"/>
              <w:rPr>
                <w:sz w:val="20"/>
                <w:szCs w:val="20"/>
                <w:color w:val="auto"/>
              </w:rPr>
            </w:pPr>
            <w:r>
              <w:rPr>
                <w:rFonts w:ascii="Arial" w:cs="Arial" w:eastAsia="Arial" w:hAnsi="Arial"/>
                <w:sz w:val="18"/>
                <w:szCs w:val="18"/>
                <w:b w:val="1"/>
                <w:bCs w:val="1"/>
                <w:color w:val="auto"/>
                <w:w w:val="98"/>
              </w:rPr>
              <w:t>Present Principal Occupation or Employment and Name and Principal Address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640" w:type="dxa"/>
            <w:vAlign w:val="bottom"/>
          </w:tcPr>
          <w:p>
            <w:pPr>
              <w:ind w:left="800"/>
              <w:spacing w:after="0"/>
              <w:rPr>
                <w:sz w:val="20"/>
                <w:szCs w:val="20"/>
                <w:color w:val="auto"/>
              </w:rPr>
            </w:pPr>
            <w:r>
              <w:rPr>
                <w:rFonts w:ascii="Arial" w:cs="Arial" w:eastAsia="Arial" w:hAnsi="Arial"/>
                <w:sz w:val="18"/>
                <w:szCs w:val="18"/>
                <w:b w:val="1"/>
                <w:bCs w:val="1"/>
                <w:color w:val="auto"/>
              </w:rPr>
              <w:t>Corporation in which Employment is Conducted at Sanofi</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Olivier Brandicourt</w:t>
            </w:r>
          </w:p>
        </w:tc>
        <w:tc>
          <w:tcPr>
            <w:tcW w:w="7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Chief Executive Officer of Sanofi</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Olivier Charmeil</w:t>
            </w:r>
          </w:p>
        </w:tc>
        <w:tc>
          <w:tcPr>
            <w:tcW w:w="7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Executive Vice President, Vaccines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Jérôme Contamine</w:t>
            </w:r>
          </w:p>
        </w:tc>
        <w:tc>
          <w:tcPr>
            <w:tcW w:w="7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Executive Vice President, Chief Financial Officer</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Peter Guenter</w:t>
            </w:r>
          </w:p>
        </w:tc>
        <w:tc>
          <w:tcPr>
            <w:tcW w:w="764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rPr>
              <w:t>Executive Vice President, Global Commercial Operations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Belgian citizenship</w:t>
            </w:r>
          </w:p>
        </w:tc>
        <w:tc>
          <w:tcPr>
            <w:tcW w:w="7640" w:type="dxa"/>
            <w:vAlign w:val="bottom"/>
            <w:shd w:val="clear" w:color="auto" w:fill="CCEEFF"/>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Carsten Hellmann</w:t>
            </w:r>
          </w:p>
        </w:tc>
        <w:tc>
          <w:tcPr>
            <w:tcW w:w="764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rPr>
              <w:t>Executive Vice President, Merial</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Danish citizenship</w:t>
            </w:r>
          </w:p>
        </w:tc>
        <w:tc>
          <w:tcPr>
            <w:tcW w:w="7640" w:type="dxa"/>
            <w:vAlign w:val="bottom"/>
            <w:shd w:val="clear" w:color="auto" w:fill="CCEEFF"/>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Suresh Kumar</w:t>
            </w:r>
          </w:p>
        </w:tc>
        <w:tc>
          <w:tcPr>
            <w:tcW w:w="764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rPr>
              <w:t>Executive Vice President, External Affairs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U.S. citizenship</w:t>
            </w:r>
          </w:p>
        </w:tc>
        <w:tc>
          <w:tcPr>
            <w:tcW w:w="7640" w:type="dxa"/>
            <w:vAlign w:val="bottom"/>
            <w:shd w:val="clear" w:color="auto" w:fill="CCEEFF"/>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Karen Linehan</w:t>
            </w:r>
          </w:p>
        </w:tc>
        <w:tc>
          <w:tcPr>
            <w:tcW w:w="764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rPr>
              <w:t>Executive Vice President, Legal Affairs and General Counsel</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U.S. and Irish citizenship</w:t>
            </w:r>
          </w:p>
        </w:tc>
        <w:tc>
          <w:tcPr>
            <w:tcW w:w="7640" w:type="dxa"/>
            <w:vAlign w:val="bottom"/>
            <w:shd w:val="clear" w:color="auto" w:fill="CCEEFF"/>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Philippe Luscan</w:t>
            </w:r>
          </w:p>
        </w:tc>
        <w:tc>
          <w:tcPr>
            <w:tcW w:w="7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Executive Vice President, Global Industrial Affairs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640" w:type="dxa"/>
            <w:vAlign w:val="bottom"/>
          </w:tcPr>
          <w:p>
            <w:pPr>
              <w:ind w:left="2560"/>
              <w:spacing w:after="0"/>
              <w:rPr>
                <w:sz w:val="20"/>
                <w:szCs w:val="20"/>
                <w:color w:val="auto"/>
              </w:rPr>
            </w:pPr>
            <w:r>
              <w:rPr>
                <w:rFonts w:ascii="Arial" w:cs="Arial" w:eastAsia="Arial" w:hAnsi="Arial"/>
                <w:sz w:val="14"/>
                <w:szCs w:val="14"/>
                <w:color w:val="auto"/>
              </w:rPr>
              <w:t>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7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gridSpan w:val="2"/>
          </w:tcPr>
          <w:p>
            <w:pPr>
              <w:ind w:left="480"/>
              <w:spacing w:after="0"/>
              <w:rPr>
                <w:sz w:val="20"/>
                <w:szCs w:val="20"/>
                <w:color w:val="auto"/>
              </w:rPr>
            </w:pPr>
            <w:r>
              <w:rPr>
                <w:rFonts w:ascii="Arial" w:cs="Arial" w:eastAsia="Arial" w:hAnsi="Arial"/>
                <w:sz w:val="18"/>
                <w:szCs w:val="18"/>
                <w:b w:val="1"/>
                <w:bCs w:val="1"/>
                <w:color w:val="auto"/>
              </w:rPr>
              <w:t>Name</w:t>
            </w:r>
          </w:p>
        </w:tc>
        <w:tc>
          <w:tcPr>
            <w:tcW w:w="7540" w:type="dxa"/>
            <w:vAlign w:val="bottom"/>
          </w:tcPr>
          <w:p>
            <w:pPr>
              <w:ind w:left="700"/>
              <w:spacing w:after="0"/>
              <w:rPr>
                <w:sz w:val="20"/>
                <w:szCs w:val="20"/>
                <w:color w:val="auto"/>
              </w:rPr>
            </w:pPr>
            <w:r>
              <w:rPr>
                <w:rFonts w:ascii="Arial" w:cs="Arial" w:eastAsia="Arial" w:hAnsi="Arial"/>
                <w:sz w:val="18"/>
                <w:szCs w:val="18"/>
                <w:b w:val="1"/>
                <w:bCs w:val="1"/>
                <w:color w:val="auto"/>
                <w:w w:val="98"/>
              </w:rPr>
              <w:t>Present Principal Occupation or Employment and Name and Principal Address of</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540" w:type="dxa"/>
            <w:vAlign w:val="bottom"/>
          </w:tcPr>
          <w:p>
            <w:pPr>
              <w:ind w:left="700"/>
              <w:spacing w:after="0"/>
              <w:rPr>
                <w:sz w:val="20"/>
                <w:szCs w:val="20"/>
                <w:color w:val="auto"/>
              </w:rPr>
            </w:pPr>
            <w:r>
              <w:rPr>
                <w:rFonts w:ascii="Arial" w:cs="Arial" w:eastAsia="Arial" w:hAnsi="Arial"/>
                <w:sz w:val="18"/>
                <w:szCs w:val="18"/>
                <w:b w:val="1"/>
                <w:bCs w:val="1"/>
                <w:color w:val="auto"/>
              </w:rPr>
              <w:t>Corporation in which Employment is Conducted at Sanofi</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Meeker</w:t>
            </w:r>
          </w:p>
        </w:tc>
        <w:tc>
          <w:tcPr>
            <w:tcW w:w="75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Executive Vice President &amp; Chief Executive Officer Genzyme</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U.S. citizenship</w:t>
            </w:r>
          </w:p>
        </w:tc>
        <w:tc>
          <w:tcPr>
            <w:tcW w:w="7540" w:type="dxa"/>
            <w:vAlign w:val="bottom"/>
            <w:shd w:val="clear" w:color="auto" w:fill="CCEEFF"/>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Business address :</w:t>
            </w:r>
          </w:p>
        </w:tc>
        <w:tc>
          <w:tcPr>
            <w:tcW w:w="754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500 Kendall Street</w:t>
            </w:r>
          </w:p>
        </w:tc>
        <w:tc>
          <w:tcPr>
            <w:tcW w:w="754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Cambridge, MA 02142</w:t>
            </w:r>
          </w:p>
        </w:tc>
        <w:tc>
          <w:tcPr>
            <w:tcW w:w="7540" w:type="dxa"/>
            <w:vAlign w:val="bottom"/>
            <w:shd w:val="clear" w:color="auto" w:fill="CCEEFF"/>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Roberto Pucci</w:t>
            </w:r>
          </w:p>
        </w:tc>
        <w:tc>
          <w:tcPr>
            <w:tcW w:w="75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Executive Vice President, Human Resources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Italian and Swiss citizenship</w:t>
            </w:r>
          </w:p>
        </w:tc>
        <w:tc>
          <w:tcPr>
            <w:tcW w:w="7540" w:type="dxa"/>
            <w:vAlign w:val="bottom"/>
            <w:shd w:val="clear" w:color="auto" w:fill="CCEEFF"/>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Pascale Witz</w:t>
            </w:r>
          </w:p>
        </w:tc>
        <w:tc>
          <w:tcPr>
            <w:tcW w:w="7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Executive Vice President, Global Divisions &amp; Strategic Commercial Development</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Elias Zerhouni</w:t>
            </w:r>
          </w:p>
        </w:tc>
        <w:tc>
          <w:tcPr>
            <w:tcW w:w="75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President, Global Research and Development</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U.S. citizenship</w:t>
            </w:r>
          </w:p>
        </w:tc>
        <w:tc>
          <w:tcPr>
            <w:tcW w:w="7540" w:type="dxa"/>
            <w:vAlign w:val="bottom"/>
            <w:shd w:val="clear" w:color="auto" w:fill="CCEEFF"/>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540" w:type="dxa"/>
            <w:vAlign w:val="bottom"/>
          </w:tcPr>
          <w:p>
            <w:pPr>
              <w:ind w:left="2460"/>
              <w:spacing w:after="0"/>
              <w:rPr>
                <w:sz w:val="20"/>
                <w:szCs w:val="20"/>
                <w:color w:val="auto"/>
              </w:rPr>
            </w:pPr>
            <w:r>
              <w:rPr>
                <w:rFonts w:ascii="Arial" w:cs="Arial" w:eastAsia="Arial" w:hAnsi="Arial"/>
                <w:sz w:val="14"/>
                <w:szCs w:val="14"/>
                <w:color w:val="auto"/>
              </w:rPr>
              <w:t>8</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75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80" w:type="dxa"/>
            <w:vAlign w:val="bottom"/>
            <w:tcBorders>
              <w:top w:val="single" w:sz="8" w:color="auto"/>
            </w:tcBorders>
            <w:shd w:val="clear" w:color="auto" w:fill="808080"/>
          </w:tcPr>
          <w:p>
            <w:pPr>
              <w:spacing w:after="0" w:line="20" w:lineRule="exact"/>
              <w:rPr>
                <w:sz w:val="1"/>
                <w:szCs w:val="1"/>
                <w:color w:val="auto"/>
              </w:rPr>
            </w:pPr>
          </w:p>
        </w:tc>
        <w:tc>
          <w:tcPr>
            <w:tcW w:w="2720" w:type="dxa"/>
            <w:vAlign w:val="bottom"/>
            <w:tcBorders>
              <w:top w:val="single" w:sz="8" w:color="auto"/>
            </w:tcBorders>
            <w:shd w:val="clear" w:color="auto" w:fill="808080"/>
          </w:tcPr>
          <w:p>
            <w:pPr>
              <w:spacing w:after="0" w:line="20" w:lineRule="exact"/>
              <w:rPr>
                <w:sz w:val="1"/>
                <w:szCs w:val="1"/>
                <w:color w:val="auto"/>
              </w:rPr>
            </w:pPr>
          </w:p>
        </w:tc>
        <w:tc>
          <w:tcPr>
            <w:tcW w:w="7540" w:type="dxa"/>
            <w:vAlign w:val="bottom"/>
            <w:tcBorders>
              <w:top w:val="single" w:sz="8" w:color="auto"/>
            </w:tcBorders>
            <w:shd w:val="clear" w:color="auto" w:fill="808080"/>
          </w:tcPr>
          <w:p>
            <w:pPr>
              <w:spacing w:after="0" w:line="20" w:lineRule="exact"/>
              <w:rPr>
                <w:sz w:val="1"/>
                <w:szCs w:val="1"/>
                <w:color w:val="auto"/>
              </w:rPr>
            </w:pPr>
          </w:p>
        </w:tc>
        <w:tc>
          <w:tcPr>
            <w:tcW w:w="64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2019-12-17T06:35:40Z</dcterms:created>
  <dcterms:modified xsi:type="dcterms:W3CDTF">2019-12-17T06:35:40Z</dcterms:modified>
</cp:coreProperties>
</file>