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17, 2014</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2080" w:type="dxa"/>
            <w:vAlign w:val="bottom"/>
          </w:tcPr>
          <w:p>
            <w:pPr>
              <w:jc w:val="center"/>
              <w:ind w:right="62"/>
              <w:spacing w:after="0"/>
              <w:rPr>
                <w:sz w:val="20"/>
                <w:szCs w:val="20"/>
                <w:color w:val="auto"/>
              </w:rPr>
            </w:pPr>
            <w:r>
              <w:rPr>
                <w:rFonts w:ascii="Arial" w:cs="Arial" w:eastAsia="Arial" w:hAnsi="Arial"/>
                <w:sz w:val="18"/>
                <w:szCs w:val="18"/>
                <w:b w:val="1"/>
                <w:bCs w:val="1"/>
                <w:color w:val="auto"/>
                <w:w w:val="95"/>
              </w:rPr>
              <w:t>New York</w:t>
            </w:r>
          </w:p>
        </w:tc>
        <w:tc>
          <w:tcPr>
            <w:tcW w:w="5220" w:type="dxa"/>
            <w:vAlign w:val="bottom"/>
            <w:gridSpan w:val="3"/>
          </w:tcPr>
          <w:p>
            <w:pPr>
              <w:jc w:val="center"/>
              <w:ind w:left="3994"/>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2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Incorporation or Organization)</w:t>
            </w:r>
          </w:p>
        </w:tc>
        <w:tc>
          <w:tcPr>
            <w:tcW w:w="5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3"/>
              </w:rPr>
              <w:t>777 Old Saw Mill River Road</w:t>
            </w:r>
          </w:p>
        </w:tc>
      </w:tr>
      <w:tr>
        <w:trPr>
          <w:trHeight w:val="212"/>
        </w:trPr>
        <w:tc>
          <w:tcPr>
            <w:tcW w:w="2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8"/>
                <w:szCs w:val="18"/>
                <w:b w:val="1"/>
                <w:bCs w:val="1"/>
                <w:color w:val="auto"/>
                <w:w w:val="94"/>
              </w:rPr>
              <w:t>Tarrytown, NY 10591-6707</w:t>
            </w:r>
          </w:p>
        </w:tc>
      </w:tr>
      <w:tr>
        <w:trPr>
          <w:trHeight w:val="186"/>
        </w:trPr>
        <w:tc>
          <w:tcPr>
            <w:tcW w:w="2080" w:type="dxa"/>
            <w:vAlign w:val="bottom"/>
          </w:tcPr>
          <w:p>
            <w:pPr>
              <w:spacing w:after="0"/>
              <w:rPr>
                <w:sz w:val="16"/>
                <w:szCs w:val="16"/>
                <w:color w:val="auto"/>
              </w:rPr>
            </w:pPr>
          </w:p>
        </w:tc>
        <w:tc>
          <w:tcPr>
            <w:tcW w:w="5220" w:type="dxa"/>
            <w:vAlign w:val="bottom"/>
            <w:gridSpan w:val="3"/>
          </w:tcPr>
          <w:p>
            <w:pPr>
              <w:jc w:val="center"/>
              <w:ind w:right="1708"/>
              <w:spacing w:after="0"/>
              <w:rPr>
                <w:sz w:val="20"/>
                <w:szCs w:val="20"/>
                <w:color w:val="auto"/>
              </w:rPr>
            </w:pPr>
            <w:r>
              <w:rPr>
                <w:rFonts w:ascii="Arial" w:cs="Arial" w:eastAsia="Arial" w:hAnsi="Arial"/>
                <w:sz w:val="14"/>
                <w:szCs w:val="14"/>
                <w:b w:val="1"/>
                <w:bCs w:val="1"/>
                <w:color w:val="auto"/>
                <w:w w:val="93"/>
              </w:rPr>
              <w:t>(Address of Principal Executive Offices) (Zip Code)</w:t>
            </w:r>
          </w:p>
        </w:tc>
      </w:tr>
      <w:tr>
        <w:trPr>
          <w:trHeight w:val="336"/>
        </w:trPr>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2080" w:type="dxa"/>
            <w:vAlign w:val="bottom"/>
          </w:tcPr>
          <w:p>
            <w:pPr>
              <w:spacing w:after="0"/>
              <w:rPr>
                <w:sz w:val="24"/>
                <w:szCs w:val="24"/>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89"/>
              </w:rPr>
              <w:t>Regeneron Pharmaceuticals, Inc.</w:t>
            </w:r>
          </w:p>
        </w:tc>
      </w:tr>
      <w:tr>
        <w:trPr>
          <w:trHeight w:val="212"/>
        </w:trPr>
        <w:tc>
          <w:tcPr>
            <w:tcW w:w="2080" w:type="dxa"/>
            <w:vAlign w:val="bottom"/>
          </w:tcPr>
          <w:p>
            <w:pPr>
              <w:spacing w:after="0"/>
              <w:rPr>
                <w:sz w:val="18"/>
                <w:szCs w:val="18"/>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8"/>
                <w:szCs w:val="18"/>
                <w:b w:val="1"/>
                <w:bCs w:val="1"/>
                <w:color w:val="auto"/>
                <w:w w:val="91"/>
              </w:rPr>
              <w:t>2014 Long-Term Incentive Plan</w:t>
            </w:r>
          </w:p>
        </w:tc>
      </w:tr>
      <w:tr>
        <w:trPr>
          <w:trHeight w:val="186"/>
        </w:trPr>
        <w:tc>
          <w:tcPr>
            <w:tcW w:w="2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4"/>
                <w:szCs w:val="14"/>
                <w:b w:val="1"/>
                <w:bCs w:val="1"/>
                <w:color w:val="auto"/>
                <w:w w:val="95"/>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Tarrytown, New York 10591-6707</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Goldschmidt,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Four Times Square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735-2000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17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60" w:type="dxa"/>
            <w:vAlign w:val="bottom"/>
            <w:gridSpan w:val="2"/>
          </w:tcPr>
          <w:p>
            <w:pPr>
              <w:ind w:left="540"/>
              <w:spacing w:after="0"/>
              <w:rPr>
                <w:sz w:val="20"/>
                <w:szCs w:val="20"/>
                <w:color w:val="auto"/>
              </w:rPr>
            </w:pPr>
            <w:r>
              <w:rPr>
                <w:rFonts w:ascii="Arial" w:cs="Arial" w:eastAsia="Arial" w:hAnsi="Arial"/>
                <w:sz w:val="18"/>
                <w:szCs w:val="18"/>
                <w:color w:val="auto"/>
                <w:w w:val="92"/>
              </w:rPr>
              <w:t>Accelerated filer</w:t>
            </w:r>
          </w:p>
        </w:tc>
        <w:tc>
          <w:tcPr>
            <w:tcW w:w="1120" w:type="dxa"/>
            <w:vAlign w:val="bottom"/>
          </w:tcPr>
          <w:p>
            <w:pPr>
              <w:spacing w:after="0"/>
              <w:rPr>
                <w:sz w:val="24"/>
                <w:szCs w:val="24"/>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17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80" w:type="dxa"/>
            <w:vAlign w:val="bottom"/>
            <w:gridSpan w:val="3"/>
          </w:tcPr>
          <w:p>
            <w:pPr>
              <w:ind w:left="54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60" w:type="dxa"/>
            <w:vAlign w:val="bottom"/>
            <w:gridSpan w:val="5"/>
          </w:tcPr>
          <w:p>
            <w:pPr>
              <w:ind w:left="420"/>
              <w:spacing w:after="0"/>
              <w:rPr>
                <w:sz w:val="20"/>
                <w:szCs w:val="20"/>
                <w:color w:val="auto"/>
              </w:rPr>
            </w:pPr>
            <w:r>
              <w:rPr>
                <w:rFonts w:ascii="Arial" w:cs="Arial" w:eastAsia="Arial" w:hAnsi="Arial"/>
                <w:sz w:val="18"/>
                <w:szCs w:val="18"/>
                <w:b w:val="1"/>
                <w:bCs w:val="1"/>
                <w:color w:val="auto"/>
              </w:rPr>
              <w:t>CALCULATION OF REGISTRATION FEE</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9"/>
                <w:szCs w:val="9"/>
                <w:color w:val="auto"/>
              </w:rPr>
            </w:pPr>
          </w:p>
        </w:tc>
        <w:tc>
          <w:tcPr>
            <w:tcW w:w="1420" w:type="dxa"/>
            <w:vAlign w:val="bottom"/>
            <w:tcBorders>
              <w:right w:val="single" w:sz="8" w:color="auto"/>
            </w:tcBorders>
          </w:tcPr>
          <w:p>
            <w:pPr>
              <w:jc w:val="center"/>
              <w:ind w:right="6"/>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ind w:left="62"/>
              <w:spacing w:after="0" w:line="106" w:lineRule="exact"/>
              <w:rPr>
                <w:sz w:val="20"/>
                <w:szCs w:val="20"/>
                <w:color w:val="auto"/>
              </w:rPr>
            </w:pPr>
            <w:r>
              <w:rPr>
                <w:rFonts w:ascii="Arial" w:cs="Arial" w:eastAsia="Arial" w:hAnsi="Arial"/>
                <w:sz w:val="12"/>
                <w:szCs w:val="12"/>
                <w:b w:val="1"/>
                <w:bCs w:val="1"/>
                <w:color w:val="auto"/>
              </w:rPr>
              <w:t>Proposed</w:t>
            </w: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Borders>
              <w:right w:val="single" w:sz="8" w:color="auto"/>
            </w:tcBorders>
          </w:tcPr>
          <w:p>
            <w:pPr>
              <w:jc w:val="center"/>
              <w:ind w:right="26"/>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ind w:left="62"/>
              <w:spacing w:after="0" w:line="149"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72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Title of Securities</w:t>
            </w:r>
          </w:p>
        </w:tc>
        <w:tc>
          <w:tcPr>
            <w:tcW w:w="96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ind w:left="4"/>
              <w:spacing w:after="0" w:line="158" w:lineRule="exact"/>
              <w:rPr>
                <w:sz w:val="20"/>
                <w:szCs w:val="20"/>
                <w:color w:val="auto"/>
              </w:rPr>
            </w:pPr>
            <w:r>
              <w:rPr>
                <w:rFonts w:ascii="Arial" w:cs="Arial" w:eastAsia="Arial" w:hAnsi="Arial"/>
                <w:sz w:val="14"/>
                <w:szCs w:val="14"/>
                <w:b w:val="1"/>
                <w:bCs w:val="1"/>
                <w:color w:val="auto"/>
                <w:w w:val="89"/>
              </w:rPr>
              <w:t>to be</w:t>
            </w:r>
          </w:p>
        </w:tc>
        <w:tc>
          <w:tcPr>
            <w:tcW w:w="160" w:type="dxa"/>
            <w:vAlign w:val="bottom"/>
          </w:tcPr>
          <w:p>
            <w:pPr>
              <w:spacing w:after="0"/>
              <w:rPr>
                <w:sz w:val="13"/>
                <w:szCs w:val="13"/>
                <w:color w:val="auto"/>
              </w:rPr>
            </w:pPr>
          </w:p>
        </w:tc>
        <w:tc>
          <w:tcPr>
            <w:tcW w:w="1420" w:type="dxa"/>
            <w:vAlign w:val="bottom"/>
            <w:tcBorders>
              <w:right w:val="single" w:sz="8" w:color="auto"/>
            </w:tcBorders>
          </w:tcPr>
          <w:p>
            <w:pPr>
              <w:jc w:val="center"/>
              <w:ind w:right="2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ind w:left="62"/>
              <w:spacing w:after="0" w:line="158"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3"/>
                <w:szCs w:val="13"/>
                <w:color w:val="auto"/>
              </w:rPr>
            </w:pPr>
          </w:p>
        </w:tc>
        <w:tc>
          <w:tcPr>
            <w:tcW w:w="112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 be Registered</w:t>
            </w: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2"/>
              </w:rPr>
              <w:t>Registered (1)</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3"/>
              </w:rPr>
              <w:t>per Share (2)</w:t>
            </w:r>
          </w:p>
        </w:tc>
        <w:tc>
          <w:tcPr>
            <w:tcW w:w="1540" w:type="dxa"/>
            <w:vAlign w:val="bottom"/>
            <w:tcBorders>
              <w:bottom w:val="single" w:sz="8" w:color="auto"/>
              <w:right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5"/>
              </w:rPr>
              <w:t>Offering Price (2)</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1600" w:type="dxa"/>
            <w:vAlign w:val="bottom"/>
            <w:tcBorders>
              <w:bottom w:val="single" w:sz="8" w:color="auto"/>
              <w:right w:val="single" w:sz="8" w:color="auto"/>
            </w:tcBorders>
            <w:gridSpan w:val="2"/>
          </w:tcPr>
          <w:p>
            <w:pPr>
              <w:spacing w:after="0"/>
              <w:rPr>
                <w:sz w:val="18"/>
                <w:szCs w:val="18"/>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4,485,333</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8"/>
                <w:szCs w:val="18"/>
                <w:color w:val="auto"/>
                <w:w w:val="89"/>
              </w:rPr>
              <w:t>$343.95</w:t>
            </w:r>
          </w:p>
        </w:tc>
        <w:tc>
          <w:tcPr>
            <w:tcW w:w="1540" w:type="dxa"/>
            <w:vAlign w:val="bottom"/>
            <w:tcBorders>
              <w:bottom w:val="single" w:sz="8" w:color="auto"/>
              <w:right w:val="single" w:sz="8" w:color="auto"/>
            </w:tcBorders>
          </w:tcPr>
          <w:p>
            <w:pPr>
              <w:jc w:val="center"/>
              <w:ind w:left="62"/>
              <w:spacing w:after="0"/>
              <w:rPr>
                <w:sz w:val="20"/>
                <w:szCs w:val="20"/>
                <w:color w:val="auto"/>
              </w:rPr>
            </w:pPr>
            <w:r>
              <w:rPr>
                <w:rFonts w:ascii="Arial" w:cs="Arial" w:eastAsia="Arial" w:hAnsi="Arial"/>
                <w:sz w:val="18"/>
                <w:szCs w:val="18"/>
                <w:color w:val="auto"/>
                <w:w w:val="90"/>
              </w:rPr>
              <w:t>$1,542,707,858.69</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$198,700.77</w:t>
            </w: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9" w:right="239" w:bottom="0" w:gutter="0" w:footer="0" w:header="0"/>
        </w:sect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also registers, in addition to the</w:t>
      </w:r>
    </w:p>
    <w:p>
      <w:pPr>
        <w:sectPr>
          <w:pgSz w:w="11900" w:h="16838" w:orient="portrait"/>
          <w:cols w:equalWidth="0" w:num="1">
            <w:col w:w="11420"/>
          </w:cols>
          <w:pgMar w:left="240" w:top="229" w:right="239" w:bottom="0" w:gutter="0" w:footer="0" w:header="0"/>
          <w:type w:val="continuous"/>
        </w:sectPr>
      </w:pPr>
    </w:p>
    <w:bookmarkStart w:id="1" w:name="page2"/>
    <w:bookmarkEnd w:id="1"/>
    <w:p>
      <w:pPr>
        <w:ind w:left="452"/>
        <w:spacing w:after="0" w:line="269" w:lineRule="auto"/>
        <w:rPr>
          <w:sz w:val="20"/>
          <w:szCs w:val="20"/>
          <w:color w:val="auto"/>
        </w:rPr>
      </w:pPr>
      <w:r>
        <w:rPr>
          <w:rFonts w:ascii="Arial" w:cs="Arial" w:eastAsia="Arial" w:hAnsi="Arial"/>
          <w:sz w:val="17"/>
          <w:szCs w:val="17"/>
          <w:color w:val="auto"/>
        </w:rPr>
        <w:t>number of shares stated above, an indeterminate number of additional shares of Common Stock, par value $0.001 per share (“Common Stock”), of the Registrant which may become issuable under the Regeneron Pharmaceuticals, Inc. 2014 Long-Term Incentive Plan in connection with certain corporate transactions or events, including any recapitalization, reorganization, merger, consolidation, spin-off, stock dividend, stock split or any other similar transaction effected which results in an increase in the number of the outstanding shares of Common Stock.</w:t>
      </w:r>
    </w:p>
    <w:p>
      <w:pPr>
        <w:spacing w:after="0" w:line="2" w:lineRule="exact"/>
        <w:rPr>
          <w:sz w:val="20"/>
          <w:szCs w:val="20"/>
          <w:color w:val="auto"/>
        </w:rPr>
      </w:pPr>
    </w:p>
    <w:p>
      <w:pPr>
        <w:ind w:left="452" w:hanging="452"/>
        <w:spacing w:after="0" w:line="323" w:lineRule="auto"/>
        <w:tabs>
          <w:tab w:leader="none" w:pos="452"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paragraphs (c) and (h) of Rule 457 under the Securities Act solely for the purpose of calculating the registration fee based upon the average of the high and low sales prices per share of Common Stock as reported on the Nasdaq Global Market on September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This Registration Statement on Form S-8 (this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is filed by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the “</w:t>
      </w:r>
      <w:r>
        <w:rPr>
          <w:rFonts w:ascii="Arial" w:cs="Arial" w:eastAsia="Arial" w:hAnsi="Arial"/>
          <w:sz w:val="17"/>
          <w:szCs w:val="17"/>
          <w:u w:val="single" w:color="auto"/>
          <w:color w:val="auto"/>
        </w:rPr>
        <w:t>Company</w:t>
      </w:r>
      <w:r>
        <w:rPr>
          <w:rFonts w:ascii="Arial" w:cs="Arial" w:eastAsia="Arial" w:hAnsi="Arial"/>
          <w:sz w:val="17"/>
          <w:szCs w:val="17"/>
          <w:color w:val="auto"/>
        </w:rPr>
        <w:t>” or the “</w:t>
      </w:r>
      <w:r>
        <w:rPr>
          <w:rFonts w:ascii="Arial" w:cs="Arial" w:eastAsia="Arial" w:hAnsi="Arial"/>
          <w:sz w:val="17"/>
          <w:szCs w:val="17"/>
          <w:u w:val="single" w:color="auto"/>
          <w:color w:val="auto"/>
        </w:rPr>
        <w:t>Registrant</w:t>
      </w:r>
      <w:r>
        <w:rPr>
          <w:rFonts w:ascii="Arial" w:cs="Arial" w:eastAsia="Arial" w:hAnsi="Arial"/>
          <w:sz w:val="17"/>
          <w:szCs w:val="17"/>
          <w:color w:val="auto"/>
        </w:rPr>
        <w:t>”) to register an additional 4,485,333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Regeneron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issuable under the Regeneron Pharmaceuticals, Inc. 2014 Long-Term Incentive Plan. The Shares are being registered in addition to the 12,000,000 shares of Common Stock previously registered pursuant to the Company’s Registration Statement on Form S-8 (Registration No. 333-196799)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June 16, 2014, as amended by Post-Effective Amendment No. 1 filed with the Commission on the date hereof (as so amended, the “</w:t>
      </w:r>
      <w:r>
        <w:rPr>
          <w:rFonts w:ascii="Arial" w:cs="Arial" w:eastAsia="Arial" w:hAnsi="Arial"/>
          <w:sz w:val="17"/>
          <w:szCs w:val="17"/>
          <w:u w:val="single" w:color="auto"/>
          <w:color w:val="auto"/>
        </w:rPr>
        <w:t>Prior Registration Statement</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Registration Statement relates to securities of the same class as that to which the Prior Registration Statement relates, and is submitted in accordance with General Instruction E to Form S-8. Pursuant to Instruction E of Form S-8, the contents of the Prior Registration Statement is incorporated by reference herein and made part hereof, except as amended hereby.</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 is made to the Exhibit Index below filed as part of this Registration Statement. Each such exhibit is incorporated herein by reference.</w:t>
      </w:r>
    </w:p>
    <w:p>
      <w:pPr>
        <w:sectPr>
          <w:pgSz w:w="11900" w:h="16838" w:orient="portrait"/>
          <w:cols w:equalWidth="0" w:num="1">
            <w:col w:w="11360"/>
          </w:cols>
          <w:pgMar w:left="240" w:top="270" w:right="2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Greenburgh, State of New York, on September 17,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Leonard S. Schleifer, Robert E. Landry, Douglas S. McCorkle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32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680" w:type="dxa"/>
            <w:vAlign w:val="bottom"/>
            <w:gridSpan w:val="3"/>
          </w:tcPr>
          <w:p>
            <w:pPr>
              <w:jc w:val="center"/>
              <w:ind w:left="113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/s/ LEONARD S. SCHLEIFER</w:t>
            </w: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President, Chief Executive Officer, and</w:t>
            </w:r>
          </w:p>
        </w:tc>
        <w:tc>
          <w:tcPr>
            <w:tcW w:w="2680" w:type="dxa"/>
            <w:vAlign w:val="bottom"/>
            <w:gridSpan w:val="3"/>
          </w:tcPr>
          <w:p>
            <w:pPr>
              <w:jc w:val="center"/>
              <w:ind w:left="1153"/>
              <w:spacing w:after="0"/>
              <w:rPr>
                <w:sz w:val="20"/>
                <w:szCs w:val="20"/>
                <w:color w:val="auto"/>
              </w:rPr>
            </w:pPr>
            <w:r>
              <w:rPr>
                <w:rFonts w:ascii="Arial" w:cs="Arial" w:eastAsia="Arial" w:hAnsi="Arial"/>
                <w:sz w:val="18"/>
                <w:szCs w:val="18"/>
                <w:color w:val="auto"/>
                <w:w w:val="88"/>
              </w:rPr>
              <w:t>September 17, 2014</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auto"/>
            </w:tcBorders>
            <w:gridSpan w:val="3"/>
            <w:vMerge w:val="continue"/>
          </w:tcPr>
          <w:p>
            <w:pPr>
              <w:spacing w:after="0"/>
              <w:rPr>
                <w:sz w:val="18"/>
                <w:szCs w:val="18"/>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(Principal Executive Officer)</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Senior Vice President, Finance and</w:t>
            </w:r>
          </w:p>
        </w:tc>
        <w:tc>
          <w:tcPr>
            <w:tcW w:w="2680" w:type="dxa"/>
            <w:vAlign w:val="bottom"/>
            <w:gridSpan w:val="3"/>
          </w:tcPr>
          <w:p>
            <w:pPr>
              <w:jc w:val="center"/>
              <w:ind w:left="1153"/>
              <w:spacing w:after="0"/>
              <w:rPr>
                <w:sz w:val="20"/>
                <w:szCs w:val="20"/>
                <w:color w:val="auto"/>
              </w:rPr>
            </w:pPr>
            <w:r>
              <w:rPr>
                <w:rFonts w:ascii="Arial" w:cs="Arial" w:eastAsia="Arial" w:hAnsi="Arial"/>
                <w:sz w:val="18"/>
                <w:szCs w:val="18"/>
                <w:color w:val="auto"/>
                <w:w w:val="88"/>
              </w:rPr>
              <w:t>September 17, 2014</w:t>
            </w:r>
          </w:p>
        </w:tc>
        <w:tc>
          <w:tcPr>
            <w:tcW w:w="0" w:type="dxa"/>
            <w:vAlign w:val="bottom"/>
          </w:tcPr>
          <w:p>
            <w:pPr>
              <w:spacing w:after="0"/>
              <w:rPr>
                <w:sz w:val="1"/>
                <w:szCs w:val="1"/>
                <w:color w:val="auto"/>
              </w:rPr>
            </w:pPr>
          </w:p>
        </w:tc>
      </w:tr>
      <w:tr>
        <w:trPr>
          <w:trHeight w:val="216"/>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/s/ ROBERT E. LANDRY</w:t>
            </w: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(Principal</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Borders>
              <w:bottom w:val="single" w:sz="8" w:color="auto"/>
            </w:tcBorders>
            <w:gridSpan w:val="3"/>
            <w:vMerge w:val="continue"/>
          </w:tcPr>
          <w:p>
            <w:pPr>
              <w:spacing w:after="0"/>
              <w:rPr>
                <w:sz w:val="18"/>
                <w:szCs w:val="18"/>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Financial Officer)</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Robert E. Landry</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Vice President, Controller, and</w:t>
            </w:r>
          </w:p>
        </w:tc>
        <w:tc>
          <w:tcPr>
            <w:tcW w:w="2680" w:type="dxa"/>
            <w:vAlign w:val="bottom"/>
            <w:gridSpan w:val="3"/>
          </w:tcPr>
          <w:p>
            <w:pPr>
              <w:jc w:val="center"/>
              <w:ind w:left="1153"/>
              <w:spacing w:after="0"/>
              <w:rPr>
                <w:sz w:val="20"/>
                <w:szCs w:val="20"/>
                <w:color w:val="auto"/>
              </w:rPr>
            </w:pPr>
            <w:r>
              <w:rPr>
                <w:rFonts w:ascii="Arial" w:cs="Arial" w:eastAsia="Arial" w:hAnsi="Arial"/>
                <w:sz w:val="18"/>
                <w:szCs w:val="18"/>
                <w:color w:val="auto"/>
                <w:w w:val="88"/>
              </w:rPr>
              <w:t>September 17, 2014</w:t>
            </w:r>
          </w:p>
        </w:tc>
        <w:tc>
          <w:tcPr>
            <w:tcW w:w="0" w:type="dxa"/>
            <w:vAlign w:val="bottom"/>
          </w:tcPr>
          <w:p>
            <w:pPr>
              <w:spacing w:after="0"/>
              <w:rPr>
                <w:sz w:val="1"/>
                <w:szCs w:val="1"/>
                <w:color w:val="auto"/>
              </w:rPr>
            </w:pPr>
          </w:p>
        </w:tc>
      </w:tr>
      <w:tr>
        <w:trPr>
          <w:trHeight w:val="216"/>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/s/ DOUGLAS S. McCORKLE</w:t>
            </w: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Assistant Treasurer (Principal</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tcBorders>
              <w:bottom w:val="single" w:sz="8" w:color="auto"/>
            </w:tcBorders>
            <w:gridSpan w:val="3"/>
            <w:vMerge w:val="continue"/>
          </w:tcPr>
          <w:p>
            <w:pPr>
              <w:spacing w:after="0"/>
              <w:rPr>
                <w:sz w:val="18"/>
                <w:szCs w:val="18"/>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Accounting Officer)</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Douglas S. McCorkle</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280" w:type="dxa"/>
            <w:vAlign w:val="bottom"/>
            <w:gridSpan w:val="3"/>
            <w:vMerge w:val="restart"/>
          </w:tcPr>
          <w:p>
            <w:pPr>
              <w:spacing w:after="0"/>
              <w:rPr>
                <w:sz w:val="20"/>
                <w:szCs w:val="20"/>
                <w:color w:val="auto"/>
              </w:rPr>
            </w:pPr>
            <w:r>
              <w:rPr>
                <w:rFonts w:ascii="Arial" w:cs="Arial" w:eastAsia="Arial" w:hAnsi="Arial"/>
                <w:sz w:val="18"/>
                <w:szCs w:val="18"/>
                <w:color w:val="auto"/>
              </w:rPr>
              <w:t>/s/ GEORGE D. YANCOPOULOS</w:t>
            </w: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Scientific Officer, President,</w:t>
            </w:r>
          </w:p>
        </w:tc>
        <w:tc>
          <w:tcPr>
            <w:tcW w:w="2680" w:type="dxa"/>
            <w:vAlign w:val="bottom"/>
            <w:gridSpan w:val="3"/>
          </w:tcPr>
          <w:p>
            <w:pPr>
              <w:jc w:val="center"/>
              <w:ind w:left="1153"/>
              <w:spacing w:after="0"/>
              <w:rPr>
                <w:sz w:val="20"/>
                <w:szCs w:val="20"/>
                <w:color w:val="auto"/>
              </w:rPr>
            </w:pPr>
            <w:r>
              <w:rPr>
                <w:rFonts w:ascii="Arial" w:cs="Arial" w:eastAsia="Arial" w:hAnsi="Arial"/>
                <w:sz w:val="18"/>
                <w:szCs w:val="18"/>
                <w:color w:val="auto"/>
                <w:w w:val="88"/>
              </w:rPr>
              <w:t>September 17, 2014</w:t>
            </w:r>
          </w:p>
        </w:tc>
        <w:tc>
          <w:tcPr>
            <w:tcW w:w="0" w:type="dxa"/>
            <w:vAlign w:val="bottom"/>
          </w:tcPr>
          <w:p>
            <w:pPr>
              <w:spacing w:after="0"/>
              <w:rPr>
                <w:sz w:val="1"/>
                <w:szCs w:val="1"/>
                <w:color w:val="auto"/>
              </w:rPr>
            </w:pPr>
          </w:p>
        </w:tc>
      </w:tr>
      <w:tr>
        <w:trPr>
          <w:trHeight w:val="222"/>
        </w:trPr>
        <w:tc>
          <w:tcPr>
            <w:tcW w:w="4280" w:type="dxa"/>
            <w:vAlign w:val="bottom"/>
            <w:tcBorders>
              <w:bottom w:val="single" w:sz="8" w:color="auto"/>
            </w:tcBorders>
            <w:gridSpan w:val="3"/>
            <w:vMerge w:val="continue"/>
          </w:tcPr>
          <w:p>
            <w:pPr>
              <w:spacing w:after="0"/>
              <w:rPr>
                <w:sz w:val="18"/>
                <w:szCs w:val="18"/>
                <w:color w:val="auto"/>
              </w:rPr>
            </w:pP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Regeneron Laboratories, and Director</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 ROY VAGELOS</w:t>
            </w: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w:t>
            </w:r>
          </w:p>
        </w:tc>
        <w:tc>
          <w:tcPr>
            <w:tcW w:w="2680" w:type="dxa"/>
            <w:vAlign w:val="bottom"/>
            <w:gridSpan w:val="3"/>
          </w:tcPr>
          <w:p>
            <w:pPr>
              <w:jc w:val="center"/>
              <w:ind w:left="1153"/>
              <w:spacing w:after="0"/>
              <w:rPr>
                <w:sz w:val="20"/>
                <w:szCs w:val="20"/>
                <w:color w:val="auto"/>
              </w:rPr>
            </w:pPr>
            <w:r>
              <w:rPr>
                <w:rFonts w:ascii="Arial" w:cs="Arial" w:eastAsia="Arial" w:hAnsi="Arial"/>
                <w:sz w:val="18"/>
                <w:szCs w:val="18"/>
                <w:color w:val="auto"/>
                <w:w w:val="88"/>
              </w:rPr>
              <w:t>September 17, 2014</w:t>
            </w:r>
          </w:p>
        </w:tc>
        <w:tc>
          <w:tcPr>
            <w:tcW w:w="0" w:type="dxa"/>
            <w:vAlign w:val="bottom"/>
          </w:tcPr>
          <w:p>
            <w:pPr>
              <w:spacing w:after="0"/>
              <w:rPr>
                <w:sz w:val="1"/>
                <w:szCs w:val="1"/>
                <w:color w:val="auto"/>
              </w:rPr>
            </w:pP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P. Roy Vagelos, M.D.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CHARLES A. BAKER</w:t>
            </w:r>
          </w:p>
        </w:tc>
        <w:tc>
          <w:tcPr>
            <w:tcW w:w="41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2680" w:type="dxa"/>
            <w:vAlign w:val="bottom"/>
            <w:gridSpan w:val="3"/>
          </w:tcPr>
          <w:p>
            <w:pPr>
              <w:jc w:val="center"/>
              <w:ind w:left="1153"/>
              <w:spacing w:after="0"/>
              <w:rPr>
                <w:sz w:val="20"/>
                <w:szCs w:val="20"/>
                <w:color w:val="auto"/>
              </w:rPr>
            </w:pPr>
            <w:r>
              <w:rPr>
                <w:rFonts w:ascii="Arial" w:cs="Arial" w:eastAsia="Arial" w:hAnsi="Arial"/>
                <w:sz w:val="18"/>
                <w:szCs w:val="18"/>
                <w:color w:val="auto"/>
                <w:w w:val="88"/>
              </w:rPr>
              <w:t>September 17, 2014</w:t>
            </w:r>
          </w:p>
        </w:tc>
        <w:tc>
          <w:tcPr>
            <w:tcW w:w="0" w:type="dxa"/>
            <w:vAlign w:val="bottom"/>
          </w:tcPr>
          <w:p>
            <w:pPr>
              <w:spacing w:after="0"/>
              <w:rPr>
                <w:sz w:val="1"/>
                <w:szCs w:val="1"/>
                <w:color w:val="auto"/>
              </w:rPr>
            </w:pP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Charles A. Baker</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32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4200" w:type="dxa"/>
            <w:vAlign w:val="bottom"/>
            <w:gridSpan w:val="3"/>
          </w:tcPr>
          <w:p>
            <w:pPr>
              <w:jc w:val="center"/>
              <w:ind w:left="26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S. BROWN</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ALFRED G. GILMAN</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Alfred G. Gilman, M.D., Ph.D.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L. GOLDSTEIN</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Joseph L. Goldstein, M.D.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A. INGRAM</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Robert A. Ingram</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CHRISTINE A. POON</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Christine A. Poon</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ARTHUR F. RYAN</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Arthur F. Ryan</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L. SING</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George L. Sing</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MARC TESSIER-LAVIGNE</w:t>
            </w:r>
          </w:p>
        </w:tc>
        <w:tc>
          <w:tcPr>
            <w:tcW w:w="2620" w:type="dxa"/>
            <w:vAlign w:val="bottom"/>
            <w:gridSpan w:val="2"/>
          </w:tcPr>
          <w:p>
            <w:pPr>
              <w:ind w:left="100"/>
              <w:spacing w:after="0"/>
              <w:rPr>
                <w:sz w:val="20"/>
                <w:szCs w:val="20"/>
                <w:color w:val="auto"/>
              </w:rPr>
            </w:pPr>
            <w:r>
              <w:rPr>
                <w:rFonts w:ascii="Arial" w:cs="Arial" w:eastAsia="Arial" w:hAnsi="Arial"/>
                <w:sz w:val="18"/>
                <w:szCs w:val="18"/>
                <w:i w:val="1"/>
                <w:iCs w:val="1"/>
                <w:color w:val="auto"/>
              </w:rPr>
              <w:t>Director</w:t>
            </w:r>
          </w:p>
        </w:tc>
        <w:tc>
          <w:tcPr>
            <w:tcW w:w="4200" w:type="dxa"/>
            <w:vAlign w:val="bottom"/>
            <w:gridSpan w:val="3"/>
          </w:tcPr>
          <w:p>
            <w:pPr>
              <w:jc w:val="center"/>
              <w:ind w:left="2672"/>
              <w:spacing w:after="0"/>
              <w:rPr>
                <w:sz w:val="20"/>
                <w:szCs w:val="20"/>
                <w:color w:val="auto"/>
              </w:rPr>
            </w:pPr>
            <w:r>
              <w:rPr>
                <w:rFonts w:ascii="Arial" w:cs="Arial" w:eastAsia="Arial" w:hAnsi="Arial"/>
                <w:sz w:val="18"/>
                <w:szCs w:val="18"/>
                <w:color w:val="auto"/>
                <w:w w:val="88"/>
              </w:rPr>
              <w:t>September 17, 2014</w:t>
            </w:r>
          </w:p>
        </w:tc>
      </w:tr>
      <w:tr>
        <w:trPr>
          <w:trHeight w:val="224"/>
        </w:trPr>
        <w:tc>
          <w:tcPr>
            <w:tcW w:w="4280" w:type="dxa"/>
            <w:vAlign w:val="bottom"/>
            <w:gridSpan w:val="3"/>
          </w:tcPr>
          <w:p>
            <w:pPr>
              <w:spacing w:after="0"/>
              <w:rPr>
                <w:sz w:val="20"/>
                <w:szCs w:val="20"/>
                <w:color w:val="auto"/>
              </w:rPr>
            </w:pPr>
            <w:r>
              <w:rPr>
                <w:rFonts w:ascii="Arial" w:cs="Arial" w:eastAsia="Arial" w:hAnsi="Arial"/>
                <w:sz w:val="18"/>
                <w:szCs w:val="18"/>
                <w:color w:val="auto"/>
              </w:rPr>
              <w:t>Marc Tessier-Lavigne, Ph.D.</w:t>
            </w:r>
          </w:p>
        </w:tc>
        <w:tc>
          <w:tcPr>
            <w:tcW w:w="2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ectPr>
          <w:pgSz w:w="11900" w:h="16838" w:orient="portrait"/>
          <w:cols w:equalWidth="0" w:num="1">
            <w:col w:w="11100"/>
          </w:cols>
          <w:pgMar w:left="240" w:top="265" w:right="5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62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71"/>
        </w:trPr>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10620" w:type="dxa"/>
            <w:vAlign w:val="bottom"/>
            <w:gridSpan w:val="3"/>
          </w:tcPr>
          <w:p>
            <w:pPr>
              <w:ind w:left="5380"/>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90"/>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1"/>
              </w:rPr>
              <w:t>Restated Certificate of Incorporation of the Registrant (incorporated herein by reference to Exhibit 3.1 to the Registrant’s Annual Report on</w:t>
            </w:r>
          </w:p>
        </w:tc>
      </w:tr>
      <w:tr>
        <w:trPr>
          <w:trHeight w:val="230"/>
        </w:trPr>
        <w:tc>
          <w:tcPr>
            <w:tcW w:w="520" w:type="dxa"/>
            <w:vAlign w:val="bottom"/>
          </w:tcPr>
          <w:p>
            <w:pPr>
              <w:spacing w:after="0"/>
              <w:rPr>
                <w:sz w:val="20"/>
                <w:szCs w:val="20"/>
                <w:color w:val="auto"/>
              </w:rPr>
            </w:pP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Form 10-K for the fiscal year ended December 31, 2007 filed with the Commission on February 27, 2008).</w:t>
            </w:r>
          </w:p>
        </w:tc>
      </w:tr>
      <w:tr>
        <w:trPr>
          <w:trHeight w:val="310"/>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4.2</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w w:val="92"/>
              </w:rPr>
              <w:t>By-Laws of the Registrant (incorporated herein by reference to Exhibit 99.1 to the Registrant’s Current Report on Form 8-K filed with the</w:t>
            </w:r>
          </w:p>
        </w:tc>
      </w:tr>
      <w:tr>
        <w:trPr>
          <w:trHeight w:val="230"/>
        </w:trPr>
        <w:tc>
          <w:tcPr>
            <w:tcW w:w="520" w:type="dxa"/>
            <w:vAlign w:val="bottom"/>
          </w:tcPr>
          <w:p>
            <w:pPr>
              <w:spacing w:after="0"/>
              <w:rPr>
                <w:sz w:val="20"/>
                <w:szCs w:val="20"/>
                <w:color w:val="auto"/>
              </w:rPr>
            </w:pP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Commission on November 13, 2007).</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Opinion of Skadden, Arps, Slate, Meagher &amp; Flom LLP.</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23.1</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520" w:type="dxa"/>
            <w:vAlign w:val="bottom"/>
          </w:tcPr>
          <w:p>
            <w:pPr>
              <w:jc w:val="right"/>
              <w:ind w:right="114"/>
              <w:spacing w:after="0"/>
              <w:rPr>
                <w:sz w:val="20"/>
                <w:szCs w:val="20"/>
                <w:color w:val="auto"/>
              </w:rPr>
            </w:pPr>
            <w:r>
              <w:rPr>
                <w:rFonts w:ascii="Arial" w:cs="Arial" w:eastAsia="Arial" w:hAnsi="Arial"/>
                <w:sz w:val="18"/>
                <w:szCs w:val="18"/>
                <w:color w:val="auto"/>
                <w:w w:val="85"/>
              </w:rPr>
              <w:t>23.2</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Consent of Skadden, Arps, Slate, Meagher &amp; Flom LLP (contained in Exhibit 5.1 to this Registration Statement).</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w:t>
            </w:r>
          </w:p>
        </w:tc>
        <w:tc>
          <w:tcPr>
            <w:tcW w:w="10620" w:type="dxa"/>
            <w:vAlign w:val="bottom"/>
            <w:gridSpan w:val="3"/>
          </w:tcPr>
          <w:p>
            <w:pPr>
              <w:ind w:left="560"/>
              <w:spacing w:after="0"/>
              <w:rPr>
                <w:sz w:val="20"/>
                <w:szCs w:val="20"/>
                <w:color w:val="auto"/>
              </w:rPr>
            </w:pPr>
            <w:r>
              <w:rPr>
                <w:rFonts w:ascii="Arial" w:cs="Arial" w:eastAsia="Arial" w:hAnsi="Arial"/>
                <w:sz w:val="18"/>
                <w:szCs w:val="18"/>
                <w:color w:val="auto"/>
              </w:rPr>
              <w:t>Power of Attorney (included on the signature page of this Registration Statement).</w:t>
            </w:r>
          </w:p>
        </w:tc>
      </w:tr>
    </w:tbl>
    <w:p>
      <w:pPr>
        <w:sectPr>
          <w:pgSz w:w="11900" w:h="16838" w:orient="portrait"/>
          <w:cols w:equalWidth="0" w:num="1">
            <w:col w:w="11140"/>
          </w:cols>
          <w:pgMar w:left="240" w:top="270" w:right="5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[Skadden, Arps, Slate, Meagher &amp; Flom LLP Letterhead]</w:t>
      </w:r>
    </w:p>
    <w:p>
      <w:pPr>
        <w:spacing w:after="0" w:line="225"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September 17,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We have acted as special counsel to Regeneron Pharmaceuticals, Inc., a New York corporation (the “Company”), in connection with the Registration Statement on Form S-8 of the Company (the “Registration Statement”) to be filed with the Securities and Exchange Commission (the “Commission”) under the Securities Act of 1933, as amended (the “Act”), on the date hereof, relating to the registration of 4,485,333 shares (the “Shares”) of the Company’s common stock, par value $0.001 per share (the “Common Stock”), issuable pursuant to the Company’s 2014 Long-Term Incentive Plan (the “Plan”).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being furnished in accordance with the requirements of Item 601(b)(5) of Regulation S-K under the Act.</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connection with this opinion, we have examined originals or copies, certified or otherwise identified to our satisfaction, of: (i) the Registration Statement in the form filed with the Commission on the date hereof; (ii) the Plan; (iii) the Restated Certificate of Incorporation of the Company, as amended to date and currently in effect and as certified by the Secretary of State of the State of New York; (iv) the By-Laws of the Company, as amended to date and currently in effect and as certified by the Secretary of the Company; (v) a specimen certificate representing the Common Stock; (vi) certain resolutions adopted on April 4, 2014 and September 15, 2014 by the Board of Directors of the Company relating to the Plan, the filing of the Registration Statement and certain related matters; and (vii) the Final Report of the Inspector of Election for the Company’s 2014 Annual Meeting of Shareholders, reflecting approval of the Plan (Proposal No. 4) by a majority of the votes cast in person or by proxy at such meeting.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set forth below.</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facsimile, electronic, certified or photostatic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 expressed herein that we did not independently establish or verify, we have relied upon statements and representations of officers and other representatives of the Company and others and of public officials.</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rendering the opinion set forth below, we have assumed that the certificates evidencing the Shares will be manually signed by one of the authorized officers of the transfer agent and registrar for the Common Stock and registered by such transfer agent and registrar and will conform to the specimen certificate examined by us evidencing the Common Stock. We have also assumed that each award agreement setting forth the terms of each grant of options or other award under the Plan will be consistent with the Plan, duly authorized, and if applicable, validly executed and delivered by the parties thereto, and that the Shares will be issued in accordance with the terms of the Plan for consideration in an amount at least equal to the par value of such Shares.</w:t>
      </w:r>
    </w:p>
    <w:p>
      <w:pPr>
        <w:spacing w:after="0" w:line="15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Members of our firm are admitted to the bar in the State of New York, and we do not express any opinion with respect to the law of any jurisdiction other than the corporate laws of the State of New York, and we do not express any opinion as to the effect of any other laws on the opinion stated herein.</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and subject to the foregoing, we are of the opinion that the Shares have been duly authorized by the Company and, when the Shares are issued and paid for in full in accordance with the terms and conditions of the Plan and any applicable award agreement, the Shares will be validly issued, fully paid and nonassessable.</w:t>
      </w:r>
    </w:p>
    <w:p>
      <w:pPr>
        <w:spacing w:after="0" w:line="181"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In giving this consent, we do not thereby admit that we are included in the category of persons whose consent is required under Section 7 of the Act or the rules and regulations of the Commission.</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420"/>
          </w:cols>
          <w:pgMar w:left="240" w:top="27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February 13, 2014 relating to the financial statements and the effectiveness of internal control over financial reporting, which appears in Regeneron Pharmaceuticals, Inc.’s Annual Report on Form 10-K for the year ended December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17,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2019-12-06T04:07:55Z</dcterms:created>
  <dcterms:modified xsi:type="dcterms:W3CDTF">2019-12-06T04:07:55Z</dcterms:modified>
</cp:coreProperties>
</file>