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69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92390"/>
                    </a:xfrm>
                    <a:prstGeom prst="rect">
                      <a:avLst/>
                    </a:prstGeom>
                    <a:noFill/>
                  </pic:spPr>
                </pic:pic>
              </a:graphicData>
            </a:graphic>
          </wp:anchor>
        </w:drawing>
      </w:r>
    </w:p>
    <w:p>
      <w:pPr>
        <w:spacing w:after="0" w:line="32" w:lineRule="exact"/>
        <w:rPr>
          <w:sz w:val="24"/>
          <w:szCs w:val="24"/>
          <w:color w:val="auto"/>
        </w:rPr>
      </w:pPr>
    </w:p>
    <w:p>
      <w:pPr>
        <w:sectPr>
          <w:pgSz w:w="11900" w:h="16845"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08/25/2017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jc w:val="center"/>
              <w:ind w:left="184"/>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5"/>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3,684</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479.1912</w:t>
            </w:r>
            <w:r>
              <w:rPr>
                <w:rFonts w:ascii="Arial" w:cs="Arial" w:eastAsia="Arial" w:hAnsi="Arial"/>
                <w:sz w:val="22"/>
                <w:szCs w:val="22"/>
                <w:color w:val="008000"/>
                <w:w w:val="84"/>
                <w:vertAlign w:val="superscript"/>
              </w:rPr>
              <w:t>(1)(3)</w:t>
            </w: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23,811,843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28,586</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479.9313</w:t>
            </w:r>
            <w:r>
              <w:rPr>
                <w:rFonts w:ascii="Arial" w:cs="Arial" w:eastAsia="Arial" w:hAnsi="Arial"/>
                <w:sz w:val="22"/>
                <w:szCs w:val="22"/>
                <w:color w:val="008000"/>
                <w:w w:val="84"/>
                <w:vertAlign w:val="superscript"/>
              </w:rPr>
              <w:t>(1)(5)</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23,840,429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21,360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480.7489</w:t>
            </w:r>
            <w:r>
              <w:rPr>
                <w:rFonts w:ascii="Arial" w:cs="Arial" w:eastAsia="Arial" w:hAnsi="Arial"/>
                <w:sz w:val="22"/>
                <w:szCs w:val="22"/>
                <w:color w:val="008000"/>
                <w:w w:val="84"/>
                <w:vertAlign w:val="superscript"/>
              </w:rPr>
              <w:t>(1)(6)</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23,861,789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1,302</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481.6284</w:t>
            </w:r>
            <w:r>
              <w:rPr>
                <w:rFonts w:ascii="Arial" w:cs="Arial" w:eastAsia="Arial" w:hAnsi="Arial"/>
                <w:sz w:val="22"/>
                <w:szCs w:val="22"/>
                <w:color w:val="008000"/>
                <w:w w:val="84"/>
                <w:vertAlign w:val="superscript"/>
              </w:rPr>
              <w:t>(1)(7)</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23,863,091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4,485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482.8734</w:t>
            </w:r>
            <w:r>
              <w:rPr>
                <w:rFonts w:ascii="Arial" w:cs="Arial" w:eastAsia="Arial" w:hAnsi="Arial"/>
                <w:sz w:val="22"/>
                <w:szCs w:val="22"/>
                <w:color w:val="008000"/>
                <w:w w:val="84"/>
                <w:vertAlign w:val="superscript"/>
              </w:rPr>
              <w:t>(1)(8)</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23,867,576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2,000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484.21</w:t>
            </w:r>
            <w:r>
              <w:rPr>
                <w:rFonts w:ascii="Arial" w:cs="Arial" w:eastAsia="Arial" w:hAnsi="Arial"/>
                <w:sz w:val="22"/>
                <w:szCs w:val="22"/>
                <w:color w:val="008000"/>
                <w:w w:val="83"/>
                <w:vertAlign w:val="superscript"/>
              </w:rPr>
              <w:t>(1)(9)</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23,869,576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5,723</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485.2798</w:t>
            </w:r>
            <w:r>
              <w:rPr>
                <w:rFonts w:ascii="Arial" w:cs="Arial" w:eastAsia="Arial" w:hAnsi="Arial"/>
                <w:sz w:val="22"/>
                <w:szCs w:val="22"/>
                <w:color w:val="008000"/>
                <w:w w:val="83"/>
                <w:vertAlign w:val="superscript"/>
              </w:rPr>
              <w:t>(1)(10)</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23,875,299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2,681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485.9939</w:t>
            </w:r>
            <w:r>
              <w:rPr>
                <w:rFonts w:ascii="Arial" w:cs="Arial" w:eastAsia="Arial" w:hAnsi="Arial"/>
                <w:sz w:val="22"/>
                <w:szCs w:val="22"/>
                <w:color w:val="008000"/>
                <w:w w:val="83"/>
                <w:vertAlign w:val="superscript"/>
              </w:rPr>
              <w:t>(1)(11)</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23,877,980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08/25/2017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2,557</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487.0108</w:t>
            </w:r>
            <w:r>
              <w:rPr>
                <w:rFonts w:ascii="Arial" w:cs="Arial" w:eastAsia="Arial" w:hAnsi="Arial"/>
                <w:sz w:val="22"/>
                <w:szCs w:val="22"/>
                <w:color w:val="008000"/>
                <w:w w:val="83"/>
                <w:vertAlign w:val="superscript"/>
              </w:rPr>
              <w:t>(1)(12)</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23,880,537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8"/>
          </w:tcPr>
          <w:p>
            <w:pPr>
              <w:jc w:val="center"/>
              <w:ind w:left="1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$478.42 to $479.39 per share, inclusive.</w:t>
      </w:r>
    </w:p>
    <w:p>
      <w:pPr>
        <w:spacing w:after="0" w:line="41"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Aventisub LLC ("Aventis"), formerly known as Aventis Pharmaceuticals Inc., an indirect, wholly-owned subsidiary of SAAN. After giving effect to all acquisitions reported on this Form 4, the number of shares beneficially owned directly by SAAN and Aventis was 21,080,985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$479.43 to $480.39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$480.44 to $481.32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$481.47 to $482.09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$482.49 to $483.45 per share, inclusive.</w:t>
      </w:r>
    </w:p>
    <w:p>
      <w:pPr>
        <w:sectPr>
          <w:pgSz w:w="11900" w:h="16845"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$483.70 to $484.63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$484.86 to $485.85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$485.86 to $486.79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$486.92 to $487.57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008000"/>
        </w:rPr>
        <w:t>Exhibit 24 - Power of Attorney (incorporated herein by reference to Exhibit 24 to Form 4 filed by the Reporting Person with the SEC on February 3, 2016, with respect to Alnylam Pharmaceuticals, Inc.).</w:t>
      </w:r>
    </w:p>
    <w:p>
      <w:pPr>
        <w:spacing w:after="0" w:line="51"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Alexandra Roger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08/29/2017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1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280" w:top="12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2019-12-23T21:47:15Z</dcterms:created>
  <dcterms:modified xsi:type="dcterms:W3CDTF">2019-12-23T21:47:15Z</dcterms:modified>
</cp:coreProperties>
</file>