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and Exchange Act of 1934</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9, 2006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REGENERON PHARMACEUTICALS,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3"/>
          </w:tcPr>
          <w:p>
            <w:pPr>
              <w:jc w:val="center"/>
              <w:ind w:right="1300"/>
              <w:spacing w:after="0"/>
              <w:rPr>
                <w:sz w:val="20"/>
                <w:szCs w:val="20"/>
                <w:color w:val="auto"/>
              </w:rPr>
            </w:pPr>
            <w:r>
              <w:rPr>
                <w:rFonts w:ascii="Arial" w:cs="Arial" w:eastAsia="Arial" w:hAnsi="Arial"/>
                <w:sz w:val="18"/>
                <w:szCs w:val="18"/>
                <w:b w:val="1"/>
                <w:bCs w:val="1"/>
                <w:color w:val="auto"/>
                <w:w w:val="92"/>
              </w:rPr>
              <w:t>New York</w:t>
            </w:r>
          </w:p>
        </w:tc>
        <w:tc>
          <w:tcPr>
            <w:tcW w:w="2700" w:type="dxa"/>
            <w:vAlign w:val="bottom"/>
          </w:tcPr>
          <w:p>
            <w:pPr>
              <w:jc w:val="right"/>
              <w:ind w:right="1230"/>
              <w:spacing w:after="0"/>
              <w:rPr>
                <w:sz w:val="20"/>
                <w:szCs w:val="20"/>
                <w:color w:val="auto"/>
              </w:rPr>
            </w:pPr>
            <w:r>
              <w:rPr>
                <w:rFonts w:ascii="Arial" w:cs="Arial" w:eastAsia="Arial" w:hAnsi="Arial"/>
                <w:sz w:val="18"/>
                <w:szCs w:val="18"/>
                <w:b w:val="1"/>
                <w:bCs w:val="1"/>
                <w:color w:val="auto"/>
              </w:rPr>
              <w:t>000-19034</w:t>
            </w:r>
          </w:p>
        </w:tc>
        <w:tc>
          <w:tcPr>
            <w:tcW w:w="398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90"/>
              </w:rPr>
              <w:t>133444607</w:t>
            </w:r>
          </w:p>
        </w:tc>
      </w:tr>
      <w:tr>
        <w:trPr>
          <w:trHeight w:val="205"/>
        </w:trPr>
        <w:tc>
          <w:tcPr>
            <w:tcW w:w="344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700" w:type="dxa"/>
            <w:vAlign w:val="bottom"/>
            <w:tcBorders>
              <w:top w:val="single" w:sz="8" w:color="auto"/>
            </w:tcBorders>
          </w:tcPr>
          <w:p>
            <w:pPr>
              <w:jc w:val="center"/>
              <w:ind w:right="630"/>
              <w:spacing w:after="0" w:line="205" w:lineRule="exact"/>
              <w:rPr>
                <w:sz w:val="20"/>
                <w:szCs w:val="20"/>
                <w:color w:val="auto"/>
              </w:rPr>
            </w:pPr>
            <w:r>
              <w:rPr>
                <w:rFonts w:ascii="Arial" w:cs="Arial" w:eastAsia="Arial" w:hAnsi="Arial"/>
                <w:sz w:val="18"/>
                <w:szCs w:val="18"/>
                <w:color w:val="auto"/>
                <w:w w:val="92"/>
              </w:rPr>
              <w:t>(Commission File Number)</w:t>
            </w:r>
          </w:p>
        </w:tc>
        <w:tc>
          <w:tcPr>
            <w:tcW w:w="560" w:type="dxa"/>
            <w:vAlign w:val="bottom"/>
          </w:tcPr>
          <w:p>
            <w:pPr>
              <w:spacing w:after="0"/>
              <w:rPr>
                <w:sz w:val="17"/>
                <w:szCs w:val="17"/>
                <w:color w:val="auto"/>
              </w:rPr>
            </w:pPr>
          </w:p>
        </w:tc>
        <w:tc>
          <w:tcPr>
            <w:tcW w:w="342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4740" w:type="dxa"/>
            <w:vAlign w:val="bottom"/>
            <w:gridSpan w:val="3"/>
          </w:tcPr>
          <w:p>
            <w:pPr>
              <w:jc w:val="center"/>
              <w:ind w:right="1300"/>
              <w:spacing w:after="0"/>
              <w:rPr>
                <w:sz w:val="20"/>
                <w:szCs w:val="20"/>
                <w:color w:val="auto"/>
              </w:rPr>
            </w:pPr>
            <w:r>
              <w:rPr>
                <w:rFonts w:ascii="Arial" w:cs="Arial" w:eastAsia="Arial" w:hAnsi="Arial"/>
                <w:sz w:val="18"/>
                <w:szCs w:val="18"/>
                <w:color w:val="auto"/>
                <w:w w:val="94"/>
              </w:rPr>
              <w:t>incorporation)</w:t>
            </w:r>
          </w:p>
        </w:tc>
        <w:tc>
          <w:tcPr>
            <w:tcW w:w="2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Number)</w:t>
            </w:r>
          </w:p>
        </w:tc>
      </w:tr>
      <w:tr>
        <w:trPr>
          <w:trHeight w:val="432"/>
        </w:trPr>
        <w:tc>
          <w:tcPr>
            <w:tcW w:w="474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7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2"/>
          </w:tcPr>
          <w:p>
            <w:pPr>
              <w:ind w:left="840"/>
              <w:spacing w:after="0"/>
              <w:rPr>
                <w:sz w:val="20"/>
                <w:szCs w:val="20"/>
                <w:color w:val="auto"/>
              </w:rPr>
            </w:pPr>
            <w:r>
              <w:rPr>
                <w:rFonts w:ascii="Arial" w:cs="Arial" w:eastAsia="Arial" w:hAnsi="Arial"/>
                <w:sz w:val="18"/>
                <w:szCs w:val="18"/>
                <w:b w:val="1"/>
                <w:bCs w:val="1"/>
                <w:color w:val="auto"/>
              </w:rPr>
              <w:t>10591-6707</w:t>
            </w:r>
          </w:p>
        </w:tc>
      </w:tr>
      <w:tr>
        <w:trPr>
          <w:trHeight w:val="228"/>
        </w:trPr>
        <w:tc>
          <w:tcPr>
            <w:tcW w:w="474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ind w:left="280"/>
              <w:spacing w:after="0"/>
              <w:rPr>
                <w:sz w:val="20"/>
                <w:szCs w:val="20"/>
                <w:color w:val="auto"/>
              </w:rPr>
            </w:pPr>
            <w:r>
              <w:rPr>
                <w:rFonts w:ascii="Arial" w:cs="Arial" w:eastAsia="Arial" w:hAnsi="Arial"/>
                <w:sz w:val="18"/>
                <w:szCs w:val="18"/>
                <w:b w:val="1"/>
                <w:bCs w:val="1"/>
                <w:color w:val="auto"/>
              </w:rPr>
              <w:t>(Zip Code)</w:t>
            </w: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(914) 347-7000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registrant under any of the following provisions:</w:t>
      </w:r>
    </w:p>
    <w:p>
      <w:pPr>
        <w:spacing w:after="0" w:line="279" w:lineRule="exact"/>
        <w:rPr>
          <w:sz w:val="20"/>
          <w:szCs w:val="20"/>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8.01 Other Events</w:t>
        </w:r>
      </w:hyperlink>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EX-99.A: PRESENTATION SLIDES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left="360" w:right="120"/>
        <w:spacing w:after="0" w:line="264" w:lineRule="auto"/>
        <w:rPr>
          <w:sz w:val="20"/>
          <w:szCs w:val="20"/>
          <w:color w:val="auto"/>
        </w:rPr>
      </w:pPr>
      <w:r>
        <w:rPr>
          <w:rFonts w:ascii="Arial" w:cs="Arial" w:eastAsia="Arial" w:hAnsi="Arial"/>
          <w:sz w:val="18"/>
          <w:szCs w:val="18"/>
          <w:color w:val="auto"/>
        </w:rPr>
        <w:t xml:space="preserve">On June 9, 2006, the Company presented the slides included as Exhibit 99(a) to this Current Report on Form 8-K at its Annual Meeting of Shareholders held at the Westchester Marriott Hotel, 670 White Plains Road, Tarrytown, New York. A copy of the slide presentation is also available on the Company’s website at </w:t>
      </w:r>
      <w:r>
        <w:rPr>
          <w:rFonts w:ascii="Arial" w:cs="Arial" w:eastAsia="Arial" w:hAnsi="Arial"/>
          <w:sz w:val="18"/>
          <w:szCs w:val="18"/>
          <w:u w:val="single" w:color="auto"/>
          <w:color w:val="auto"/>
        </w:rPr>
        <w:t>www.regneron.com</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 Exhibits</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99(a) Slides presented at the Company’s 2006 Annual Meeting of Shareholders held on June 9, 2006.</w:t>
      </w:r>
    </w:p>
    <w:p>
      <w:pPr>
        <w:spacing w:after="0" w:line="117"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REGENERON PHARMACEUTICALS, INC.</w:t>
            </w:r>
          </w:p>
        </w:tc>
        <w:tc>
          <w:tcPr>
            <w:tcW w:w="1680" w:type="dxa"/>
            <w:vAlign w:val="bottom"/>
          </w:tcPr>
          <w:p>
            <w:pPr>
              <w:spacing w:after="0"/>
              <w:rPr>
                <w:sz w:val="20"/>
                <w:szCs w:val="20"/>
                <w:color w:val="auto"/>
              </w:rPr>
            </w:pP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Dated: June 9, 2006</w:t>
            </w: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By: /s/ Stuart Kolinski</w:t>
            </w:r>
          </w:p>
        </w:tc>
        <w:tc>
          <w:tcPr>
            <w:tcW w:w="1680" w:type="dxa"/>
            <w:vAlign w:val="bottom"/>
          </w:tcPr>
          <w:p>
            <w:pPr>
              <w:spacing w:after="0"/>
              <w:rPr>
                <w:sz w:val="24"/>
                <w:szCs w:val="24"/>
                <w:color w:val="auto"/>
              </w:rPr>
            </w:pPr>
          </w:p>
        </w:tc>
      </w:tr>
      <w:tr>
        <w:trPr>
          <w:trHeight w:val="195"/>
        </w:trPr>
        <w:tc>
          <w:tcPr>
            <w:tcW w:w="34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Stuart Kolinski</w:t>
            </w:r>
          </w:p>
        </w:tc>
        <w:tc>
          <w:tcPr>
            <w:tcW w:w="1680" w:type="dxa"/>
            <w:vAlign w:val="bottom"/>
          </w:tcPr>
          <w:p>
            <w:pPr>
              <w:spacing w:after="0"/>
              <w:rPr>
                <w:sz w:val="16"/>
                <w:szCs w:val="16"/>
                <w:color w:val="auto"/>
              </w:rPr>
            </w:pPr>
          </w:p>
        </w:tc>
      </w:tr>
      <w:tr>
        <w:trPr>
          <w:trHeight w:val="230"/>
        </w:trPr>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Vice President and General Counsel</w:t>
            </w:r>
          </w:p>
        </w:tc>
        <w:tc>
          <w:tcPr>
            <w:tcW w:w="1680" w:type="dxa"/>
            <w:vAlign w:val="bottom"/>
          </w:tcPr>
          <w:p>
            <w:pPr>
              <w:spacing w:after="0"/>
              <w:rPr>
                <w:sz w:val="20"/>
                <w:szCs w:val="20"/>
                <w:color w:val="auto"/>
              </w:rPr>
            </w:pPr>
          </w:p>
        </w:tc>
      </w:tr>
      <w:tr>
        <w:trPr>
          <w:trHeight w:val="405"/>
        </w:trPr>
        <w:tc>
          <w:tcPr>
            <w:tcW w:w="3400" w:type="dxa"/>
            <w:vAlign w:val="bottom"/>
          </w:tcPr>
          <w:p>
            <w:pPr>
              <w:spacing w:after="0"/>
              <w:rPr>
                <w:sz w:val="24"/>
                <w:szCs w:val="24"/>
                <w:color w:val="auto"/>
              </w:rPr>
            </w:pPr>
          </w:p>
        </w:tc>
        <w:tc>
          <w:tcPr>
            <w:tcW w:w="6340" w:type="dxa"/>
            <w:vAlign w:val="bottom"/>
            <w:gridSpan w:val="2"/>
          </w:tcPr>
          <w:p>
            <w:pPr>
              <w:jc w:val="right"/>
              <w:ind w:right="3890"/>
              <w:spacing w:after="0"/>
              <w:rPr>
                <w:sz w:val="20"/>
                <w:szCs w:val="20"/>
                <w:color w:val="auto"/>
              </w:rPr>
            </w:pPr>
            <w:r>
              <w:rPr>
                <w:rFonts w:ascii="Arial" w:cs="Arial" w:eastAsia="Arial" w:hAnsi="Arial"/>
                <w:sz w:val="18"/>
                <w:szCs w:val="18"/>
                <w:color w:val="auto"/>
              </w:rPr>
              <w:t>2</w:t>
            </w:r>
          </w:p>
        </w:tc>
        <w:tc>
          <w:tcPr>
            <w:tcW w:w="1680" w:type="dxa"/>
            <w:vAlign w:val="bottom"/>
          </w:tcPr>
          <w:p>
            <w:pPr>
              <w:spacing w:after="0"/>
              <w:rPr>
                <w:sz w:val="24"/>
                <w:szCs w:val="24"/>
                <w:color w:val="auto"/>
              </w:rPr>
            </w:pPr>
          </w:p>
        </w:tc>
      </w:tr>
      <w:tr>
        <w:trPr>
          <w:trHeight w:val="226"/>
        </w:trPr>
        <w:tc>
          <w:tcPr>
            <w:tcW w:w="340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6350</wp:posOffset>
            </wp:positionV>
            <wp:extent cx="5746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06"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color w:val="auto"/>
        </w:rPr>
        <w:t>99(a)</w:t>
      </w:r>
      <w:r>
        <w:rPr>
          <w:sz w:val="20"/>
          <w:szCs w:val="20"/>
          <w:color w:val="auto"/>
        </w:rPr>
        <w:tab/>
      </w:r>
      <w:r>
        <w:rPr>
          <w:rFonts w:ascii="Arial" w:cs="Arial" w:eastAsia="Arial" w:hAnsi="Arial"/>
          <w:sz w:val="16"/>
          <w:szCs w:val="16"/>
          <w:color w:val="auto"/>
        </w:rPr>
        <w:t>Slides presented at the Company’s 2006 Annual Meeting of Shareholders held on June 9, 2006.</w:t>
      </w:r>
    </w:p>
    <w:p>
      <w:pPr>
        <w:spacing w:after="0" w:line="2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419" w:right="1440"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603250</wp:posOffset>
            </wp:positionV>
            <wp:extent cx="6174740" cy="46310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2019-12-20T02:14:33Z</dcterms:created>
  <dcterms:modified xsi:type="dcterms:W3CDTF">2019-12-20T02:14:33Z</dcterms:modified>
</cp:coreProperties>
</file>