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06/27/2014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3"/>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06/27/2014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10,105</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272.6967</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20,218,946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06/27/2014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2,011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273.8054</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20,220,957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06/27/2014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4,593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274.7689</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20,225,550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06/27/2014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15,394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275.8115</w:t>
            </w:r>
            <w:r>
              <w:rPr>
                <w:rFonts w:ascii="Arial" w:cs="Arial" w:eastAsia="Arial" w:hAnsi="Arial"/>
                <w:sz w:val="22"/>
                <w:szCs w:val="22"/>
                <w:color w:val="008000"/>
                <w:w w:val="82"/>
                <w:vertAlign w:val="superscript"/>
              </w:rPr>
              <w:t>(1)(7)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20,240,944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06/27/2014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16,131</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276.8007</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20,257,075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06/27/2014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1,766</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277.4302</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20,258,841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524</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275.679</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20,259,365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4,725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276.3318</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20,264,090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1,600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277.2924</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20,265,690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3,160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278.302</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20,268,850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6,844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280.0328</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20,275,694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20,665</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280.7446</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20,296,359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25,643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281.894</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20,322,002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79,511</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282.9111</w:t>
            </w:r>
            <w:r>
              <w:rPr>
                <w:rFonts w:ascii="Arial" w:cs="Arial" w:eastAsia="Arial" w:hAnsi="Arial"/>
                <w:sz w:val="22"/>
                <w:szCs w:val="22"/>
                <w:color w:val="008000"/>
                <w:w w:val="82"/>
                <w:vertAlign w:val="superscript"/>
              </w:rPr>
              <w:t>(1)(17)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20,401,513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62,704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283.8328</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20,464,217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06/30/2014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7,024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284.527</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20,471,241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p>
      <w:pPr>
        <w:spacing w:after="0" w:line="213" w:lineRule="auto"/>
        <w:framePr w:w="540" w:h="245" w:wrap="auto" w:vAnchor="page" w:hAnchor="page" w:x="7780" w:y="3325"/>
        <w:rPr>
          <w:rFonts w:ascii="Arial" w:cs="Arial" w:eastAsia="Arial" w:hAnsi="Arial"/>
          <w:sz w:val="12"/>
          <w:szCs w:val="12"/>
          <w:b w:val="1"/>
          <w:bCs w:val="1"/>
          <w:color w:val="auto"/>
        </w:rPr>
      </w:pPr>
      <w:r>
        <w:rPr>
          <w:rFonts w:ascii="Arial" w:cs="Arial" w:eastAsia="Arial" w:hAnsi="Arial"/>
          <w:sz w:val="12"/>
          <w:szCs w:val="12"/>
          <w:b w:val="1"/>
          <w:bCs w:val="1"/>
          <w:color w:val="auto"/>
        </w:rPr>
        <w:t>or Number</w:t>
      </w:r>
    </w:p>
    <w:p>
      <w:pPr>
        <w:spacing w:after="0" w:line="191" w:lineRule="auto"/>
        <w:framePr w:w="340" w:h="110" w:wrap="auto" w:vAnchor="page" w:hAnchor="page" w:x="5760" w:y="3595"/>
        <w:rPr>
          <w:rFonts w:ascii="Arial" w:cs="Arial" w:eastAsia="Arial" w:hAnsi="Arial"/>
          <w:sz w:val="12"/>
          <w:szCs w:val="12"/>
          <w:b w:val="1"/>
          <w:bCs w:val="1"/>
          <w:color w:val="auto"/>
        </w:rPr>
      </w:pPr>
      <w:r>
        <w:rPr>
          <w:rFonts w:ascii="Arial" w:cs="Arial" w:eastAsia="Arial" w:hAnsi="Arial"/>
          <w:sz w:val="12"/>
          <w:szCs w:val="12"/>
          <w:b w:val="1"/>
          <w:bCs w:val="1"/>
          <w:color w:val="auto"/>
        </w:rPr>
        <w:t>Date</w:t>
      </w:r>
    </w:p>
    <w:p>
      <w:pPr>
        <w:spacing w:after="0" w:line="191" w:lineRule="auto"/>
        <w:framePr w:w="680" w:h="110" w:wrap="auto" w:vAnchor="page" w:hAnchor="page" w:x="6580" w:y="3595"/>
        <w:rPr>
          <w:rFonts w:ascii="Arial" w:cs="Arial" w:eastAsia="Arial" w:hAnsi="Arial"/>
          <w:sz w:val="12"/>
          <w:szCs w:val="12"/>
          <w:b w:val="1"/>
          <w:bCs w:val="1"/>
          <w:color w:val="auto"/>
        </w:rPr>
      </w:pPr>
      <w:r>
        <w:rPr>
          <w:rFonts w:ascii="Arial" w:cs="Arial" w:eastAsia="Arial" w:hAnsi="Arial"/>
          <w:sz w:val="12"/>
          <w:szCs w:val="12"/>
          <w:b w:val="1"/>
          <w:bCs w:val="1"/>
          <w:color w:val="auto"/>
        </w:rPr>
        <w:t>Expiration</w:t>
      </w:r>
    </w:p>
    <w:p>
      <w:pPr>
        <w:spacing w:after="0" w:line="191" w:lineRule="auto"/>
        <w:framePr w:w="200" w:h="110" w:wrap="auto" w:vAnchor="page" w:hAnchor="page" w:x="7780" w:y="3595"/>
        <w:rPr>
          <w:rFonts w:ascii="Arial" w:cs="Arial" w:eastAsia="Arial" w:hAnsi="Arial"/>
          <w:sz w:val="12"/>
          <w:szCs w:val="12"/>
          <w:b w:val="1"/>
          <w:bCs w:val="1"/>
          <w:color w:val="auto"/>
        </w:rPr>
      </w:pP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400" w:type="dxa"/>
            <w:vAlign w:val="bottom"/>
            <w:gridSpan w:val="8"/>
          </w:tcPr>
          <w:p>
            <w:pPr>
              <w:ind w:left="40"/>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Execution Date,</w:t>
            </w:r>
          </w:p>
        </w:tc>
        <w:tc>
          <w:tcPr>
            <w:tcW w:w="84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Transaction</w:t>
            </w:r>
          </w:p>
        </w:tc>
        <w:tc>
          <w:tcPr>
            <w:tcW w:w="78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of</w:t>
            </w:r>
          </w:p>
        </w:tc>
        <w:tc>
          <w:tcPr>
            <w:tcW w:w="158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Amount of</w:t>
            </w:r>
          </w:p>
        </w:tc>
        <w:tc>
          <w:tcPr>
            <w:tcW w:w="76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Derivative</w:t>
            </w: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spacing w:after="0"/>
              <w:rPr>
                <w:sz w:val="4"/>
                <w:szCs w:val="4"/>
                <w:color w:val="auto"/>
              </w:rPr>
            </w:pPr>
          </w:p>
        </w:tc>
        <w:tc>
          <w:tcPr>
            <w:tcW w:w="84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Code (Instr.</w:t>
            </w:r>
          </w:p>
        </w:tc>
        <w:tc>
          <w:tcPr>
            <w:tcW w:w="78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De iv tive</w:t>
            </w:r>
          </w:p>
        </w:tc>
        <w:tc>
          <w:tcPr>
            <w:tcW w:w="1580" w:type="dxa"/>
            <w:vAlign w:val="bottom"/>
            <w:gridSpan w:val="2"/>
          </w:tcPr>
          <w:p>
            <w:pPr>
              <w:ind w:left="80"/>
              <w:spacing w:after="0" w:line="57" w:lineRule="exact"/>
              <w:rPr>
                <w:sz w:val="20"/>
                <w:szCs w:val="20"/>
                <w:color w:val="auto"/>
              </w:rPr>
            </w:pPr>
            <w:r>
              <w:rPr>
                <w:rFonts w:ascii="Arial" w:cs="Arial" w:eastAsia="Arial" w:hAnsi="Arial"/>
                <w:sz w:val="6"/>
                <w:szCs w:val="6"/>
                <w:b w:val="1"/>
                <w:bCs w:val="1"/>
                <w:color w:val="auto"/>
              </w:rPr>
              <w:t>(Month/Day/Year)</w:t>
            </w:r>
          </w:p>
        </w:tc>
        <w:tc>
          <w:tcPr>
            <w:tcW w:w="11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Securities</w:t>
            </w:r>
          </w:p>
        </w:tc>
        <w:tc>
          <w:tcPr>
            <w:tcW w:w="76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440" w:type="dxa"/>
            <w:vAlign w:val="bottom"/>
            <w:gridSpan w:val="6"/>
          </w:tcPr>
          <w:p>
            <w:pPr>
              <w:ind w:left="80"/>
              <w:spacing w:after="0" w:line="79"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warrants,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options, convertible securities)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5"/>
          </w:tcPr>
          <w:p>
            <w:pPr>
              <w:ind w:left="20"/>
              <w:spacing w:after="0" w:line="54" w:lineRule="exact"/>
              <w:rPr>
                <w:sz w:val="20"/>
                <w:szCs w:val="20"/>
                <w:color w:val="auto"/>
              </w:rPr>
            </w:pPr>
            <w:r>
              <w:rPr>
                <w:rFonts w:ascii="Arial" w:cs="Arial" w:eastAsia="Arial" w:hAnsi="Arial"/>
                <w:sz w:val="6"/>
                <w:szCs w:val="6"/>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ind w:left="80"/>
              <w:spacing w:after="0" w:line="29" w:lineRule="exact"/>
              <w:rPr>
                <w:sz w:val="20"/>
                <w:szCs w:val="20"/>
                <w:color w:val="auto"/>
              </w:rPr>
            </w:pPr>
            <w:r>
              <w:rPr>
                <w:rFonts w:ascii="Arial" w:cs="Arial" w:eastAsia="Arial" w:hAnsi="Arial"/>
                <w:sz w:val="3"/>
                <w:szCs w:val="3"/>
                <w:b w:val="1"/>
                <w:bCs w:val="1"/>
                <w:color w:val="auto"/>
              </w:rPr>
              <w:t>(Instr. 3, 4</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ind w:left="20"/>
              <w:spacing w:after="0" w:line="29" w:lineRule="exact"/>
              <w:rPr>
                <w:sz w:val="20"/>
                <w:szCs w:val="20"/>
                <w:color w:val="auto"/>
              </w:rPr>
            </w:pPr>
            <w:r>
              <w:rPr>
                <w:rFonts w:ascii="Arial" w:cs="Arial" w:eastAsia="Arial" w:hAnsi="Arial"/>
                <w:sz w:val="3"/>
                <w:szCs w:val="3"/>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675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675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20"/>
        </w:trPr>
        <w:tc>
          <w:tcPr>
            <w:tcW w:w="10860" w:type="dxa"/>
            <w:vAlign w:val="bottom"/>
            <w:gridSpan w:val="2"/>
          </w:tcPr>
          <w:p>
            <w:pPr>
              <w:spacing w:after="0" w:line="121" w:lineRule="exact"/>
              <w:rPr>
                <w:sz w:val="20"/>
                <w:szCs w:val="20"/>
                <w:color w:val="auto"/>
              </w:rPr>
            </w:pPr>
            <w:r>
              <w:rPr>
                <w:rFonts w:ascii="Arial" w:cs="Arial" w:eastAsia="Arial" w:hAnsi="Arial"/>
                <w:sz w:val="12"/>
                <w:szCs w:val="12"/>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149"/>
        </w:trPr>
        <w:tc>
          <w:tcPr>
            <w:tcW w:w="3220" w:type="dxa"/>
            <w:vAlign w:val="bottom"/>
            <w:vMerge w:val="restart"/>
          </w:tcPr>
          <w:p>
            <w:pPr>
              <w:spacing w:after="0"/>
              <w:rPr>
                <w:sz w:val="20"/>
                <w:szCs w:val="20"/>
                <w:color w:val="auto"/>
              </w:rPr>
            </w:pPr>
            <w:r>
              <w:rPr>
                <w:rFonts w:ascii="Arial" w:cs="Arial" w:eastAsia="Arial" w:hAnsi="Arial"/>
                <w:sz w:val="14"/>
                <w:szCs w:val="14"/>
                <w:color w:val="008000"/>
              </w:rPr>
              <w:t>separate price within the range.</w:t>
            </w:r>
          </w:p>
        </w:tc>
        <w:tc>
          <w:tcPr>
            <w:tcW w:w="7640" w:type="dxa"/>
            <w:vAlign w:val="bottom"/>
          </w:tcPr>
          <w:p>
            <w:pPr>
              <w:ind w:left="1520"/>
              <w:spacing w:after="0"/>
              <w:rPr>
                <w:sz w:val="20"/>
                <w:szCs w:val="20"/>
                <w:color w:val="auto"/>
              </w:rPr>
            </w:pPr>
            <w:r>
              <w:rPr>
                <w:rFonts w:ascii="Arial" w:cs="Arial" w:eastAsia="Arial" w:hAnsi="Arial"/>
                <w:sz w:val="12"/>
                <w:szCs w:val="12"/>
                <w:b w:val="1"/>
                <w:bCs w:val="1"/>
                <w:color w:val="auto"/>
              </w:rPr>
              <w:t>and 5)</w:t>
            </w:r>
          </w:p>
        </w:tc>
        <w:tc>
          <w:tcPr>
            <w:tcW w:w="0" w:type="dxa"/>
            <w:vAlign w:val="bottom"/>
          </w:tcPr>
          <w:p>
            <w:pPr>
              <w:spacing w:after="0"/>
              <w:rPr>
                <w:sz w:val="1"/>
                <w:szCs w:val="1"/>
                <w:color w:val="auto"/>
              </w:rPr>
            </w:pPr>
          </w:p>
        </w:tc>
      </w:tr>
      <w:tr>
        <w:trPr>
          <w:trHeight w:val="40"/>
        </w:trPr>
        <w:tc>
          <w:tcPr>
            <w:tcW w:w="3220" w:type="dxa"/>
            <w:vAlign w:val="bottom"/>
            <w:vMerge w:val="continue"/>
          </w:tcPr>
          <w:p>
            <w:pPr>
              <w:spacing w:after="0"/>
              <w:rPr>
                <w:sz w:val="3"/>
                <w:szCs w:val="3"/>
                <w:color w:val="auto"/>
              </w:rPr>
            </w:pPr>
          </w:p>
        </w:tc>
        <w:tc>
          <w:tcPr>
            <w:tcW w:w="7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 w:lineRule="exact"/>
        <w:rPr>
          <w:rFonts w:ascii="Arial" w:cs="Arial" w:eastAsia="Arial" w:hAnsi="Arial"/>
          <w:sz w:val="12"/>
          <w:szCs w:val="12"/>
          <w:b w:val="1"/>
          <w:bCs w:val="1"/>
          <w:color w:val="auto"/>
        </w:rPr>
      </w:pPr>
    </w:p>
    <w:p>
      <w:pPr>
        <w:ind w:left="40" w:right="320"/>
        <w:spacing w:after="0"/>
        <w:rPr>
          <w:sz w:val="20"/>
          <w:szCs w:val="20"/>
          <w:color w:val="auto"/>
        </w:rPr>
      </w:pPr>
      <w:r>
        <w:rPr>
          <w:rFonts w:ascii="Arial" w:cs="Arial" w:eastAsia="Arial" w:hAnsi="Arial"/>
          <w:sz w:val="9"/>
          <w:szCs w:val="9"/>
          <w:color w:val="008000"/>
        </w:rPr>
        <w:t>2. Represents shares acquired directly by sanofi-aventis Amerique du Nord ("SAAN"). The shares were purchased pursuant to a plan intended</w:t>
      </w:r>
      <w:r>
        <w:rPr>
          <w:rFonts w:ascii="Arial" w:cs="Arial" w:eastAsia="Arial" w:hAnsi="Arial"/>
          <w:sz w:val="8"/>
          <w:szCs w:val="8"/>
          <w:b w:val="1"/>
          <w:bCs w:val="1"/>
          <w:color w:val="000000"/>
        </w:rPr>
        <w:t>Am</w:t>
      </w:r>
      <w:r>
        <w:rPr>
          <w:rFonts w:ascii="Arial" w:cs="Arial" w:eastAsia="Arial" w:hAnsi="Arial"/>
          <w:sz w:val="9"/>
          <w:szCs w:val="9"/>
          <w:color w:val="008000"/>
        </w:rPr>
        <w:t>to</w:t>
      </w:r>
      <w:r>
        <w:rPr>
          <w:rFonts w:ascii="Arial" w:cs="Arial" w:eastAsia="Arial" w:hAnsi="Arial"/>
          <w:sz w:val="8"/>
          <w:szCs w:val="8"/>
          <w:b w:val="1"/>
          <w:bCs w:val="1"/>
          <w:color w:val="000000"/>
        </w:rPr>
        <w:t>unt</w:t>
      </w:r>
      <w:r>
        <w:rPr>
          <w:rFonts w:ascii="Arial" w:cs="Arial" w:eastAsia="Arial" w:hAnsi="Arial"/>
          <w:sz w:val="9"/>
          <w:szCs w:val="9"/>
          <w:color w:val="008000"/>
        </w:rPr>
        <w:t>comply with Rule 10b5-1(c)(1)(i) under the Exchange Act, entered into with a broker on June 27, 2014.</w:t>
      </w:r>
    </w:p>
    <w:p>
      <w:pPr>
        <w:spacing w:after="0" w:line="253"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008000"/>
        </w:rPr>
        <w:t>3. Purchase prices range from $272.25 to $273.22 per share, inclusive.</w:t>
      </w:r>
    </w:p>
    <w:p>
      <w:pPr>
        <w:spacing w:after="0" w:line="32" w:lineRule="exact"/>
        <w:rPr>
          <w:rFonts w:ascii="Arial" w:cs="Arial" w:eastAsia="Arial" w:hAnsi="Arial"/>
          <w:sz w:val="12"/>
          <w:szCs w:val="12"/>
          <w:b w:val="1"/>
          <w:bCs w:val="1"/>
          <w:color w:val="auto"/>
        </w:rPr>
      </w:pPr>
    </w:p>
    <w:p>
      <w:pPr>
        <w:jc w:val="both"/>
        <w:ind w:left="40" w:right="140" w:firstLine="9"/>
        <w:spacing w:after="0" w:line="229"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w:t>
      </w:r>
      <w:r>
        <w:rPr>
          <w:rFonts w:ascii="Arial" w:cs="Arial" w:eastAsia="Arial" w:hAnsi="Arial"/>
          <w:sz w:val="21"/>
          <w:szCs w:val="21"/>
          <w:b w:val="1"/>
          <w:bCs w:val="1"/>
          <w:color w:val="000000"/>
          <w:vertAlign w:val="superscript"/>
        </w:rPr>
        <w:t>Code</w:t>
      </w:r>
      <w:r>
        <w:rPr>
          <w:rFonts w:ascii="Arial" w:cs="Arial" w:eastAsia="Arial" w:hAnsi="Arial"/>
          <w:sz w:val="12"/>
          <w:szCs w:val="12"/>
          <w:color w:val="008000"/>
        </w:rPr>
        <w:t>ofSanofi,</w:t>
      </w:r>
      <w:r>
        <w:rPr>
          <w:rFonts w:ascii="Arial" w:cs="Arial" w:eastAsia="Arial" w:hAnsi="Arial"/>
          <w:sz w:val="21"/>
          <w:szCs w:val="21"/>
          <w:b w:val="1"/>
          <w:bCs w:val="1"/>
          <w:color w:val="000000"/>
          <w:vertAlign w:val="superscript"/>
        </w:rPr>
        <w:t>V</w:t>
      </w:r>
      <w:r>
        <w:rPr>
          <w:rFonts w:ascii="Arial" w:cs="Arial" w:eastAsia="Arial" w:hAnsi="Arial"/>
          <w:sz w:val="12"/>
          <w:szCs w:val="12"/>
          <w:color w:val="008000"/>
        </w:rPr>
        <w:t xml:space="preserve"> and</w:t>
      </w:r>
      <w:r>
        <w:rPr>
          <w:rFonts w:ascii="Arial" w:cs="Arial" w:eastAsia="Arial" w:hAnsi="Arial"/>
          <w:sz w:val="21"/>
          <w:szCs w:val="21"/>
          <w:b w:val="1"/>
          <w:bCs w:val="1"/>
          <w:color w:val="000000"/>
          <w:vertAlign w:val="superscript"/>
        </w:rPr>
        <w:t>(A)</w:t>
      </w:r>
      <w:r>
        <w:rPr>
          <w:rFonts w:ascii="Arial" w:cs="Arial" w:eastAsia="Arial" w:hAnsi="Arial"/>
          <w:sz w:val="12"/>
          <w:szCs w:val="12"/>
          <w:color w:val="008000"/>
        </w:rPr>
        <w:t>(b) Aventis</w:t>
      </w:r>
      <w:r>
        <w:rPr>
          <w:rFonts w:ascii="Arial" w:cs="Arial" w:eastAsia="Arial" w:hAnsi="Arial"/>
          <w:sz w:val="21"/>
          <w:szCs w:val="21"/>
          <w:b w:val="1"/>
          <w:bCs w:val="1"/>
          <w:color w:val="000000"/>
          <w:vertAlign w:val="superscript"/>
        </w:rPr>
        <w:t>(D)</w:t>
      </w:r>
      <w:r>
        <w:rPr>
          <w:rFonts w:ascii="Arial" w:cs="Arial" w:eastAsia="Arial" w:hAnsi="Arial"/>
          <w:sz w:val="12"/>
          <w:szCs w:val="12"/>
          <w:color w:val="008000"/>
        </w:rPr>
        <w:t xml:space="preserve"> Pharmaceuticals</w:t>
      </w:r>
      <w:r>
        <w:rPr>
          <w:rFonts w:ascii="Arial" w:cs="Arial" w:eastAsia="Arial" w:hAnsi="Arial"/>
          <w:sz w:val="21"/>
          <w:szCs w:val="21"/>
          <w:b w:val="1"/>
          <w:bCs w:val="1"/>
          <w:color w:val="000000"/>
          <w:vertAlign w:val="superscript"/>
        </w:rPr>
        <w:t>ExercisableDate</w:t>
      </w:r>
      <w:r>
        <w:rPr>
          <w:rFonts w:ascii="Arial" w:cs="Arial" w:eastAsia="Arial" w:hAnsi="Arial"/>
          <w:sz w:val="12"/>
          <w:szCs w:val="12"/>
          <w:color w:val="008000"/>
        </w:rPr>
        <w:t>Inc. ("Aventis"),</w:t>
      </w:r>
      <w:r>
        <w:rPr>
          <w:rFonts w:ascii="Arial" w:cs="Arial" w:eastAsia="Arial" w:hAnsi="Arial"/>
          <w:sz w:val="21"/>
          <w:szCs w:val="21"/>
          <w:b w:val="1"/>
          <w:bCs w:val="1"/>
          <w:color w:val="000000"/>
          <w:vertAlign w:val="superscript"/>
        </w:rPr>
        <w:t>Title</w:t>
      </w:r>
      <w:r>
        <w:rPr>
          <w:rFonts w:ascii="Arial" w:cs="Arial" w:eastAsia="Arial" w:hAnsi="Arial"/>
          <w:sz w:val="12"/>
          <w:szCs w:val="12"/>
          <w:color w:val="008000"/>
        </w:rPr>
        <w:t>an indirect,</w:t>
      </w:r>
      <w:r>
        <w:rPr>
          <w:rFonts w:ascii="Arial" w:cs="Arial" w:eastAsia="Arial" w:hAnsi="Arial"/>
          <w:sz w:val="21"/>
          <w:szCs w:val="21"/>
          <w:b w:val="1"/>
          <w:bCs w:val="1"/>
          <w:color w:val="000000"/>
          <w:vertAlign w:val="superscript"/>
        </w:rPr>
        <w:t>Shares</w:t>
      </w:r>
      <w:r>
        <w:rPr>
          <w:rFonts w:ascii="Arial" w:cs="Arial" w:eastAsia="Arial" w:hAnsi="Arial"/>
          <w:sz w:val="12"/>
          <w:szCs w:val="12"/>
          <w:color w:val="008000"/>
        </w:rPr>
        <w:t>wholly-owned subsidiary of SAAN. After giving effect to all acquisitions reported on this Form 4, the number of shares beneficially owned directly by SAAN and Aventis was 17,671,689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$273.30 to $274.13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$274.32 to $275.29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$275.32 to $276.31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$276.34 to $277.33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$277.34 to $277.57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$275.05 to $276.00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$276.06 to $277.00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$277.10 to $278.09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$278.10 to $278.98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$279.29 to $280.28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$280.30 to $281.29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$281.32 to $282.31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$282.32 to $283.31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$283.32 to $284.31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$284.33 to $284.82 per share, inclusive.</w:t>
      </w:r>
    </w:p>
    <w:p>
      <w:pPr>
        <w:spacing w:after="0" w:line="34"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rFonts w:ascii="Arial" w:cs="Arial" w:eastAsia="Arial" w:hAnsi="Arial"/>
          <w:sz w:val="12"/>
          <w:szCs w:val="12"/>
          <w:b w:val="1"/>
          <w:bCs w:val="1"/>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07/01/2014</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rFonts w:ascii="Arial" w:cs="Arial" w:eastAsia="Arial" w:hAnsi="Arial"/>
          <w:sz w:val="12"/>
          <w:szCs w:val="12"/>
          <w:b w:val="1"/>
          <w:bCs w:val="1"/>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rFonts w:ascii="Arial" w:cs="Arial" w:eastAsia="Arial" w:hAnsi="Arial"/>
          <w:sz w:val="12"/>
          <w:szCs w:val="12"/>
          <w:b w:val="1"/>
          <w:bCs w:val="1"/>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2019-12-17T06:15:18Z</dcterms:created>
  <dcterms:modified xsi:type="dcterms:W3CDTF">2019-12-17T06:15:18Z</dcterms:modified>
</cp:coreProperties>
</file>