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13D</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(Rule 13d-101)</w:t>
      </w:r>
    </w:p>
    <w:p>
      <w:pPr>
        <w:spacing w:after="0" w:line="23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5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(Amendment No. 7)*</w:t>
      </w:r>
    </w:p>
    <w:p>
      <w:pPr>
        <w:spacing w:after="0" w:line="227"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Issuer)</w:t>
      </w:r>
    </w:p>
    <w:p>
      <w:pPr>
        <w:spacing w:after="0" w:line="23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75886F 10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(CUSIP Number)</w:t>
      </w:r>
    </w:p>
    <w:p>
      <w:pPr>
        <w:spacing w:after="0" w:line="25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Karen Linehan</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Executive Vice President, Legal Affairs and General Counsel</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Sanofi</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54, rue La Boétie, 75008</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Paris, France</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Telephone: +33 1 53 77 40 00</w:t>
      </w: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18"/>
          <w:szCs w:val="18"/>
          <w:i w:val="1"/>
          <w:iCs w:val="1"/>
          <w:color w:val="auto"/>
        </w:rPr>
        <w:t>Copy to:</w:t>
      </w:r>
    </w:p>
    <w:p>
      <w:pPr>
        <w:spacing w:after="0" w:line="25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Michael J. Aiello, Esq.</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Weil, Gotshal &amp; Manges LLP</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767 Fifth Avenue</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New York, New York 10153</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(212) 310-8000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Authorized to Receive Notices and Communications)</w:t>
      </w: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June 27,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which is the subject of this Schedule 13D, and is filing this schedule because of Rule 13d-1(e), 13d-1(f) or 13d-1(g), check the following box. x</w:t>
      </w:r>
    </w:p>
    <w:p>
      <w:pPr>
        <w:spacing w:after="0" w:line="17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Rule 13d-7 for other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to whom copies are to be sent.</w:t>
      </w:r>
    </w:p>
    <w:p>
      <w:pPr>
        <w:spacing w:after="0" w:line="197"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-1270</wp:posOffset>
            </wp:positionV>
            <wp:extent cx="72720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53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13D</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7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37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NAME OF REPORTING PERSONS</w:t>
            </w:r>
          </w:p>
        </w:tc>
        <w:tc>
          <w:tcPr>
            <w:tcW w:w="6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06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60" w:type="dxa"/>
            <w:vAlign w:val="bottom"/>
            <w:tcBorders>
              <w:left w:val="single" w:sz="8" w:color="auto"/>
              <w:right w:val="single" w:sz="8" w:color="auto"/>
            </w:tcBorders>
          </w:tcPr>
          <w:p>
            <w:pPr>
              <w:spacing w:after="0"/>
              <w:rPr>
                <w:sz w:val="20"/>
                <w:szCs w:val="20"/>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Sanofi</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760" w:type="dxa"/>
            <w:vAlign w:val="bottom"/>
            <w:tcBorders>
              <w:left w:val="single" w:sz="8" w:color="auto"/>
              <w:bottom w:val="single" w:sz="8" w:color="auto"/>
              <w:right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gridSpan w:val="2"/>
          </w:tcPr>
          <w:p>
            <w:pPr>
              <w:spacing w:after="0"/>
              <w:rPr>
                <w:sz w:val="22"/>
                <w:szCs w:val="22"/>
                <w:color w:val="auto"/>
              </w:rPr>
            </w:pPr>
          </w:p>
        </w:tc>
        <w:tc>
          <w:tcPr>
            <w:tcW w:w="3400" w:type="dxa"/>
            <w:vAlign w:val="bottom"/>
            <w:tcBorders>
              <w:bottom w:val="single" w:sz="8" w:color="auto"/>
            </w:tcBorders>
            <w:gridSpan w:val="3"/>
          </w:tcPr>
          <w:p>
            <w:pPr>
              <w:spacing w:after="0"/>
              <w:rPr>
                <w:sz w:val="22"/>
                <w:szCs w:val="22"/>
                <w:color w:val="auto"/>
              </w:rPr>
            </w:pPr>
          </w:p>
        </w:tc>
        <w:tc>
          <w:tcPr>
            <w:tcW w:w="2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0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w:t>
            </w:r>
          </w:p>
        </w:tc>
        <w:tc>
          <w:tcPr>
            <w:tcW w:w="5440" w:type="dxa"/>
            <w:vAlign w:val="bottom"/>
            <w:gridSpan w:val="6"/>
          </w:tcPr>
          <w:p>
            <w:pPr>
              <w:spacing w:after="0"/>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30"/>
        </w:trPr>
        <w:tc>
          <w:tcPr>
            <w:tcW w:w="760" w:type="dxa"/>
            <w:vAlign w:val="bottom"/>
            <w:tcBorders>
              <w:left w:val="single" w:sz="8" w:color="auto"/>
              <w:right w:val="single" w:sz="8" w:color="auto"/>
            </w:tcBorders>
          </w:tcPr>
          <w:p>
            <w:pPr>
              <w:spacing w:after="0"/>
              <w:rPr>
                <w:sz w:val="20"/>
                <w:szCs w:val="20"/>
                <w:color w:val="auto"/>
              </w:rPr>
            </w:pPr>
          </w:p>
        </w:tc>
        <w:tc>
          <w:tcPr>
            <w:tcW w:w="1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6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264"/>
        </w:trPr>
        <w:tc>
          <w:tcPr>
            <w:tcW w:w="760" w:type="dxa"/>
            <w:vAlign w:val="bottom"/>
            <w:tcBorders>
              <w:left w:val="single" w:sz="8" w:color="auto"/>
              <w:bottom w:val="single" w:sz="8" w:color="auto"/>
              <w:right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0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1440" w:type="dxa"/>
            <w:vAlign w:val="bottom"/>
          </w:tcPr>
          <w:p>
            <w:pPr>
              <w:spacing w:after="0"/>
              <w:rPr>
                <w:sz w:val="20"/>
                <w:szCs w:val="20"/>
                <w:color w:val="auto"/>
              </w:rPr>
            </w:pPr>
            <w:r>
              <w:rPr>
                <w:rFonts w:ascii="Arial" w:cs="Arial" w:eastAsia="Arial" w:hAnsi="Arial"/>
                <w:sz w:val="18"/>
                <w:szCs w:val="18"/>
                <w:color w:val="auto"/>
              </w:rPr>
              <w:t>SEC USE ONLY</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760" w:type="dxa"/>
            <w:vAlign w:val="bottom"/>
            <w:tcBorders>
              <w:left w:val="single" w:sz="8" w:color="auto"/>
              <w:bottom w:val="single" w:sz="8" w:color="auto"/>
              <w:right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0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1820" w:type="dxa"/>
            <w:vAlign w:val="bottom"/>
            <w:gridSpan w:val="2"/>
          </w:tcPr>
          <w:p>
            <w:pPr>
              <w:spacing w:after="0"/>
              <w:rPr>
                <w:sz w:val="20"/>
                <w:szCs w:val="20"/>
                <w:color w:val="auto"/>
              </w:rPr>
            </w:pPr>
            <w:r>
              <w:rPr>
                <w:rFonts w:ascii="Arial" w:cs="Arial" w:eastAsia="Arial" w:hAnsi="Arial"/>
                <w:sz w:val="18"/>
                <w:szCs w:val="18"/>
                <w:color w:val="auto"/>
              </w:rPr>
              <w:t>SOURCE OF FUNDS</w:t>
            </w:r>
          </w:p>
        </w:tc>
        <w:tc>
          <w:tcPr>
            <w:tcW w:w="1880" w:type="dxa"/>
            <w:vAlign w:val="bottom"/>
            <w:gridSpan w:val="2"/>
          </w:tcPr>
          <w:p>
            <w:pPr>
              <w:ind w:left="160"/>
              <w:spacing w:after="0"/>
              <w:rPr>
                <w:sz w:val="20"/>
                <w:szCs w:val="20"/>
                <w:color w:val="auto"/>
              </w:rPr>
            </w:pPr>
            <w:r>
              <w:rPr>
                <w:rFonts w:ascii="Arial" w:cs="Arial" w:eastAsia="Arial" w:hAnsi="Arial"/>
                <w:sz w:val="18"/>
                <w:szCs w:val="18"/>
                <w:color w:val="auto"/>
              </w:rPr>
              <w:t>WC</w:t>
            </w: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760" w:type="dxa"/>
            <w:vAlign w:val="bottom"/>
            <w:tcBorders>
              <w:left w:val="single" w:sz="8" w:color="auto"/>
              <w:bottom w:val="single" w:sz="8" w:color="auto"/>
              <w:right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gridSpan w:val="2"/>
          </w:tcPr>
          <w:p>
            <w:pPr>
              <w:spacing w:after="0"/>
              <w:rPr>
                <w:sz w:val="22"/>
                <w:szCs w:val="22"/>
                <w:color w:val="auto"/>
              </w:rPr>
            </w:pPr>
          </w:p>
        </w:tc>
        <w:tc>
          <w:tcPr>
            <w:tcW w:w="6560" w:type="dxa"/>
            <w:vAlign w:val="bottom"/>
            <w:tcBorders>
              <w:bottom w:val="single" w:sz="8" w:color="auto"/>
            </w:tcBorders>
            <w:gridSpan w:val="5"/>
          </w:tcPr>
          <w:p>
            <w:pPr>
              <w:spacing w:after="0"/>
              <w:rPr>
                <w:sz w:val="22"/>
                <w:szCs w:val="22"/>
                <w:color w:val="auto"/>
              </w:rPr>
            </w:pPr>
          </w:p>
        </w:tc>
        <w:tc>
          <w:tcPr>
            <w:tcW w:w="20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w:t>
            </w:r>
          </w:p>
        </w:tc>
        <w:tc>
          <w:tcPr>
            <w:tcW w:w="8600" w:type="dxa"/>
            <w:vAlign w:val="bottom"/>
            <w:gridSpan w:val="8"/>
          </w:tcPr>
          <w:p>
            <w:pPr>
              <w:spacing w:after="0"/>
              <w:rPr>
                <w:sz w:val="20"/>
                <w:szCs w:val="20"/>
                <w:color w:val="auto"/>
              </w:rPr>
            </w:pPr>
            <w:r>
              <w:rPr>
                <w:rFonts w:ascii="Arial" w:cs="Arial" w:eastAsia="Arial" w:hAnsi="Arial"/>
                <w:sz w:val="18"/>
                <w:szCs w:val="18"/>
                <w:color w:val="auto"/>
                <w:w w:val="97"/>
              </w:rPr>
              <w:t>CHECK BOX IF DISCLOSURE OF LEGAL PROCEEDINGS IS REQUIRED PURSUANT TO ITEM 2(d) or 2(e)</w:t>
            </w:r>
          </w:p>
        </w:tc>
        <w:tc>
          <w:tcPr>
            <w:tcW w:w="2060" w:type="dxa"/>
            <w:vAlign w:val="bottom"/>
            <w:tcBorders>
              <w:right w:val="single" w:sz="8" w:color="auto"/>
            </w:tcBorders>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0"/>
        </w:trPr>
        <w:tc>
          <w:tcPr>
            <w:tcW w:w="760" w:type="dxa"/>
            <w:vAlign w:val="bottom"/>
            <w:tcBorders>
              <w:left w:val="single" w:sz="8" w:color="auto"/>
              <w:bottom w:val="single" w:sz="8" w:color="auto"/>
              <w:right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w:t>
            </w:r>
          </w:p>
        </w:tc>
        <w:tc>
          <w:tcPr>
            <w:tcW w:w="3700" w:type="dxa"/>
            <w:vAlign w:val="bottom"/>
            <w:gridSpan w:val="4"/>
          </w:tcPr>
          <w:p>
            <w:pPr>
              <w:spacing w:after="0"/>
              <w:rPr>
                <w:sz w:val="20"/>
                <w:szCs w:val="20"/>
                <w:color w:val="auto"/>
              </w:rPr>
            </w:pPr>
            <w:r>
              <w:rPr>
                <w:rFonts w:ascii="Arial" w:cs="Arial" w:eastAsia="Arial" w:hAnsi="Arial"/>
                <w:sz w:val="18"/>
                <w:szCs w:val="18"/>
                <w:color w:val="auto"/>
                <w:w w:val="96"/>
              </w:rPr>
              <w:t>CITIZENSHIP OR PLACE OF ORGANIZATION</w:t>
            </w: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760" w:type="dxa"/>
            <w:vAlign w:val="bottom"/>
            <w:tcBorders>
              <w:left w:val="single" w:sz="8" w:color="auto"/>
              <w:bottom w:val="single" w:sz="8" w:color="auto"/>
              <w:right w:val="single" w:sz="8" w:color="auto"/>
            </w:tcBorders>
          </w:tcPr>
          <w:p>
            <w:pPr>
              <w:spacing w:after="0"/>
              <w:rPr>
                <w:sz w:val="21"/>
                <w:szCs w:val="21"/>
                <w:color w:val="auto"/>
              </w:rPr>
            </w:pPr>
          </w:p>
        </w:tc>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6"/>
              </w:rPr>
              <w:t>The Republic of France</w:t>
            </w:r>
          </w:p>
        </w:tc>
        <w:tc>
          <w:tcPr>
            <w:tcW w:w="2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0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7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87"/>
              </w:rPr>
              <w:t>NUMBER</w:t>
            </w:r>
          </w:p>
        </w:tc>
        <w:tc>
          <w:tcPr>
            <w:tcW w:w="1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3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SHARES</w:t>
            </w:r>
          </w:p>
        </w:tc>
        <w:tc>
          <w:tcPr>
            <w:tcW w:w="380" w:type="dxa"/>
            <w:vAlign w:val="bottom"/>
          </w:tcPr>
          <w:p>
            <w:pPr>
              <w:spacing w:after="0"/>
              <w:rPr>
                <w:sz w:val="20"/>
                <w:szCs w:val="20"/>
                <w:color w:val="auto"/>
              </w:rPr>
            </w:pPr>
            <w:r>
              <w:rPr>
                <w:rFonts w:ascii="Arial" w:cs="Arial" w:eastAsia="Arial" w:hAnsi="Arial"/>
                <w:sz w:val="18"/>
                <w:szCs w:val="18"/>
                <w:color w:val="auto"/>
              </w:rPr>
              <w:t>7.</w:t>
            </w:r>
          </w:p>
        </w:tc>
        <w:tc>
          <w:tcPr>
            <w:tcW w:w="220" w:type="dxa"/>
            <w:vAlign w:val="bottom"/>
            <w:tcBorders>
              <w:right w:val="single" w:sz="8" w:color="auto"/>
            </w:tcBorders>
          </w:tcPr>
          <w:p>
            <w:pPr>
              <w:spacing w:after="0"/>
              <w:rPr>
                <w:sz w:val="18"/>
                <w:szCs w:val="18"/>
                <w:color w:val="auto"/>
              </w:rPr>
            </w:pP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1120" w:type="dxa"/>
            <w:vAlign w:val="bottom"/>
          </w:tcPr>
          <w:p>
            <w:pPr>
              <w:jc w:val="right"/>
              <w:ind w:right="810"/>
              <w:spacing w:after="0"/>
              <w:rPr>
                <w:sz w:val="20"/>
                <w:szCs w:val="20"/>
                <w:color w:val="auto"/>
              </w:rPr>
            </w:pPr>
            <w:r>
              <w:rPr>
                <w:rFonts w:ascii="Arial" w:cs="Arial" w:eastAsia="Arial" w:hAnsi="Arial"/>
                <w:sz w:val="18"/>
                <w:szCs w:val="18"/>
                <w:color w:val="auto"/>
                <w:w w:val="90"/>
              </w:rPr>
              <w:t>-0-</w:t>
            </w:r>
          </w:p>
        </w:tc>
        <w:tc>
          <w:tcPr>
            <w:tcW w:w="2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2200" w:type="dxa"/>
            <w:vAlign w:val="bottom"/>
            <w:tcBorders>
              <w:left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18"/>
                <w:szCs w:val="18"/>
                <w:color w:val="auto"/>
              </w:rPr>
              <w:t>BENEFICIALLY</w:t>
            </w:r>
          </w:p>
        </w:tc>
        <w:tc>
          <w:tcPr>
            <w:tcW w:w="38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200" w:type="dxa"/>
            <w:vAlign w:val="bottom"/>
            <w:tcBorders>
              <w:left w:val="single" w:sz="8" w:color="auto"/>
              <w:right w:val="single" w:sz="8" w:color="auto"/>
            </w:tcBorders>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2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OWNED BY EACH</w:t>
            </w:r>
          </w:p>
        </w:tc>
        <w:tc>
          <w:tcPr>
            <w:tcW w:w="380" w:type="dxa"/>
            <w:vAlign w:val="bottom"/>
          </w:tcPr>
          <w:p>
            <w:pPr>
              <w:spacing w:after="0"/>
              <w:rPr>
                <w:sz w:val="20"/>
                <w:szCs w:val="20"/>
                <w:color w:val="auto"/>
              </w:rPr>
            </w:pPr>
            <w:r>
              <w:rPr>
                <w:rFonts w:ascii="Arial" w:cs="Arial" w:eastAsia="Arial" w:hAnsi="Arial"/>
                <w:sz w:val="18"/>
                <w:szCs w:val="18"/>
                <w:color w:val="auto"/>
              </w:rPr>
              <w:t>8.</w:t>
            </w:r>
          </w:p>
        </w:tc>
        <w:tc>
          <w:tcPr>
            <w:tcW w:w="220" w:type="dxa"/>
            <w:vAlign w:val="bottom"/>
            <w:tcBorders>
              <w:right w:val="single" w:sz="8" w:color="auto"/>
            </w:tcBorders>
          </w:tcPr>
          <w:p>
            <w:pPr>
              <w:spacing w:after="0"/>
              <w:rPr>
                <w:sz w:val="20"/>
                <w:szCs w:val="20"/>
                <w:color w:val="auto"/>
              </w:rPr>
            </w:pPr>
          </w:p>
        </w:tc>
        <w:tc>
          <w:tcPr>
            <w:tcW w:w="3400" w:type="dxa"/>
            <w:vAlign w:val="bottom"/>
            <w:gridSpan w:val="3"/>
          </w:tcPr>
          <w:p>
            <w:pPr>
              <w:ind w:left="20"/>
              <w:spacing w:after="0"/>
              <w:rPr>
                <w:sz w:val="20"/>
                <w:szCs w:val="20"/>
                <w:color w:val="auto"/>
              </w:rPr>
            </w:pPr>
            <w:r>
              <w:rPr>
                <w:rFonts w:ascii="Arial" w:cs="Arial" w:eastAsia="Arial" w:hAnsi="Arial"/>
                <w:sz w:val="18"/>
                <w:szCs w:val="18"/>
                <w:color w:val="auto"/>
                <w:w w:val="97"/>
              </w:rPr>
              <w:t>SHARED VOTING POWER 20,258,841 (1)</w:t>
            </w:r>
          </w:p>
        </w:tc>
        <w:tc>
          <w:tcPr>
            <w:tcW w:w="2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2200" w:type="dxa"/>
            <w:vAlign w:val="bottom"/>
            <w:tcBorders>
              <w:left w:val="single" w:sz="8" w:color="auto"/>
              <w:right w:val="single" w:sz="8" w:color="auto"/>
            </w:tcBorders>
            <w:gridSpan w:val="2"/>
            <w:vMerge w:val="restart"/>
          </w:tcPr>
          <w:p>
            <w:pPr>
              <w:ind w:left="40"/>
              <w:spacing w:after="0" w:line="201" w:lineRule="exact"/>
              <w:rPr>
                <w:sz w:val="20"/>
                <w:szCs w:val="20"/>
                <w:color w:val="auto"/>
              </w:rPr>
            </w:pPr>
            <w:r>
              <w:rPr>
                <w:rFonts w:ascii="Arial" w:cs="Arial" w:eastAsia="Arial" w:hAnsi="Arial"/>
                <w:sz w:val="18"/>
                <w:szCs w:val="18"/>
                <w:color w:val="auto"/>
              </w:rPr>
              <w:t>REPORTING PERSON</w:t>
            </w:r>
          </w:p>
        </w:tc>
        <w:tc>
          <w:tcPr>
            <w:tcW w:w="380" w:type="dxa"/>
            <w:vAlign w:val="bottom"/>
            <w:tcBorders>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20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2200" w:type="dxa"/>
            <w:vAlign w:val="bottom"/>
            <w:tcBorders>
              <w:left w:val="single" w:sz="8" w:color="auto"/>
              <w:right w:val="single" w:sz="8" w:color="auto"/>
            </w:tcBorders>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7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WITH</w:t>
            </w:r>
          </w:p>
        </w:tc>
        <w:tc>
          <w:tcPr>
            <w:tcW w:w="1440" w:type="dxa"/>
            <w:vAlign w:val="bottom"/>
            <w:tcBorders>
              <w:right w:val="single" w:sz="8" w:color="auto"/>
            </w:tcBorders>
          </w:tcPr>
          <w:p>
            <w:pPr>
              <w:spacing w:after="0"/>
              <w:rPr>
                <w:sz w:val="20"/>
                <w:szCs w:val="20"/>
                <w:color w:val="auto"/>
              </w:rPr>
            </w:pPr>
          </w:p>
        </w:tc>
        <w:tc>
          <w:tcPr>
            <w:tcW w:w="380" w:type="dxa"/>
            <w:vAlign w:val="bottom"/>
            <w:vMerge w:val="restart"/>
          </w:tcPr>
          <w:p>
            <w:pPr>
              <w:spacing w:after="0"/>
              <w:rPr>
                <w:sz w:val="20"/>
                <w:szCs w:val="20"/>
                <w:color w:val="auto"/>
              </w:rPr>
            </w:pPr>
            <w:r>
              <w:rPr>
                <w:rFonts w:ascii="Arial" w:cs="Arial" w:eastAsia="Arial" w:hAnsi="Arial"/>
                <w:sz w:val="18"/>
                <w:szCs w:val="18"/>
                <w:color w:val="auto"/>
              </w:rPr>
              <w:t>9.</w:t>
            </w:r>
          </w:p>
        </w:tc>
        <w:tc>
          <w:tcPr>
            <w:tcW w:w="220" w:type="dxa"/>
            <w:vAlign w:val="bottom"/>
            <w:tcBorders>
              <w:right w:val="single" w:sz="8" w:color="auto"/>
            </w:tcBorders>
          </w:tcPr>
          <w:p>
            <w:pPr>
              <w:spacing w:after="0"/>
              <w:rPr>
                <w:sz w:val="20"/>
                <w:szCs w:val="20"/>
                <w:color w:val="auto"/>
              </w:rPr>
            </w:pPr>
          </w:p>
        </w:tc>
        <w:tc>
          <w:tcPr>
            <w:tcW w:w="2280" w:type="dxa"/>
            <w:vAlign w:val="bottom"/>
            <w:gridSpan w:val="2"/>
            <w:vMerge w:val="restart"/>
          </w:tcPr>
          <w:p>
            <w:pPr>
              <w:ind w:left="20"/>
              <w:spacing w:after="0"/>
              <w:rPr>
                <w:sz w:val="20"/>
                <w:szCs w:val="20"/>
                <w:color w:val="auto"/>
              </w:rPr>
            </w:pPr>
            <w:r>
              <w:rPr>
                <w:rFonts w:ascii="Arial" w:cs="Arial" w:eastAsia="Arial" w:hAnsi="Arial"/>
                <w:sz w:val="18"/>
                <w:szCs w:val="18"/>
                <w:color w:val="auto"/>
                <w:w w:val="93"/>
              </w:rPr>
              <w:t>SOLE DISPOSITIVE POWER</w:t>
            </w:r>
          </w:p>
        </w:tc>
        <w:tc>
          <w:tcPr>
            <w:tcW w:w="1120" w:type="dxa"/>
            <w:vAlign w:val="bottom"/>
            <w:vMerge w:val="restart"/>
          </w:tcPr>
          <w:p>
            <w:pPr>
              <w:jc w:val="right"/>
              <w:ind w:right="410"/>
              <w:spacing w:after="0"/>
              <w:rPr>
                <w:sz w:val="20"/>
                <w:szCs w:val="20"/>
                <w:color w:val="auto"/>
              </w:rPr>
            </w:pPr>
            <w:r>
              <w:rPr>
                <w:rFonts w:ascii="Arial" w:cs="Arial" w:eastAsia="Arial" w:hAnsi="Arial"/>
                <w:sz w:val="18"/>
                <w:szCs w:val="18"/>
                <w:color w:val="auto"/>
              </w:rPr>
              <w:t>-0-</w:t>
            </w:r>
          </w:p>
        </w:tc>
        <w:tc>
          <w:tcPr>
            <w:tcW w:w="2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760" w:type="dxa"/>
            <w:vAlign w:val="bottom"/>
            <w:tcBorders>
              <w:left w:val="single" w:sz="8" w:color="auto"/>
            </w:tcBorders>
          </w:tcPr>
          <w:p>
            <w:pPr>
              <w:spacing w:after="0"/>
              <w:rPr>
                <w:sz w:val="11"/>
                <w:szCs w:val="11"/>
                <w:color w:val="auto"/>
              </w:rPr>
            </w:pPr>
          </w:p>
        </w:tc>
        <w:tc>
          <w:tcPr>
            <w:tcW w:w="1440" w:type="dxa"/>
            <w:vAlign w:val="bottom"/>
            <w:tcBorders>
              <w:right w:val="single" w:sz="8" w:color="auto"/>
            </w:tcBorders>
          </w:tcPr>
          <w:p>
            <w:pPr>
              <w:spacing w:after="0"/>
              <w:rPr>
                <w:sz w:val="11"/>
                <w:szCs w:val="11"/>
                <w:color w:val="auto"/>
              </w:rPr>
            </w:pPr>
          </w:p>
        </w:tc>
        <w:tc>
          <w:tcPr>
            <w:tcW w:w="380" w:type="dxa"/>
            <w:vAlign w:val="bottom"/>
            <w:tcBorders>
              <w:bottom w:val="single" w:sz="8" w:color="auto"/>
            </w:tcBorders>
            <w:vMerge w:val="continue"/>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2280" w:type="dxa"/>
            <w:vAlign w:val="bottom"/>
            <w:tcBorders>
              <w:bottom w:val="single" w:sz="8" w:color="auto"/>
            </w:tcBorders>
            <w:gridSpan w:val="2"/>
            <w:vMerge w:val="continue"/>
          </w:tcPr>
          <w:p>
            <w:pPr>
              <w:spacing w:after="0"/>
              <w:rPr>
                <w:sz w:val="11"/>
                <w:szCs w:val="11"/>
                <w:color w:val="auto"/>
              </w:rPr>
            </w:pPr>
          </w:p>
        </w:tc>
        <w:tc>
          <w:tcPr>
            <w:tcW w:w="1120" w:type="dxa"/>
            <w:vAlign w:val="bottom"/>
            <w:tcBorders>
              <w:bottom w:val="single" w:sz="8" w:color="auto"/>
            </w:tcBorders>
            <w:vMerge w:val="continue"/>
          </w:tcPr>
          <w:p>
            <w:pPr>
              <w:spacing w:after="0"/>
              <w:rPr>
                <w:sz w:val="11"/>
                <w:szCs w:val="11"/>
                <w:color w:val="auto"/>
              </w:rPr>
            </w:pPr>
          </w:p>
        </w:tc>
        <w:tc>
          <w:tcPr>
            <w:tcW w:w="2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6"/>
        </w:trPr>
        <w:tc>
          <w:tcPr>
            <w:tcW w:w="760" w:type="dxa"/>
            <w:vAlign w:val="bottom"/>
            <w:tcBorders>
              <w:left w:val="single" w:sz="8" w:color="auto"/>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auto"/>
              <w:right w:val="single" w:sz="8" w:color="auto"/>
            </w:tcBorders>
          </w:tcPr>
          <w:p>
            <w:pPr>
              <w:spacing w:after="0"/>
              <w:rPr>
                <w:sz w:val="24"/>
                <w:szCs w:val="24"/>
                <w:color w:val="auto"/>
              </w:rPr>
            </w:pPr>
          </w:p>
        </w:tc>
        <w:tc>
          <w:tcPr>
            <w:tcW w:w="564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rPr>
              <w:t>SHARED DISPOSITIVE POWER 20,258,841 (1)</w:t>
            </w:r>
          </w:p>
        </w:tc>
        <w:tc>
          <w:tcPr>
            <w:tcW w:w="92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7680" w:type="dxa"/>
            <w:vAlign w:val="bottom"/>
            <w:gridSpan w:val="7"/>
          </w:tcPr>
          <w:p>
            <w:pPr>
              <w:spacing w:after="0"/>
              <w:rPr>
                <w:sz w:val="20"/>
                <w:szCs w:val="20"/>
                <w:color w:val="auto"/>
              </w:rPr>
            </w:pPr>
            <w:r>
              <w:rPr>
                <w:rFonts w:ascii="Arial" w:cs="Arial" w:eastAsia="Arial" w:hAnsi="Arial"/>
                <w:sz w:val="18"/>
                <w:szCs w:val="18"/>
                <w:color w:val="auto"/>
                <w:w w:val="95"/>
              </w:rPr>
              <w:t>AGGREGATE AMOUNT BENEFICIALLY OWNED BY EACH REPORTING PERSON 20,258,841 (1)</w:t>
            </w:r>
          </w:p>
        </w:tc>
        <w:tc>
          <w:tcPr>
            <w:tcW w:w="920" w:type="dxa"/>
            <w:vAlign w:val="bottom"/>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760" w:type="dxa"/>
            <w:vAlign w:val="bottom"/>
            <w:tcBorders>
              <w:left w:val="single" w:sz="8" w:color="auto"/>
              <w:bottom w:val="single" w:sz="8" w:color="auto"/>
              <w:right w:val="single" w:sz="8" w:color="auto"/>
            </w:tcBorders>
          </w:tcPr>
          <w:p>
            <w:pPr>
              <w:spacing w:after="0"/>
              <w:rPr>
                <w:sz w:val="22"/>
                <w:szCs w:val="22"/>
                <w:color w:val="auto"/>
              </w:rPr>
            </w:pPr>
          </w:p>
        </w:tc>
        <w:tc>
          <w:tcPr>
            <w:tcW w:w="7680" w:type="dxa"/>
            <w:vAlign w:val="bottom"/>
            <w:tcBorders>
              <w:bottom w:val="single" w:sz="8" w:color="auto"/>
            </w:tcBorders>
            <w:gridSpan w:val="7"/>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0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7680" w:type="dxa"/>
            <w:vAlign w:val="bottom"/>
            <w:gridSpan w:val="7"/>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9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2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60" w:type="dxa"/>
            <w:vAlign w:val="bottom"/>
            <w:tcBorders>
              <w:left w:val="single" w:sz="8" w:color="auto"/>
              <w:bottom w:val="single" w:sz="8" w:color="auto"/>
              <w:right w:val="single" w:sz="8" w:color="auto"/>
            </w:tcBorders>
          </w:tcPr>
          <w:p>
            <w:pPr>
              <w:spacing w:after="0"/>
              <w:rPr>
                <w:sz w:val="18"/>
                <w:szCs w:val="18"/>
                <w:color w:val="auto"/>
              </w:rPr>
            </w:pPr>
          </w:p>
        </w:tc>
        <w:tc>
          <w:tcPr>
            <w:tcW w:w="5440" w:type="dxa"/>
            <w:vAlign w:val="bottom"/>
            <w:tcBorders>
              <w:bottom w:val="single" w:sz="8" w:color="auto"/>
            </w:tcBorders>
            <w:gridSpan w:val="6"/>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13.</w:t>
            </w:r>
          </w:p>
        </w:tc>
        <w:tc>
          <w:tcPr>
            <w:tcW w:w="5440" w:type="dxa"/>
            <w:vAlign w:val="bottom"/>
            <w:gridSpan w:val="6"/>
          </w:tcPr>
          <w:p>
            <w:pPr>
              <w:spacing w:after="0"/>
              <w:rPr>
                <w:sz w:val="20"/>
                <w:szCs w:val="20"/>
                <w:color w:val="auto"/>
              </w:rPr>
            </w:pPr>
            <w:r>
              <w:rPr>
                <w:rFonts w:ascii="Arial" w:cs="Arial" w:eastAsia="Arial" w:hAnsi="Arial"/>
                <w:sz w:val="18"/>
                <w:szCs w:val="18"/>
                <w:color w:val="auto"/>
              </w:rPr>
              <w:t>PERCENT OF CLASS REPRESENTED BY AMOUNT IN ROW (11)</w:t>
            </w:r>
          </w:p>
        </w:tc>
        <w:tc>
          <w:tcPr>
            <w:tcW w:w="2240" w:type="dxa"/>
            <w:vAlign w:val="bottom"/>
          </w:tcPr>
          <w:p>
            <w:pPr>
              <w:jc w:val="right"/>
              <w:ind w:right="1310"/>
              <w:spacing w:after="0"/>
              <w:rPr>
                <w:sz w:val="20"/>
                <w:szCs w:val="20"/>
                <w:color w:val="auto"/>
              </w:rPr>
            </w:pPr>
            <w:r>
              <w:rPr>
                <w:rFonts w:ascii="Arial" w:cs="Arial" w:eastAsia="Arial" w:hAnsi="Arial"/>
                <w:sz w:val="18"/>
                <w:szCs w:val="18"/>
                <w:color w:val="auto"/>
              </w:rPr>
              <w:t>20.5% (2)</w:t>
            </w:r>
          </w:p>
        </w:tc>
        <w:tc>
          <w:tcPr>
            <w:tcW w:w="920" w:type="dxa"/>
            <w:vAlign w:val="bottom"/>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760" w:type="dxa"/>
            <w:vAlign w:val="bottom"/>
            <w:tcBorders>
              <w:left w:val="single" w:sz="8" w:color="auto"/>
              <w:bottom w:val="single" w:sz="8" w:color="auto"/>
              <w:right w:val="single" w:sz="8" w:color="auto"/>
            </w:tcBorders>
          </w:tcPr>
          <w:p>
            <w:pPr>
              <w:spacing w:after="0"/>
              <w:rPr>
                <w:sz w:val="22"/>
                <w:szCs w:val="22"/>
                <w:color w:val="auto"/>
              </w:rPr>
            </w:pPr>
          </w:p>
        </w:tc>
        <w:tc>
          <w:tcPr>
            <w:tcW w:w="3700" w:type="dxa"/>
            <w:vAlign w:val="bottom"/>
            <w:tcBorders>
              <w:bottom w:val="single" w:sz="8" w:color="auto"/>
            </w:tcBorders>
            <w:gridSpan w:val="4"/>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0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14.</w:t>
            </w:r>
          </w:p>
        </w:tc>
        <w:tc>
          <w:tcPr>
            <w:tcW w:w="37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TYPE OF REPORTING PERSON</w:t>
            </w: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CO</w:t>
            </w:r>
          </w:p>
        </w:tc>
        <w:tc>
          <w:tcPr>
            <w:tcW w:w="112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0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firstLine="8"/>
        <w:spacing w:after="0" w:line="255" w:lineRule="auto"/>
        <w:tabs>
          <w:tab w:leader="none" w:pos="487" w:val="left"/>
        </w:tabs>
        <w:numPr>
          <w:ilvl w:val="0"/>
          <w:numId w:val="1"/>
        </w:numPr>
        <w:rPr>
          <w:rFonts w:ascii="Arial" w:cs="Arial" w:eastAsia="Arial" w:hAnsi="Arial"/>
          <w:sz w:val="18"/>
          <w:szCs w:val="18"/>
          <w:color w:val="auto"/>
        </w:rPr>
      </w:pPr>
      <w:r>
        <w:rPr>
          <w:rFonts w:ascii="Arial" w:cs="Arial" w:eastAsia="Arial" w:hAnsi="Arial"/>
          <w:sz w:val="18"/>
          <w:szCs w:val="18"/>
          <w:color w:val="auto"/>
        </w:rPr>
        <w:t>17,459,289 shares of Common Stock are held directly by sanofi-aventis Amérique du Nord (“</w:t>
      </w:r>
      <w:r>
        <w:rPr>
          <w:rFonts w:ascii="Arial" w:cs="Arial" w:eastAsia="Arial" w:hAnsi="Arial"/>
          <w:sz w:val="18"/>
          <w:szCs w:val="18"/>
          <w:u w:val="single" w:color="auto"/>
          <w:color w:val="auto"/>
        </w:rPr>
        <w:t>SAAN</w:t>
      </w:r>
      <w:r>
        <w:rPr>
          <w:rFonts w:ascii="Arial" w:cs="Arial" w:eastAsia="Arial" w:hAnsi="Arial"/>
          <w:sz w:val="18"/>
          <w:szCs w:val="18"/>
          <w:color w:val="auto"/>
        </w:rPr>
        <w:t>”) and 2,799,552 of the shares of Common Stock are held directly by Aventis Pharmaceuticals Inc. (“</w:t>
      </w:r>
      <w:r>
        <w:rPr>
          <w:rFonts w:ascii="Arial" w:cs="Arial" w:eastAsia="Arial" w:hAnsi="Arial"/>
          <w:sz w:val="18"/>
          <w:szCs w:val="18"/>
          <w:u w:val="single" w:color="auto"/>
          <w:color w:val="auto"/>
        </w:rPr>
        <w:t>Aventis</w:t>
      </w:r>
      <w:r>
        <w:rPr>
          <w:rFonts w:ascii="Arial" w:cs="Arial" w:eastAsia="Arial" w:hAnsi="Arial"/>
          <w:sz w:val="18"/>
          <w:szCs w:val="18"/>
          <w:color w:val="auto"/>
        </w:rPr>
        <w:t>”). SAAN is a direct, wholly-owned subsidiary of Sanofi. Aventis is an indirect, wholly-owned subsidiary of SAAN. See Item 5 of the Schedule 13D. Pursuant to the Amended and Restated Investor Agreement, dated as of January 11, 2014, by and among Sanofi, SAAN, sanofi-aventis US LLC, Aventis (collectively, the “</w:t>
      </w:r>
      <w:r>
        <w:rPr>
          <w:rFonts w:ascii="Arial" w:cs="Arial" w:eastAsia="Arial" w:hAnsi="Arial"/>
          <w:sz w:val="18"/>
          <w:szCs w:val="18"/>
          <w:u w:val="single" w:color="auto"/>
          <w:color w:val="auto"/>
        </w:rPr>
        <w:t>Sanofi Parties</w:t>
      </w:r>
      <w:r>
        <w:rPr>
          <w:rFonts w:ascii="Arial" w:cs="Arial" w:eastAsia="Arial" w:hAnsi="Arial"/>
          <w:sz w:val="18"/>
          <w:szCs w:val="18"/>
          <w:color w:val="auto"/>
        </w:rPr>
        <w:t>”) and Regeneron Pharmaceuticals, Inc. (the “</w:t>
      </w:r>
      <w:r>
        <w:rPr>
          <w:rFonts w:ascii="Arial" w:cs="Arial" w:eastAsia="Arial" w:hAnsi="Arial"/>
          <w:sz w:val="18"/>
          <w:szCs w:val="18"/>
          <w:u w:val="single" w:color="auto"/>
          <w:color w:val="auto"/>
        </w:rPr>
        <w:t>Company</w:t>
      </w:r>
      <w:r>
        <w:rPr>
          <w:rFonts w:ascii="Arial" w:cs="Arial" w:eastAsia="Arial" w:hAnsi="Arial"/>
          <w:sz w:val="18"/>
          <w:szCs w:val="18"/>
          <w:color w:val="auto"/>
        </w:rPr>
        <w:t>”), the Sanofi Parties have agreed to vote their respective shares of the Company, subject to specified exceptions, in accordance with the recommendation of the Company’s Board of Directors.</w:t>
      </w:r>
    </w:p>
    <w:p>
      <w:pPr>
        <w:spacing w:after="0" w:line="220" w:lineRule="exact"/>
        <w:rPr>
          <w:rFonts w:ascii="Arial" w:cs="Arial" w:eastAsia="Arial" w:hAnsi="Arial"/>
          <w:sz w:val="18"/>
          <w:szCs w:val="18"/>
          <w:color w:val="auto"/>
        </w:rPr>
      </w:pPr>
    </w:p>
    <w:p>
      <w:pPr>
        <w:ind w:right="200" w:firstLine="8"/>
        <w:spacing w:after="0" w:line="277" w:lineRule="auto"/>
        <w:tabs>
          <w:tab w:leader="none" w:pos="487"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Calculation based on 98,879,794 shares of Common Stock outstanding as of April 17, 2014, as reported in the Company’s Quarterly Report on Form 10-Q filed with the Securities and Exchange Commission on May 8, 2014.</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ind w:right="220"/>
        <w:spacing w:after="0" w:line="259" w:lineRule="auto"/>
        <w:rPr>
          <w:sz w:val="20"/>
          <w:szCs w:val="20"/>
          <w:color w:val="auto"/>
        </w:rPr>
      </w:pPr>
      <w:r>
        <w:rPr>
          <w:rFonts w:ascii="Arial" w:cs="Arial" w:eastAsia="Arial" w:hAnsi="Arial"/>
          <w:sz w:val="18"/>
          <w:szCs w:val="18"/>
          <w:color w:val="auto"/>
        </w:rPr>
        <w:t>This Amendment No. 7 (this “</w:t>
      </w:r>
      <w:r>
        <w:rPr>
          <w:rFonts w:ascii="Arial" w:cs="Arial" w:eastAsia="Arial" w:hAnsi="Arial"/>
          <w:sz w:val="18"/>
          <w:szCs w:val="18"/>
          <w:u w:val="single" w:color="auto"/>
          <w:color w:val="auto"/>
        </w:rPr>
        <w:t>Amendment No. 7</w:t>
      </w:r>
      <w:r>
        <w:rPr>
          <w:rFonts w:ascii="Arial" w:cs="Arial" w:eastAsia="Arial" w:hAnsi="Arial"/>
          <w:sz w:val="18"/>
          <w:szCs w:val="18"/>
          <w:color w:val="auto"/>
        </w:rPr>
        <w:t>”) amends the Statement on Schedule 13D first filed with the Securities and Exchange Commission on January 14, 2014, as amended (the “</w:t>
      </w:r>
      <w:r>
        <w:rPr>
          <w:rFonts w:ascii="Arial" w:cs="Arial" w:eastAsia="Arial" w:hAnsi="Arial"/>
          <w:sz w:val="18"/>
          <w:szCs w:val="18"/>
          <w:u w:val="single" w:color="auto"/>
          <w:color w:val="auto"/>
        </w:rPr>
        <w:t>Schedule 13D</w:t>
      </w:r>
      <w:r>
        <w:rPr>
          <w:rFonts w:ascii="Arial" w:cs="Arial" w:eastAsia="Arial" w:hAnsi="Arial"/>
          <w:sz w:val="18"/>
          <w:szCs w:val="18"/>
          <w:color w:val="auto"/>
        </w:rPr>
        <w:t>”), and is filed by Sanofi (“</w:t>
      </w:r>
      <w:r>
        <w:rPr>
          <w:rFonts w:ascii="Arial" w:cs="Arial" w:eastAsia="Arial" w:hAnsi="Arial"/>
          <w:sz w:val="18"/>
          <w:szCs w:val="18"/>
          <w:u w:val="single" w:color="auto"/>
          <w:color w:val="auto"/>
        </w:rPr>
        <w:t>Sanofi</w:t>
      </w:r>
      <w:r>
        <w:rPr>
          <w:rFonts w:ascii="Arial" w:cs="Arial" w:eastAsia="Arial" w:hAnsi="Arial"/>
          <w:sz w:val="18"/>
          <w:szCs w:val="18"/>
          <w:color w:val="auto"/>
        </w:rPr>
        <w:t>” or the “</w:t>
      </w:r>
      <w:r>
        <w:rPr>
          <w:rFonts w:ascii="Arial" w:cs="Arial" w:eastAsia="Arial" w:hAnsi="Arial"/>
          <w:sz w:val="18"/>
          <w:szCs w:val="18"/>
          <w:u w:val="single" w:color="auto"/>
          <w:color w:val="auto"/>
        </w:rPr>
        <w:t>Reporting Person</w:t>
      </w:r>
      <w:r>
        <w:rPr>
          <w:rFonts w:ascii="Arial" w:cs="Arial" w:eastAsia="Arial" w:hAnsi="Arial"/>
          <w:sz w:val="18"/>
          <w:szCs w:val="18"/>
          <w:color w:val="auto"/>
        </w:rPr>
        <w:t>”) with respect to the common stock, $0.001 par value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of Regeneron Pharmaceuticals, Inc. (the “</w:t>
      </w:r>
      <w:r>
        <w:rPr>
          <w:rFonts w:ascii="Arial" w:cs="Arial" w:eastAsia="Arial" w:hAnsi="Arial"/>
          <w:sz w:val="18"/>
          <w:szCs w:val="18"/>
          <w:u w:val="single" w:color="auto"/>
          <w:color w:val="auto"/>
        </w:rPr>
        <w:t>Issuer</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Capitalized terms used herein but not otherwise defined herein have the meanings given to them in the Schedule 13D.</w:t>
      </w:r>
    </w:p>
    <w:p>
      <w:pPr>
        <w:spacing w:after="0" w:line="18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Item 3 of the Schedule 13D is supplemented as follows:</w:t>
      </w:r>
    </w:p>
    <w:p>
      <w:pPr>
        <w:spacing w:after="0" w:line="252"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For the purchases it made as disclosed in Item 5(c) of this Amendment No. 7, SAAN paid an aggregate of $71,002,802.12, excluding brokerage commission and fees. The source of such funds was working capital.</w:t>
      </w:r>
    </w:p>
    <w:p>
      <w:pPr>
        <w:spacing w:after="0" w:line="19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Item 4 of the Schedule 13D is supplemented as follows: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Reporting Person has determined to purchase, directly or through its subsidiaries, additional shares of Common Stock to increase its beneficial ownership to approximately 22.5% of the Common Stock outstanding. The Reporting Person intends to acquire these additional shares in market or private transactions or through derivatives subject to market conditions and legal and regulatory requirements, at prices and other terms acceptable to the Reporting Person. To that effect, on June 27, 2014, SAAN entered into agreement with a broker (a “</w:t>
      </w:r>
      <w:r>
        <w:rPr>
          <w:rFonts w:ascii="Arial" w:cs="Arial" w:eastAsia="Arial" w:hAnsi="Arial"/>
          <w:sz w:val="16"/>
          <w:szCs w:val="16"/>
          <w:u w:val="single" w:color="auto"/>
          <w:color w:val="auto"/>
        </w:rPr>
        <w:t>Rule 10b5-1 Plan</w:t>
      </w:r>
      <w:r>
        <w:rPr>
          <w:rFonts w:ascii="Arial" w:cs="Arial" w:eastAsia="Arial" w:hAnsi="Arial"/>
          <w:sz w:val="16"/>
          <w:szCs w:val="16"/>
          <w:color w:val="auto"/>
        </w:rPr>
        <w:t>”), intended to comply with the requirements of Rule 10b5-1(c)(1)(i) under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This Rule 10b5-1 Plan generally provides for purchases by SAAN during a period beginning no earlier than June 27, 2014 and ending not later than July 29, 2014, of up to an aggregate of 1,996,000 shares of Common Stock subject to certain amount and price thresholds and in conformity with Rule 10b-18 under the Exchange Act. The Reporting Person makes no commitment in terms of the timing of such transactions, which will depend on market conditions including the price and availability of shares of Common Stock, and on such other factors considered relevant to the Reporting Person or to the broker in carrying out the Rule 10b5-1 Plan, as the case may be.</w:t>
      </w:r>
    </w:p>
    <w:p>
      <w:pPr>
        <w:spacing w:after="0" w:line="1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Reporting Person purchased, through its subsidiary SAAN, an aggregate of 240,751 shares of Common Stock in market transactions, as disclosed in Item 5(c) of this Amendment No. 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shares of Common Stock that are the subject of this filing were purchased for the purpose of making an investment in the Issuer.</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Interests in the Securities of the Issuer.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Item 5 of the Schedule 13D is supplemented as follows:</w:t>
      </w:r>
    </w:p>
    <w:p>
      <w:pPr>
        <w:spacing w:after="0" w:line="225" w:lineRule="exact"/>
        <w:rPr>
          <w:sz w:val="20"/>
          <w:szCs w:val="20"/>
          <w:color w:val="auto"/>
        </w:rPr>
      </w:pPr>
    </w:p>
    <w:p>
      <w:pPr>
        <w:ind w:right="360" w:firstLine="877"/>
        <w:spacing w:after="0" w:line="255" w:lineRule="auto"/>
        <w:tabs>
          <w:tab w:leader="none" w:pos="1114" w:val="left"/>
        </w:tabs>
        <w:numPr>
          <w:ilvl w:val="0"/>
          <w:numId w:val="2"/>
        </w:numPr>
        <w:rPr>
          <w:rFonts w:ascii="Arial" w:cs="Arial" w:eastAsia="Arial" w:hAnsi="Arial"/>
          <w:sz w:val="18"/>
          <w:szCs w:val="18"/>
          <w:color w:val="auto"/>
        </w:rPr>
      </w:pPr>
      <w:r>
        <w:rPr>
          <w:rFonts w:ascii="Arial" w:cs="Arial" w:eastAsia="Arial" w:hAnsi="Arial"/>
          <w:sz w:val="18"/>
          <w:szCs w:val="18"/>
          <w:color w:val="auto"/>
        </w:rPr>
        <w:t>and (b) The responses of the Reporting Person to Rows (7) through (13) of the cover page of this Amendment No. 7 as of the close of business on June 29, 2014, are incorporated herein by reference. As of the close of business on June 29, 2014, the Reporting Person beneficially owned 20,258,841 shares of Common Stock, representing approximately 20.5% of the shares of Common Stock outstanding (based on 98,879,794 shares of Common Stock outstanding as of April 17, 2014, as reported in the Company’s Quarterly Report on Form 10-Q filed with the Securities and Exchange Commission on May 8, 2014). The Reporting Person may be deemed to have shared voting and dispositive power with respect to the shares of Common Stock directly owned by SAAN and Aventis, its subsidiaries.</w:t>
      </w:r>
    </w:p>
    <w:p>
      <w:pPr>
        <w:spacing w:after="0" w:line="193" w:lineRule="exact"/>
        <w:rPr>
          <w:sz w:val="20"/>
          <w:szCs w:val="20"/>
          <w:color w:val="auto"/>
        </w:rPr>
      </w:pPr>
    </w:p>
    <w:p>
      <w:pPr>
        <w:ind w:right="260" w:firstLine="869"/>
        <w:spacing w:after="0" w:line="277" w:lineRule="auto"/>
        <w:rPr>
          <w:sz w:val="20"/>
          <w:szCs w:val="20"/>
          <w:color w:val="auto"/>
        </w:rPr>
      </w:pPr>
      <w:r>
        <w:rPr>
          <w:rFonts w:ascii="Arial" w:cs="Arial" w:eastAsia="Arial" w:hAnsi="Arial"/>
          <w:sz w:val="18"/>
          <w:szCs w:val="18"/>
          <w:color w:val="auto"/>
        </w:rPr>
        <w:t>To the Reporting Person’s knowledge, none of the directors or executive officers of the Reporting Persons listed on Schedule I to the Schedule 13D beneficially owns any shares of Common Stock as of June 29, 2014.</w:t>
      </w:r>
    </w:p>
    <w:p>
      <w:pPr>
        <w:spacing w:after="0" w:line="170" w:lineRule="exact"/>
        <w:rPr>
          <w:sz w:val="20"/>
          <w:szCs w:val="20"/>
          <w:color w:val="auto"/>
        </w:rPr>
      </w:pPr>
    </w:p>
    <w:p>
      <w:pPr>
        <w:ind w:right="380" w:firstLine="832"/>
        <w:spacing w:after="0" w:line="277" w:lineRule="auto"/>
        <w:tabs>
          <w:tab w:leader="none" w:pos="1114" w:val="left"/>
        </w:tabs>
        <w:numPr>
          <w:ilvl w:val="0"/>
          <w:numId w:val="3"/>
        </w:numPr>
        <w:rPr>
          <w:rFonts w:ascii="Arial" w:cs="Arial" w:eastAsia="Arial" w:hAnsi="Arial"/>
          <w:sz w:val="18"/>
          <w:szCs w:val="18"/>
          <w:color w:val="auto"/>
        </w:rPr>
      </w:pPr>
      <w:r>
        <w:rPr>
          <w:rFonts w:ascii="Arial" w:cs="Arial" w:eastAsia="Arial" w:hAnsi="Arial"/>
          <w:sz w:val="18"/>
          <w:szCs w:val="18"/>
          <w:color w:val="auto"/>
        </w:rPr>
        <w:t>Since the most recent filing of Schedule 13D and through and including June 29, 2014, market transactions were effected in the Common Stock as disclosed in Schedule A to this Amendment No. 7.</w:t>
      </w:r>
    </w:p>
    <w:p>
      <w:pPr>
        <w:spacing w:after="0" w:line="170" w:lineRule="exact"/>
        <w:rPr>
          <w:sz w:val="20"/>
          <w:szCs w:val="20"/>
          <w:color w:val="auto"/>
        </w:rPr>
      </w:pPr>
    </w:p>
    <w:p>
      <w:pPr>
        <w:ind w:right="20" w:firstLine="824"/>
        <w:spacing w:after="0" w:line="277" w:lineRule="auto"/>
        <w:rPr>
          <w:sz w:val="20"/>
          <w:szCs w:val="20"/>
          <w:color w:val="auto"/>
        </w:rPr>
      </w:pPr>
      <w:r>
        <w:rPr>
          <w:rFonts w:ascii="Arial" w:cs="Arial" w:eastAsia="Arial" w:hAnsi="Arial"/>
          <w:sz w:val="18"/>
          <w:szCs w:val="18"/>
          <w:color w:val="auto"/>
        </w:rPr>
        <w:t>To the Reporting Person’s knowledge, none of the directors or executive officers of the Reporting Person listed on Schedule I to the Schedule 13D effected transactions in the Common Stock during the period described above.</w:t>
      </w:r>
    </w:p>
    <w:p>
      <w:pPr>
        <w:spacing w:after="0" w:line="170" w:lineRule="exact"/>
        <w:rPr>
          <w:sz w:val="20"/>
          <w:szCs w:val="20"/>
          <w:color w:val="auto"/>
        </w:rPr>
      </w:pPr>
    </w:p>
    <w:p>
      <w:pPr>
        <w:ind w:left="1140" w:hanging="308"/>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3" w:lineRule="exact"/>
        <w:rPr>
          <w:rFonts w:ascii="Arial" w:cs="Arial" w:eastAsia="Arial" w:hAnsi="Arial"/>
          <w:sz w:val="18"/>
          <w:szCs w:val="18"/>
          <w:color w:val="auto"/>
        </w:rPr>
      </w:pPr>
    </w:p>
    <w:p>
      <w:pPr>
        <w:ind w:left="1120" w:hanging="28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 w:name="page4"/>
    <w:bookmarkEnd w:id="3"/>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certifies that the information set forth in this statement is true, complete and correct.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July 1, 2014</w:t>
      </w:r>
    </w:p>
    <w:p>
      <w:pPr>
        <w:spacing w:after="0" w:line="221"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SANOFI</w:t>
      </w:r>
    </w:p>
    <w:p>
      <w:pPr>
        <w:spacing w:after="0" w:line="22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By: /s/ John Felitti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89877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John Felitti</w:t>
      </w:r>
    </w:p>
    <w:p>
      <w:pPr>
        <w:spacing w:after="0" w:line="2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Associate Vice President, Corporate Law,</w:t>
      </w:r>
    </w:p>
    <w:p>
      <w:pPr>
        <w:spacing w:after="0" w:line="9"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Financial &amp; Securities Law</w:t>
      </w:r>
    </w:p>
    <w:p>
      <w:pPr>
        <w:spacing w:after="0" w:line="200" w:lineRule="exact"/>
        <w:rPr>
          <w:sz w:val="20"/>
          <w:szCs w:val="20"/>
          <w:color w:val="auto"/>
        </w:rPr>
      </w:pPr>
    </w:p>
    <w:p>
      <w:pPr>
        <w:spacing w:after="0" w:line="209"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240" w:top="121" w:right="419" w:bottom="1440" w:gutter="0" w:footer="0" w:header="0"/>
        </w:sectPr>
      </w:pPr>
    </w:p>
    <w:bookmarkStart w:id="4" w:name="page5"/>
    <w:bookmarkEnd w:id="4"/>
    <w:tbl>
      <w:tblPr>
        <w:tblLayout w:type="fixed"/>
        <w:tblInd w:w="58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20" w:type="dxa"/>
            <w:vAlign w:val="bottom"/>
            <w:gridSpan w:val="3"/>
          </w:tcPr>
          <w:p>
            <w:pPr>
              <w:jc w:val="right"/>
              <w:ind w:right="620"/>
              <w:spacing w:after="0"/>
              <w:rPr>
                <w:sz w:val="20"/>
                <w:szCs w:val="20"/>
                <w:color w:val="auto"/>
              </w:rPr>
            </w:pPr>
            <w:r>
              <w:rPr>
                <w:rFonts w:ascii="Arial" w:cs="Arial" w:eastAsia="Arial" w:hAnsi="Arial"/>
                <w:sz w:val="18"/>
                <w:szCs w:val="18"/>
                <w:color w:val="auto"/>
              </w:rPr>
              <w:t>Schedule A</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65"/>
        </w:trPr>
        <w:tc>
          <w:tcPr>
            <w:tcW w:w="1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Number of</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Shares of</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940" w:type="dxa"/>
            <w:vAlign w:val="bottom"/>
          </w:tcPr>
          <w:p>
            <w:pPr>
              <w:jc w:val="center"/>
              <w:ind w:left="130"/>
              <w:spacing w:after="0"/>
              <w:rPr>
                <w:sz w:val="20"/>
                <w:szCs w:val="20"/>
                <w:color w:val="auto"/>
              </w:rPr>
            </w:pPr>
            <w:r>
              <w:rPr>
                <w:rFonts w:ascii="Arial" w:cs="Arial" w:eastAsia="Arial" w:hAnsi="Arial"/>
                <w:sz w:val="18"/>
                <w:szCs w:val="18"/>
                <w:color w:val="auto"/>
                <w:w w:val="88"/>
              </w:rPr>
              <w:t>Trade Date</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Common</w:t>
            </w:r>
          </w:p>
        </w:tc>
        <w:tc>
          <w:tcPr>
            <w:tcW w:w="280" w:type="dxa"/>
            <w:vAlign w:val="bottom"/>
          </w:tcPr>
          <w:p>
            <w:pPr>
              <w:spacing w:after="0"/>
              <w:rPr>
                <w:sz w:val="18"/>
                <w:szCs w:val="18"/>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color w:val="auto"/>
                <w:w w:val="97"/>
              </w:rPr>
              <w:t>Price per</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Entity</w:t>
            </w:r>
          </w:p>
        </w:tc>
        <w:tc>
          <w:tcPr>
            <w:tcW w:w="1940" w:type="dxa"/>
            <w:vAlign w:val="bottom"/>
          </w:tcPr>
          <w:p>
            <w:pPr>
              <w:jc w:val="center"/>
              <w:ind w:left="190"/>
              <w:spacing w:after="0"/>
              <w:rPr>
                <w:sz w:val="20"/>
                <w:szCs w:val="20"/>
                <w:color w:val="auto"/>
              </w:rPr>
            </w:pPr>
            <w:r>
              <w:rPr>
                <w:rFonts w:ascii="Arial" w:cs="Arial" w:eastAsia="Arial" w:hAnsi="Arial"/>
                <w:sz w:val="18"/>
                <w:szCs w:val="18"/>
                <w:color w:val="auto"/>
              </w:rPr>
              <w:t>(M/D/Y)†</w:t>
            </w:r>
          </w:p>
        </w:tc>
        <w:tc>
          <w:tcPr>
            <w:tcW w:w="1460" w:type="dxa"/>
            <w:vAlign w:val="bottom"/>
          </w:tcPr>
          <w:p>
            <w:pPr>
              <w:jc w:val="center"/>
              <w:ind w:left="210"/>
              <w:spacing w:after="0"/>
              <w:rPr>
                <w:sz w:val="20"/>
                <w:szCs w:val="20"/>
                <w:color w:val="auto"/>
              </w:rPr>
            </w:pPr>
            <w:r>
              <w:rPr>
                <w:rFonts w:ascii="Arial" w:cs="Arial" w:eastAsia="Arial" w:hAnsi="Arial"/>
                <w:sz w:val="18"/>
                <w:szCs w:val="18"/>
                <w:color w:val="auto"/>
                <w:w w:val="89"/>
              </w:rPr>
              <w:t>Transaction</w:t>
            </w:r>
          </w:p>
        </w:tc>
        <w:tc>
          <w:tcPr>
            <w:tcW w:w="160" w:type="dxa"/>
            <w:vAlign w:val="bottom"/>
          </w:tcPr>
          <w:p>
            <w:pPr>
              <w:spacing w:after="0"/>
              <w:rPr>
                <w:sz w:val="20"/>
                <w:szCs w:val="20"/>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96"/>
              </w:rPr>
              <w:t>Stock*</w:t>
            </w:r>
          </w:p>
        </w:tc>
        <w:tc>
          <w:tcPr>
            <w:tcW w:w="28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Share*</w:t>
            </w:r>
          </w:p>
        </w:tc>
        <w:tc>
          <w:tcPr>
            <w:tcW w:w="480" w:type="dxa"/>
            <w:vAlign w:val="bottom"/>
          </w:tcPr>
          <w:p>
            <w:pPr>
              <w:spacing w:after="0"/>
              <w:rPr>
                <w:sz w:val="20"/>
                <w:szCs w:val="20"/>
                <w:color w:val="auto"/>
              </w:rPr>
            </w:pPr>
          </w:p>
        </w:tc>
        <w:tc>
          <w:tcPr>
            <w:tcW w:w="1500" w:type="dxa"/>
            <w:vAlign w:val="bottom"/>
            <w:gridSpan w:val="2"/>
          </w:tcPr>
          <w:p>
            <w:pPr>
              <w:jc w:val="right"/>
              <w:ind w:right="50"/>
              <w:spacing w:after="0"/>
              <w:rPr>
                <w:sz w:val="20"/>
                <w:szCs w:val="20"/>
                <w:color w:val="auto"/>
              </w:rPr>
            </w:pPr>
            <w:r>
              <w:rPr>
                <w:rFonts w:ascii="Arial" w:cs="Arial" w:eastAsia="Arial" w:hAnsi="Arial"/>
                <w:sz w:val="18"/>
                <w:szCs w:val="18"/>
                <w:color w:val="auto"/>
              </w:rPr>
              <w:t>Price Range*</w:t>
            </w:r>
          </w:p>
        </w:tc>
        <w:tc>
          <w:tcPr>
            <w:tcW w:w="760" w:type="dxa"/>
            <w:vAlign w:val="bottom"/>
          </w:tcPr>
          <w:p>
            <w:pPr>
              <w:spacing w:after="0"/>
              <w:rPr>
                <w:sz w:val="20"/>
                <w:szCs w:val="20"/>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SAAN</w:t>
            </w:r>
          </w:p>
        </w:tc>
        <w:tc>
          <w:tcPr>
            <w:tcW w:w="194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9"/>
              </w:rPr>
              <w:t>5/19/2014</w:t>
            </w:r>
          </w:p>
        </w:tc>
        <w:tc>
          <w:tcPr>
            <w:tcW w:w="146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86"/>
              </w:rPr>
              <w:t>Purchase</w:t>
            </w:r>
          </w:p>
        </w:tc>
        <w:tc>
          <w:tcPr>
            <w:tcW w:w="1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5,177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296.0767</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295.45</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296.43</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SAAN</w:t>
            </w:r>
          </w:p>
        </w:tc>
        <w:tc>
          <w:tcPr>
            <w:tcW w:w="1940" w:type="dxa"/>
            <w:vAlign w:val="bottom"/>
          </w:tcPr>
          <w:p>
            <w:pPr>
              <w:jc w:val="center"/>
              <w:ind w:left="130"/>
              <w:spacing w:after="0"/>
              <w:rPr>
                <w:sz w:val="20"/>
                <w:szCs w:val="20"/>
                <w:color w:val="auto"/>
              </w:rPr>
            </w:pPr>
            <w:r>
              <w:rPr>
                <w:rFonts w:ascii="Arial" w:cs="Arial" w:eastAsia="Arial" w:hAnsi="Arial"/>
                <w:sz w:val="18"/>
                <w:szCs w:val="18"/>
                <w:color w:val="auto"/>
                <w:w w:val="89"/>
              </w:rPr>
              <w:t>5/19/2014</w:t>
            </w:r>
          </w:p>
        </w:tc>
        <w:tc>
          <w:tcPr>
            <w:tcW w:w="1460" w:type="dxa"/>
            <w:vAlign w:val="bottom"/>
          </w:tcPr>
          <w:p>
            <w:pPr>
              <w:jc w:val="center"/>
              <w:ind w:left="190"/>
              <w:spacing w:after="0"/>
              <w:rPr>
                <w:sz w:val="20"/>
                <w:szCs w:val="20"/>
                <w:color w:val="auto"/>
              </w:rPr>
            </w:pPr>
            <w:r>
              <w:rPr>
                <w:rFonts w:ascii="Arial" w:cs="Arial" w:eastAsia="Arial" w:hAnsi="Arial"/>
                <w:sz w:val="18"/>
                <w:szCs w:val="18"/>
                <w:color w:val="auto"/>
                <w:w w:val="86"/>
              </w:rPr>
              <w:t>Purchase</w:t>
            </w:r>
          </w:p>
        </w:tc>
        <w:tc>
          <w:tcPr>
            <w:tcW w:w="1620" w:type="dxa"/>
            <w:vAlign w:val="bottom"/>
            <w:gridSpan w:val="3"/>
          </w:tcPr>
          <w:p>
            <w:pPr>
              <w:jc w:val="right"/>
              <w:ind w:right="120"/>
              <w:spacing w:after="0"/>
              <w:rPr>
                <w:sz w:val="20"/>
                <w:szCs w:val="20"/>
                <w:color w:val="auto"/>
              </w:rPr>
            </w:pPr>
            <w:r>
              <w:rPr>
                <w:rFonts w:ascii="Arial" w:cs="Arial" w:eastAsia="Arial" w:hAnsi="Arial"/>
                <w:sz w:val="18"/>
                <w:szCs w:val="18"/>
                <w:color w:val="auto"/>
              </w:rPr>
              <w:t>11,548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296.9097</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296.45</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297.42</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SAAN</w:t>
            </w:r>
          </w:p>
        </w:tc>
        <w:tc>
          <w:tcPr>
            <w:tcW w:w="194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9"/>
              </w:rPr>
              <w:t>5/19/2014</w:t>
            </w:r>
          </w:p>
        </w:tc>
        <w:tc>
          <w:tcPr>
            <w:tcW w:w="146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86"/>
              </w:rPr>
              <w:t>Purchase</w:t>
            </w:r>
          </w:p>
        </w:tc>
        <w:tc>
          <w:tcPr>
            <w:tcW w:w="1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28,158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298.0832</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297.47</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298.46</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SAAN</w:t>
            </w:r>
          </w:p>
        </w:tc>
        <w:tc>
          <w:tcPr>
            <w:tcW w:w="1940" w:type="dxa"/>
            <w:vAlign w:val="bottom"/>
          </w:tcPr>
          <w:p>
            <w:pPr>
              <w:jc w:val="center"/>
              <w:ind w:left="130"/>
              <w:spacing w:after="0"/>
              <w:rPr>
                <w:sz w:val="20"/>
                <w:szCs w:val="20"/>
                <w:color w:val="auto"/>
              </w:rPr>
            </w:pPr>
            <w:r>
              <w:rPr>
                <w:rFonts w:ascii="Arial" w:cs="Arial" w:eastAsia="Arial" w:hAnsi="Arial"/>
                <w:sz w:val="18"/>
                <w:szCs w:val="18"/>
                <w:color w:val="auto"/>
                <w:w w:val="89"/>
              </w:rPr>
              <w:t>5/19/2014</w:t>
            </w:r>
          </w:p>
        </w:tc>
        <w:tc>
          <w:tcPr>
            <w:tcW w:w="1460" w:type="dxa"/>
            <w:vAlign w:val="bottom"/>
          </w:tcPr>
          <w:p>
            <w:pPr>
              <w:jc w:val="center"/>
              <w:ind w:left="190"/>
              <w:spacing w:after="0"/>
              <w:rPr>
                <w:sz w:val="20"/>
                <w:szCs w:val="20"/>
                <w:color w:val="auto"/>
              </w:rPr>
            </w:pPr>
            <w:r>
              <w:rPr>
                <w:rFonts w:ascii="Arial" w:cs="Arial" w:eastAsia="Arial" w:hAnsi="Arial"/>
                <w:sz w:val="18"/>
                <w:szCs w:val="18"/>
                <w:color w:val="auto"/>
                <w:w w:val="86"/>
              </w:rPr>
              <w:t>Purchase</w:t>
            </w:r>
          </w:p>
        </w:tc>
        <w:tc>
          <w:tcPr>
            <w:tcW w:w="1620" w:type="dxa"/>
            <w:vAlign w:val="bottom"/>
            <w:gridSpan w:val="3"/>
          </w:tcPr>
          <w:p>
            <w:pPr>
              <w:jc w:val="right"/>
              <w:ind w:right="120"/>
              <w:spacing w:after="0"/>
              <w:rPr>
                <w:sz w:val="20"/>
                <w:szCs w:val="20"/>
                <w:color w:val="auto"/>
              </w:rPr>
            </w:pPr>
            <w:r>
              <w:rPr>
                <w:rFonts w:ascii="Arial" w:cs="Arial" w:eastAsia="Arial" w:hAnsi="Arial"/>
                <w:sz w:val="18"/>
                <w:szCs w:val="18"/>
                <w:color w:val="auto"/>
              </w:rPr>
              <w:t>22,869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298.7473</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298.47</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299.18</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SAAN</w:t>
            </w:r>
          </w:p>
        </w:tc>
        <w:tc>
          <w:tcPr>
            <w:tcW w:w="194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9"/>
              </w:rPr>
              <w:t>5/19/2014</w:t>
            </w:r>
          </w:p>
        </w:tc>
        <w:tc>
          <w:tcPr>
            <w:tcW w:w="146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86"/>
              </w:rPr>
              <w:t>Purchase</w:t>
            </w:r>
          </w:p>
        </w:tc>
        <w:tc>
          <w:tcPr>
            <w:tcW w:w="1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33,610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300.1963</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299.50</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300.49</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SAAN</w:t>
            </w:r>
          </w:p>
        </w:tc>
        <w:tc>
          <w:tcPr>
            <w:tcW w:w="1940" w:type="dxa"/>
            <w:vAlign w:val="bottom"/>
          </w:tcPr>
          <w:p>
            <w:pPr>
              <w:jc w:val="center"/>
              <w:ind w:left="130"/>
              <w:spacing w:after="0"/>
              <w:rPr>
                <w:sz w:val="20"/>
                <w:szCs w:val="20"/>
                <w:color w:val="auto"/>
              </w:rPr>
            </w:pPr>
            <w:r>
              <w:rPr>
                <w:rFonts w:ascii="Arial" w:cs="Arial" w:eastAsia="Arial" w:hAnsi="Arial"/>
                <w:sz w:val="18"/>
                <w:szCs w:val="18"/>
                <w:color w:val="auto"/>
                <w:w w:val="89"/>
              </w:rPr>
              <w:t>5/19/2014</w:t>
            </w:r>
          </w:p>
        </w:tc>
        <w:tc>
          <w:tcPr>
            <w:tcW w:w="1460" w:type="dxa"/>
            <w:vAlign w:val="bottom"/>
          </w:tcPr>
          <w:p>
            <w:pPr>
              <w:jc w:val="center"/>
              <w:ind w:left="190"/>
              <w:spacing w:after="0"/>
              <w:rPr>
                <w:sz w:val="20"/>
                <w:szCs w:val="20"/>
                <w:color w:val="auto"/>
              </w:rPr>
            </w:pPr>
            <w:r>
              <w:rPr>
                <w:rFonts w:ascii="Arial" w:cs="Arial" w:eastAsia="Arial" w:hAnsi="Arial"/>
                <w:sz w:val="18"/>
                <w:szCs w:val="18"/>
                <w:color w:val="auto"/>
                <w:w w:val="86"/>
              </w:rPr>
              <w:t>Purchase</w:t>
            </w:r>
          </w:p>
        </w:tc>
        <w:tc>
          <w:tcPr>
            <w:tcW w:w="1620" w:type="dxa"/>
            <w:vAlign w:val="bottom"/>
            <w:gridSpan w:val="3"/>
          </w:tcPr>
          <w:p>
            <w:pPr>
              <w:jc w:val="right"/>
              <w:ind w:right="120"/>
              <w:spacing w:after="0"/>
              <w:rPr>
                <w:sz w:val="20"/>
                <w:szCs w:val="20"/>
                <w:color w:val="auto"/>
              </w:rPr>
            </w:pPr>
            <w:r>
              <w:rPr>
                <w:rFonts w:ascii="Arial" w:cs="Arial" w:eastAsia="Arial" w:hAnsi="Arial"/>
                <w:sz w:val="18"/>
                <w:szCs w:val="18"/>
                <w:color w:val="auto"/>
              </w:rPr>
              <w:t>41,388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300.9500</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300.50</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301.49</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SAAN</w:t>
            </w:r>
          </w:p>
        </w:tc>
        <w:tc>
          <w:tcPr>
            <w:tcW w:w="194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9"/>
              </w:rPr>
              <w:t>5/19/2014</w:t>
            </w:r>
          </w:p>
        </w:tc>
        <w:tc>
          <w:tcPr>
            <w:tcW w:w="146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86"/>
              </w:rPr>
              <w:t>Purchase</w:t>
            </w:r>
          </w:p>
        </w:tc>
        <w:tc>
          <w:tcPr>
            <w:tcW w:w="1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35,781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301.9027</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301.50</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302.48</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SAAN</w:t>
            </w:r>
          </w:p>
        </w:tc>
        <w:tc>
          <w:tcPr>
            <w:tcW w:w="1940" w:type="dxa"/>
            <w:vAlign w:val="bottom"/>
          </w:tcPr>
          <w:p>
            <w:pPr>
              <w:jc w:val="center"/>
              <w:ind w:left="130"/>
              <w:spacing w:after="0"/>
              <w:rPr>
                <w:sz w:val="20"/>
                <w:szCs w:val="20"/>
                <w:color w:val="auto"/>
              </w:rPr>
            </w:pPr>
            <w:r>
              <w:rPr>
                <w:rFonts w:ascii="Arial" w:cs="Arial" w:eastAsia="Arial" w:hAnsi="Arial"/>
                <w:sz w:val="18"/>
                <w:szCs w:val="18"/>
                <w:color w:val="auto"/>
                <w:w w:val="89"/>
              </w:rPr>
              <w:t>5/19/2014</w:t>
            </w:r>
          </w:p>
        </w:tc>
        <w:tc>
          <w:tcPr>
            <w:tcW w:w="1460" w:type="dxa"/>
            <w:vAlign w:val="bottom"/>
          </w:tcPr>
          <w:p>
            <w:pPr>
              <w:jc w:val="center"/>
              <w:ind w:left="190"/>
              <w:spacing w:after="0"/>
              <w:rPr>
                <w:sz w:val="20"/>
                <w:szCs w:val="20"/>
                <w:color w:val="auto"/>
              </w:rPr>
            </w:pPr>
            <w:r>
              <w:rPr>
                <w:rFonts w:ascii="Arial" w:cs="Arial" w:eastAsia="Arial" w:hAnsi="Arial"/>
                <w:sz w:val="18"/>
                <w:szCs w:val="18"/>
                <w:color w:val="auto"/>
                <w:w w:val="86"/>
              </w:rPr>
              <w:t>Purchase</w:t>
            </w:r>
          </w:p>
        </w:tc>
        <w:tc>
          <w:tcPr>
            <w:tcW w:w="1620" w:type="dxa"/>
            <w:vAlign w:val="bottom"/>
            <w:gridSpan w:val="3"/>
          </w:tcPr>
          <w:p>
            <w:pPr>
              <w:jc w:val="right"/>
              <w:ind w:right="120"/>
              <w:spacing w:after="0"/>
              <w:rPr>
                <w:sz w:val="20"/>
                <w:szCs w:val="20"/>
                <w:color w:val="auto"/>
              </w:rPr>
            </w:pPr>
            <w:r>
              <w:rPr>
                <w:rFonts w:ascii="Arial" w:cs="Arial" w:eastAsia="Arial" w:hAnsi="Arial"/>
                <w:sz w:val="18"/>
                <w:szCs w:val="18"/>
                <w:color w:val="auto"/>
              </w:rPr>
              <w:t>12,220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302.7036</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302.51</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303.28</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SAAN</w:t>
            </w:r>
          </w:p>
        </w:tc>
        <w:tc>
          <w:tcPr>
            <w:tcW w:w="194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9"/>
              </w:rPr>
              <w:t>6/27/2014</w:t>
            </w:r>
          </w:p>
        </w:tc>
        <w:tc>
          <w:tcPr>
            <w:tcW w:w="146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86"/>
              </w:rPr>
              <w:t>Purchase</w:t>
            </w:r>
          </w:p>
        </w:tc>
        <w:tc>
          <w:tcPr>
            <w:tcW w:w="1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10,105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272.6967</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272.25</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273.22</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SAAN</w:t>
            </w:r>
          </w:p>
        </w:tc>
        <w:tc>
          <w:tcPr>
            <w:tcW w:w="1940" w:type="dxa"/>
            <w:vAlign w:val="bottom"/>
          </w:tcPr>
          <w:p>
            <w:pPr>
              <w:jc w:val="center"/>
              <w:ind w:left="130"/>
              <w:spacing w:after="0"/>
              <w:rPr>
                <w:sz w:val="20"/>
                <w:szCs w:val="20"/>
                <w:color w:val="auto"/>
              </w:rPr>
            </w:pPr>
            <w:r>
              <w:rPr>
                <w:rFonts w:ascii="Arial" w:cs="Arial" w:eastAsia="Arial" w:hAnsi="Arial"/>
                <w:sz w:val="18"/>
                <w:szCs w:val="18"/>
                <w:color w:val="auto"/>
                <w:w w:val="89"/>
              </w:rPr>
              <w:t>6/27/2014</w:t>
            </w:r>
          </w:p>
        </w:tc>
        <w:tc>
          <w:tcPr>
            <w:tcW w:w="1460" w:type="dxa"/>
            <w:vAlign w:val="bottom"/>
          </w:tcPr>
          <w:p>
            <w:pPr>
              <w:jc w:val="center"/>
              <w:ind w:left="190"/>
              <w:spacing w:after="0"/>
              <w:rPr>
                <w:sz w:val="20"/>
                <w:szCs w:val="20"/>
                <w:color w:val="auto"/>
              </w:rPr>
            </w:pPr>
            <w:r>
              <w:rPr>
                <w:rFonts w:ascii="Arial" w:cs="Arial" w:eastAsia="Arial" w:hAnsi="Arial"/>
                <w:sz w:val="18"/>
                <w:szCs w:val="18"/>
                <w:color w:val="auto"/>
                <w:w w:val="86"/>
              </w:rPr>
              <w:t>Purchase</w:t>
            </w:r>
          </w:p>
        </w:tc>
        <w:tc>
          <w:tcPr>
            <w:tcW w:w="1620" w:type="dxa"/>
            <w:vAlign w:val="bottom"/>
            <w:gridSpan w:val="3"/>
          </w:tcPr>
          <w:p>
            <w:pPr>
              <w:jc w:val="right"/>
              <w:ind w:right="120"/>
              <w:spacing w:after="0"/>
              <w:rPr>
                <w:sz w:val="20"/>
                <w:szCs w:val="20"/>
                <w:color w:val="auto"/>
              </w:rPr>
            </w:pPr>
            <w:r>
              <w:rPr>
                <w:rFonts w:ascii="Arial" w:cs="Arial" w:eastAsia="Arial" w:hAnsi="Arial"/>
                <w:sz w:val="18"/>
                <w:szCs w:val="18"/>
                <w:color w:val="auto"/>
              </w:rPr>
              <w:t>2,011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273.8054</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273.30</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274.13</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SAAN</w:t>
            </w:r>
          </w:p>
        </w:tc>
        <w:tc>
          <w:tcPr>
            <w:tcW w:w="194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9"/>
              </w:rPr>
              <w:t>6/27/2014</w:t>
            </w:r>
          </w:p>
        </w:tc>
        <w:tc>
          <w:tcPr>
            <w:tcW w:w="146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86"/>
              </w:rPr>
              <w:t>Purchase</w:t>
            </w:r>
          </w:p>
        </w:tc>
        <w:tc>
          <w:tcPr>
            <w:tcW w:w="1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4,593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274.7689</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274.32</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275.29</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SAAN</w:t>
            </w:r>
          </w:p>
        </w:tc>
        <w:tc>
          <w:tcPr>
            <w:tcW w:w="1940" w:type="dxa"/>
            <w:vAlign w:val="bottom"/>
          </w:tcPr>
          <w:p>
            <w:pPr>
              <w:jc w:val="center"/>
              <w:ind w:left="130"/>
              <w:spacing w:after="0"/>
              <w:rPr>
                <w:sz w:val="20"/>
                <w:szCs w:val="20"/>
                <w:color w:val="auto"/>
              </w:rPr>
            </w:pPr>
            <w:r>
              <w:rPr>
                <w:rFonts w:ascii="Arial" w:cs="Arial" w:eastAsia="Arial" w:hAnsi="Arial"/>
                <w:sz w:val="18"/>
                <w:szCs w:val="18"/>
                <w:color w:val="auto"/>
                <w:w w:val="89"/>
              </w:rPr>
              <w:t>6/27/2014</w:t>
            </w:r>
          </w:p>
        </w:tc>
        <w:tc>
          <w:tcPr>
            <w:tcW w:w="1460" w:type="dxa"/>
            <w:vAlign w:val="bottom"/>
          </w:tcPr>
          <w:p>
            <w:pPr>
              <w:jc w:val="center"/>
              <w:ind w:left="190"/>
              <w:spacing w:after="0"/>
              <w:rPr>
                <w:sz w:val="20"/>
                <w:szCs w:val="20"/>
                <w:color w:val="auto"/>
              </w:rPr>
            </w:pPr>
            <w:r>
              <w:rPr>
                <w:rFonts w:ascii="Arial" w:cs="Arial" w:eastAsia="Arial" w:hAnsi="Arial"/>
                <w:sz w:val="18"/>
                <w:szCs w:val="18"/>
                <w:color w:val="auto"/>
                <w:w w:val="86"/>
              </w:rPr>
              <w:t>Purchase</w:t>
            </w:r>
          </w:p>
        </w:tc>
        <w:tc>
          <w:tcPr>
            <w:tcW w:w="1620" w:type="dxa"/>
            <w:vAlign w:val="bottom"/>
            <w:gridSpan w:val="3"/>
          </w:tcPr>
          <w:p>
            <w:pPr>
              <w:jc w:val="right"/>
              <w:ind w:right="120"/>
              <w:spacing w:after="0"/>
              <w:rPr>
                <w:sz w:val="20"/>
                <w:szCs w:val="20"/>
                <w:color w:val="auto"/>
              </w:rPr>
            </w:pPr>
            <w:r>
              <w:rPr>
                <w:rFonts w:ascii="Arial" w:cs="Arial" w:eastAsia="Arial" w:hAnsi="Arial"/>
                <w:sz w:val="18"/>
                <w:szCs w:val="18"/>
                <w:color w:val="auto"/>
              </w:rPr>
              <w:t>15,394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275.8115</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275.32</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276.31</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SAAN</w:t>
            </w:r>
          </w:p>
        </w:tc>
        <w:tc>
          <w:tcPr>
            <w:tcW w:w="194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9"/>
              </w:rPr>
              <w:t>6/27/2014</w:t>
            </w:r>
          </w:p>
        </w:tc>
        <w:tc>
          <w:tcPr>
            <w:tcW w:w="146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86"/>
              </w:rPr>
              <w:t>Purchase</w:t>
            </w:r>
          </w:p>
        </w:tc>
        <w:tc>
          <w:tcPr>
            <w:tcW w:w="1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16,131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276.8007</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276.34</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277.33</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SAAN</w:t>
            </w:r>
          </w:p>
        </w:tc>
        <w:tc>
          <w:tcPr>
            <w:tcW w:w="1940" w:type="dxa"/>
            <w:vAlign w:val="bottom"/>
          </w:tcPr>
          <w:p>
            <w:pPr>
              <w:jc w:val="center"/>
              <w:ind w:left="130"/>
              <w:spacing w:after="0"/>
              <w:rPr>
                <w:sz w:val="20"/>
                <w:szCs w:val="20"/>
                <w:color w:val="auto"/>
              </w:rPr>
            </w:pPr>
            <w:r>
              <w:rPr>
                <w:rFonts w:ascii="Arial" w:cs="Arial" w:eastAsia="Arial" w:hAnsi="Arial"/>
                <w:sz w:val="18"/>
                <w:szCs w:val="18"/>
                <w:color w:val="auto"/>
                <w:w w:val="89"/>
              </w:rPr>
              <w:t>6/27/2014</w:t>
            </w:r>
          </w:p>
        </w:tc>
        <w:tc>
          <w:tcPr>
            <w:tcW w:w="1460" w:type="dxa"/>
            <w:vAlign w:val="bottom"/>
          </w:tcPr>
          <w:p>
            <w:pPr>
              <w:jc w:val="center"/>
              <w:ind w:left="190"/>
              <w:spacing w:after="0"/>
              <w:rPr>
                <w:sz w:val="20"/>
                <w:szCs w:val="20"/>
                <w:color w:val="auto"/>
              </w:rPr>
            </w:pPr>
            <w:r>
              <w:rPr>
                <w:rFonts w:ascii="Arial" w:cs="Arial" w:eastAsia="Arial" w:hAnsi="Arial"/>
                <w:sz w:val="18"/>
                <w:szCs w:val="18"/>
                <w:color w:val="auto"/>
                <w:w w:val="86"/>
              </w:rPr>
              <w:t>Purchase</w:t>
            </w:r>
          </w:p>
        </w:tc>
        <w:tc>
          <w:tcPr>
            <w:tcW w:w="1620" w:type="dxa"/>
            <w:vAlign w:val="bottom"/>
            <w:gridSpan w:val="3"/>
          </w:tcPr>
          <w:p>
            <w:pPr>
              <w:jc w:val="right"/>
              <w:ind w:right="120"/>
              <w:spacing w:after="0"/>
              <w:rPr>
                <w:sz w:val="20"/>
                <w:szCs w:val="20"/>
                <w:color w:val="auto"/>
              </w:rPr>
            </w:pPr>
            <w:r>
              <w:rPr>
                <w:rFonts w:ascii="Arial" w:cs="Arial" w:eastAsia="Arial" w:hAnsi="Arial"/>
                <w:sz w:val="18"/>
                <w:szCs w:val="18"/>
                <w:color w:val="auto"/>
              </w:rPr>
              <w:t>1,766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277.4302</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277.34</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277.57</w:t>
            </w:r>
          </w:p>
        </w:tc>
      </w:tr>
    </w:tbl>
    <w:p>
      <w:pPr>
        <w:spacing w:after="0" w:line="18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number of securities reported represents an aggregate number of shares executed by a broker-dealer in multiple market transactions over a range of prices. The price per share reported represents the weighted average price (without regard to brokerage commissions and fees). The Reporting Person undertakes to provide the staff of the SEC upon request, the number of shares executed by such Reporting Person at each separate price within the range.</w:t>
      </w:r>
    </w:p>
    <w:p>
      <w:pPr>
        <w:spacing w:after="0" w:line="14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†Beginning June 27, 2014, SAAN purchased the shares of Common Stock pursuant to a plan intended to comply with Rule 10b5-1(c)(1)(i) under the Exchange Act, entered into with a broker on June 27, 2014.</w:t>
      </w:r>
    </w:p>
    <w:p>
      <w:pPr>
        <w:spacing w:after="0" w:line="166" w:lineRule="exact"/>
        <w:rPr>
          <w:sz w:val="20"/>
          <w:szCs w:val="20"/>
          <w:color w:val="auto"/>
        </w:rPr>
      </w:pPr>
    </w:p>
    <w:p>
      <w:pPr>
        <w:jc w:val="center"/>
        <w:ind w:right="-39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020"/>
      </w:cols>
      <w:pgMar w:left="240" w:top="108"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3"/>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2019-12-06T04:17:04Z</dcterms:created>
  <dcterms:modified xsi:type="dcterms:W3CDTF">2019-12-06T04:17:04Z</dcterms:modified>
</cp:coreProperties>
</file>