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19, 2019 (June 14, 2019)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640" w:type="dxa"/>
            <w:vAlign w:val="bottom"/>
          </w:tcPr>
          <w:p>
            <w:pPr>
              <w:jc w:val="center"/>
              <w:ind w:right="1543"/>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83"/>
              <w:spacing w:after="0"/>
              <w:rPr>
                <w:sz w:val="20"/>
                <w:szCs w:val="20"/>
                <w:color w:val="auto"/>
              </w:rPr>
            </w:pPr>
            <w:r>
              <w:rPr>
                <w:rFonts w:ascii="Arial" w:cs="Arial" w:eastAsia="Arial" w:hAnsi="Arial"/>
                <w:sz w:val="18"/>
                <w:szCs w:val="18"/>
                <w:b w:val="1"/>
                <w:bCs w:val="1"/>
                <w:color w:val="auto"/>
                <w:w w:val="91"/>
              </w:rPr>
              <w:t>13-3444607</w:t>
            </w:r>
          </w:p>
        </w:tc>
      </w:tr>
      <w:tr>
        <w:trPr>
          <w:trHeight w:val="163"/>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(Commission</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8"/>
              </w:rPr>
              <w:t>File Number)</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Identification No.)</w:t>
            </w:r>
          </w:p>
        </w:tc>
      </w:tr>
      <w:tr>
        <w:trPr>
          <w:trHeight w:val="474"/>
        </w:trPr>
        <w:tc>
          <w:tcPr>
            <w:tcW w:w="5640" w:type="dxa"/>
            <w:vAlign w:val="bottom"/>
          </w:tcPr>
          <w:p>
            <w:pPr>
              <w:jc w:val="center"/>
              <w:ind w:right="1523"/>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right"/>
              <w:ind w:right="63"/>
              <w:spacing w:after="0"/>
              <w:rPr>
                <w:sz w:val="20"/>
                <w:szCs w:val="20"/>
                <w:color w:val="auto"/>
              </w:rPr>
            </w:pPr>
            <w:r>
              <w:rPr>
                <w:rFonts w:ascii="Arial" w:cs="Arial" w:eastAsia="Arial" w:hAnsi="Arial"/>
                <w:sz w:val="18"/>
                <w:szCs w:val="18"/>
                <w:b w:val="1"/>
                <w:bCs w:val="1"/>
                <w:color w:val="auto"/>
              </w:rPr>
              <w:t>10591-6707</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17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At the 2019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14, 2019, Regeneron’s shareholders voted on the matters set forth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nominees for Class I directors were elected to serve until the 2022 Annual Meeting of Shareholders and until their successors are duly elected and qualified based upon the following votes: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Nominee</w:t>
            </w:r>
          </w:p>
        </w:tc>
        <w:tc>
          <w:tcPr>
            <w:tcW w:w="2060" w:type="dxa"/>
            <w:vAlign w:val="bottom"/>
            <w:gridSpan w:val="2"/>
          </w:tcPr>
          <w:p>
            <w:pPr>
              <w:ind w:left="780"/>
              <w:spacing w:after="0"/>
              <w:rPr>
                <w:sz w:val="20"/>
                <w:szCs w:val="20"/>
                <w:color w:val="auto"/>
              </w:rPr>
            </w:pPr>
            <w:r>
              <w:rPr>
                <w:rFonts w:ascii="Arial" w:cs="Arial" w:eastAsia="Arial" w:hAnsi="Arial"/>
                <w:sz w:val="16"/>
                <w:szCs w:val="16"/>
                <w:b w:val="1"/>
                <w:bCs w:val="1"/>
                <w:color w:val="auto"/>
              </w:rPr>
              <w:t>For</w:t>
            </w:r>
          </w:p>
        </w:tc>
        <w:tc>
          <w:tcPr>
            <w:tcW w:w="1800" w:type="dxa"/>
            <w:vAlign w:val="bottom"/>
            <w:gridSpan w:val="2"/>
          </w:tcPr>
          <w:p>
            <w:pPr>
              <w:ind w:left="460"/>
              <w:spacing w:after="0"/>
              <w:rPr>
                <w:sz w:val="20"/>
                <w:szCs w:val="20"/>
                <w:color w:val="auto"/>
              </w:rPr>
            </w:pPr>
            <w:r>
              <w:rPr>
                <w:rFonts w:ascii="Arial" w:cs="Arial" w:eastAsia="Arial" w:hAnsi="Arial"/>
                <w:sz w:val="16"/>
                <w:szCs w:val="16"/>
                <w:b w:val="1"/>
                <w:bCs w:val="1"/>
                <w:color w:val="auto"/>
              </w:rPr>
              <w:t>Against</w:t>
            </w:r>
          </w:p>
        </w:tc>
        <w:tc>
          <w:tcPr>
            <w:tcW w:w="1400" w:type="dxa"/>
            <w:vAlign w:val="bottom"/>
            <w:gridSpan w:val="2"/>
          </w:tcPr>
          <w:p>
            <w:pPr>
              <w:ind w:left="300"/>
              <w:spacing w:after="0"/>
              <w:rPr>
                <w:sz w:val="20"/>
                <w:szCs w:val="20"/>
                <w:color w:val="auto"/>
              </w:rPr>
            </w:pPr>
            <w:r>
              <w:rPr>
                <w:rFonts w:ascii="Arial" w:cs="Arial" w:eastAsia="Arial" w:hAnsi="Arial"/>
                <w:sz w:val="16"/>
                <w:szCs w:val="16"/>
                <w:b w:val="1"/>
                <w:bCs w:val="1"/>
                <w:color w:val="auto"/>
              </w:rPr>
              <w:t>Abstain</w:t>
            </w:r>
          </w:p>
        </w:tc>
        <w:tc>
          <w:tcPr>
            <w:tcW w:w="1700" w:type="dxa"/>
            <w:vAlign w:val="bottom"/>
          </w:tcPr>
          <w:p>
            <w:pPr>
              <w:jc w:val="right"/>
              <w:ind w:right="132"/>
              <w:spacing w:after="0"/>
              <w:rPr>
                <w:sz w:val="20"/>
                <w:szCs w:val="20"/>
                <w:color w:val="auto"/>
              </w:rPr>
            </w:pPr>
            <w:r>
              <w:rPr>
                <w:rFonts w:ascii="Arial" w:cs="Arial" w:eastAsia="Arial" w:hAnsi="Arial"/>
                <w:sz w:val="16"/>
                <w:szCs w:val="16"/>
                <w:b w:val="1"/>
                <w:bCs w:val="1"/>
                <w:color w:val="auto"/>
              </w:rPr>
              <w:t>Broker Non-Votes</w:t>
            </w:r>
          </w:p>
        </w:tc>
      </w:tr>
      <w:tr>
        <w:trPr>
          <w:trHeight w:val="226"/>
        </w:trPr>
        <w:tc>
          <w:tcPr>
            <w:tcW w:w="4200" w:type="dxa"/>
            <w:vAlign w:val="bottom"/>
            <w:tcBorders>
              <w:top w:val="single" w:sz="8" w:color="auto"/>
            </w:tcBorders>
            <w:shd w:val="clear" w:color="auto" w:fill="E5FFFF"/>
          </w:tcPr>
          <w:p>
            <w:pPr>
              <w:ind w:left="100"/>
              <w:spacing w:after="0"/>
              <w:rPr>
                <w:sz w:val="20"/>
                <w:szCs w:val="20"/>
                <w:color w:val="auto"/>
              </w:rPr>
            </w:pPr>
            <w:r>
              <w:rPr>
                <w:rFonts w:ascii="Arial" w:cs="Arial" w:eastAsia="Arial" w:hAnsi="Arial"/>
                <w:sz w:val="18"/>
                <w:szCs w:val="18"/>
                <w:color w:val="auto"/>
              </w:rPr>
              <w:t>Bonnie L. Bassler, Ph.D.</w:t>
            </w:r>
          </w:p>
        </w:tc>
        <w:tc>
          <w:tcPr>
            <w:tcW w:w="260" w:type="dxa"/>
            <w:vAlign w:val="bottom"/>
            <w:tcBorders>
              <w:top w:val="single" w:sz="8" w:color="E5FFFF"/>
            </w:tcBorders>
            <w:shd w:val="clear" w:color="auto" w:fill="E5FFFF"/>
          </w:tcPr>
          <w:p>
            <w:pPr>
              <w:spacing w:after="0"/>
              <w:rPr>
                <w:sz w:val="19"/>
                <w:szCs w:val="19"/>
                <w:color w:val="auto"/>
              </w:rPr>
            </w:pPr>
          </w:p>
        </w:tc>
        <w:tc>
          <w:tcPr>
            <w:tcW w:w="1800" w:type="dxa"/>
            <w:vAlign w:val="bottom"/>
            <w:tcBorders>
              <w:top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85,628,143</w:t>
            </w:r>
          </w:p>
        </w:tc>
        <w:tc>
          <w:tcPr>
            <w:tcW w:w="260" w:type="dxa"/>
            <w:vAlign w:val="bottom"/>
            <w:tcBorders>
              <w:top w:val="single" w:sz="8" w:color="E5FFFF"/>
            </w:tcBorders>
            <w:shd w:val="clear" w:color="auto" w:fill="E5FFFF"/>
          </w:tcPr>
          <w:p>
            <w:pPr>
              <w:spacing w:after="0"/>
              <w:rPr>
                <w:sz w:val="19"/>
                <w:szCs w:val="19"/>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27,942,162</w:t>
            </w:r>
          </w:p>
        </w:tc>
        <w:tc>
          <w:tcPr>
            <w:tcW w:w="340" w:type="dxa"/>
            <w:vAlign w:val="bottom"/>
            <w:tcBorders>
              <w:top w:val="single" w:sz="8" w:color="E5FFFF"/>
            </w:tcBorders>
            <w:shd w:val="clear" w:color="auto" w:fill="E5FFFF"/>
          </w:tcPr>
          <w:p>
            <w:pPr>
              <w:spacing w:after="0"/>
              <w:rPr>
                <w:sz w:val="19"/>
                <w:szCs w:val="19"/>
                <w:color w:val="auto"/>
              </w:rPr>
            </w:pPr>
          </w:p>
        </w:tc>
        <w:tc>
          <w:tcPr>
            <w:tcW w:w="1140" w:type="dxa"/>
            <w:vAlign w:val="bottom"/>
            <w:tcBorders>
              <w:top w:val="single" w:sz="8" w:color="auto"/>
            </w:tcBorders>
            <w:shd w:val="clear" w:color="auto" w:fill="E5FFFF"/>
          </w:tcPr>
          <w:p>
            <w:pPr>
              <w:jc w:val="right"/>
              <w:ind w:right="92"/>
              <w:spacing w:after="0"/>
              <w:rPr>
                <w:sz w:val="20"/>
                <w:szCs w:val="20"/>
                <w:color w:val="auto"/>
              </w:rPr>
            </w:pPr>
            <w:r>
              <w:rPr>
                <w:rFonts w:ascii="Arial" w:cs="Arial" w:eastAsia="Arial" w:hAnsi="Arial"/>
                <w:sz w:val="18"/>
                <w:szCs w:val="18"/>
                <w:color w:val="auto"/>
              </w:rPr>
              <w:t>30,990</w:t>
            </w:r>
          </w:p>
        </w:tc>
        <w:tc>
          <w:tcPr>
            <w:tcW w:w="260" w:type="dxa"/>
            <w:vAlign w:val="bottom"/>
            <w:tcBorders>
              <w:top w:val="single" w:sz="8" w:color="E5FFFF"/>
            </w:tcBorders>
            <w:shd w:val="clear" w:color="auto" w:fill="E5FFFF"/>
          </w:tcPr>
          <w:p>
            <w:pPr>
              <w:spacing w:after="0"/>
              <w:rPr>
                <w:sz w:val="19"/>
                <w:szCs w:val="19"/>
                <w:color w:val="auto"/>
              </w:rPr>
            </w:pPr>
          </w:p>
        </w:tc>
        <w:tc>
          <w:tcPr>
            <w:tcW w:w="1700" w:type="dxa"/>
            <w:vAlign w:val="bottom"/>
            <w:tcBorders>
              <w:top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6,040,028</w:t>
            </w:r>
          </w:p>
        </w:tc>
      </w:tr>
      <w:tr>
        <w:trPr>
          <w:trHeight w:val="237"/>
        </w:trPr>
        <w:tc>
          <w:tcPr>
            <w:tcW w:w="4460" w:type="dxa"/>
            <w:vAlign w:val="bottom"/>
            <w:gridSpan w:val="2"/>
          </w:tcPr>
          <w:p>
            <w:pPr>
              <w:ind w:left="100"/>
              <w:spacing w:after="0"/>
              <w:rPr>
                <w:sz w:val="20"/>
                <w:szCs w:val="20"/>
                <w:color w:val="auto"/>
              </w:rPr>
            </w:pPr>
            <w:r>
              <w:rPr>
                <w:rFonts w:ascii="Arial" w:cs="Arial" w:eastAsia="Arial" w:hAnsi="Arial"/>
                <w:sz w:val="18"/>
                <w:szCs w:val="18"/>
                <w:color w:val="auto"/>
              </w:rPr>
              <w:t>Michael S. Brown, M.D.</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80,314,417</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33,258,114</w:t>
            </w:r>
          </w:p>
        </w:tc>
        <w:tc>
          <w:tcPr>
            <w:tcW w:w="34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28,764</w:t>
            </w:r>
          </w:p>
        </w:tc>
        <w:tc>
          <w:tcPr>
            <w:tcW w:w="260" w:type="dxa"/>
            <w:vAlign w:val="bottom"/>
          </w:tcPr>
          <w:p>
            <w:pPr>
              <w:spacing w:after="0"/>
              <w:rPr>
                <w:sz w:val="20"/>
                <w:szCs w:val="20"/>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6,040,028</w:t>
            </w:r>
          </w:p>
        </w:tc>
      </w:tr>
      <w:tr>
        <w:trPr>
          <w:trHeight w:val="249"/>
        </w:trPr>
        <w:tc>
          <w:tcPr>
            <w:tcW w:w="446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Leonard S. Schleifer, M.D., Ph.D.</w:t>
            </w:r>
          </w:p>
        </w:tc>
        <w:tc>
          <w:tcPr>
            <w:tcW w:w="18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95,228,644</w:t>
            </w:r>
          </w:p>
        </w:tc>
        <w:tc>
          <w:tcPr>
            <w:tcW w:w="260" w:type="dxa"/>
            <w:vAlign w:val="bottom"/>
            <w:shd w:val="clear" w:color="auto" w:fill="E5FFFF"/>
          </w:tcPr>
          <w:p>
            <w:pPr>
              <w:spacing w:after="0"/>
              <w:rPr>
                <w:sz w:val="21"/>
                <w:szCs w:val="21"/>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18,346,827</w:t>
            </w:r>
          </w:p>
        </w:tc>
        <w:tc>
          <w:tcPr>
            <w:tcW w:w="34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92"/>
              <w:spacing w:after="0"/>
              <w:rPr>
                <w:sz w:val="20"/>
                <w:szCs w:val="20"/>
                <w:color w:val="auto"/>
              </w:rPr>
            </w:pPr>
            <w:r>
              <w:rPr>
                <w:rFonts w:ascii="Arial" w:cs="Arial" w:eastAsia="Arial" w:hAnsi="Arial"/>
                <w:sz w:val="18"/>
                <w:szCs w:val="18"/>
                <w:color w:val="auto"/>
              </w:rPr>
              <w:t>25,824</w:t>
            </w:r>
          </w:p>
        </w:tc>
        <w:tc>
          <w:tcPr>
            <w:tcW w:w="260" w:type="dxa"/>
            <w:vAlign w:val="bottom"/>
            <w:shd w:val="clear" w:color="auto" w:fill="E5FFFF"/>
          </w:tcPr>
          <w:p>
            <w:pPr>
              <w:spacing w:after="0"/>
              <w:rPr>
                <w:sz w:val="21"/>
                <w:szCs w:val="21"/>
                <w:color w:val="auto"/>
              </w:rPr>
            </w:pPr>
          </w:p>
        </w:tc>
        <w:tc>
          <w:tcPr>
            <w:tcW w:w="17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6,040,028</w:t>
            </w:r>
          </w:p>
        </w:tc>
      </w:tr>
      <w:tr>
        <w:trPr>
          <w:trHeight w:val="230"/>
        </w:trPr>
        <w:tc>
          <w:tcPr>
            <w:tcW w:w="4460" w:type="dxa"/>
            <w:vAlign w:val="bottom"/>
            <w:gridSpan w:val="2"/>
          </w:tcPr>
          <w:p>
            <w:pPr>
              <w:ind w:left="100"/>
              <w:spacing w:after="0"/>
              <w:rPr>
                <w:sz w:val="20"/>
                <w:szCs w:val="20"/>
                <w:color w:val="auto"/>
              </w:rPr>
            </w:pPr>
            <w:r>
              <w:rPr>
                <w:rFonts w:ascii="Arial" w:cs="Arial" w:eastAsia="Arial" w:hAnsi="Arial"/>
                <w:sz w:val="18"/>
                <w:szCs w:val="18"/>
                <w:color w:val="auto"/>
              </w:rPr>
              <w:t>George D. Yancopoulos, M.D., Ph.D.</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95,033,933</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18,541,201</w:t>
            </w:r>
          </w:p>
        </w:tc>
        <w:tc>
          <w:tcPr>
            <w:tcW w:w="34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26,161</w:t>
            </w:r>
          </w:p>
        </w:tc>
        <w:tc>
          <w:tcPr>
            <w:tcW w:w="260" w:type="dxa"/>
            <w:vAlign w:val="bottom"/>
          </w:tcPr>
          <w:p>
            <w:pPr>
              <w:spacing w:after="0"/>
              <w:rPr>
                <w:sz w:val="20"/>
                <w:szCs w:val="20"/>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6,040,028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2019 was approved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280" w:type="dxa"/>
            <w:vAlign w:val="bottom"/>
            <w:shd w:val="clear" w:color="auto" w:fill="E5FFFF"/>
          </w:tcPr>
          <w:p>
            <w:pPr>
              <w:ind w:left="80"/>
              <w:spacing w:after="0"/>
              <w:rPr>
                <w:sz w:val="20"/>
                <w:szCs w:val="20"/>
                <w:color w:val="auto"/>
              </w:rPr>
            </w:pPr>
            <w:r>
              <w:rPr>
                <w:rFonts w:ascii="Arial" w:cs="Arial" w:eastAsia="Arial" w:hAnsi="Arial"/>
                <w:sz w:val="18"/>
                <w:szCs w:val="18"/>
                <w:color w:val="auto"/>
              </w:rPr>
              <w:t>For:</w:t>
            </w:r>
          </w:p>
        </w:tc>
        <w:tc>
          <w:tcPr>
            <w:tcW w:w="35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117,583,908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Against:</w:t>
            </w:r>
          </w:p>
        </w:tc>
        <w:tc>
          <w:tcPr>
            <w:tcW w:w="3560" w:type="dxa"/>
            <w:vAlign w:val="bottom"/>
          </w:tcPr>
          <w:p>
            <w:pPr>
              <w:jc w:val="right"/>
              <w:ind w:right="10"/>
              <w:spacing w:after="0"/>
              <w:rPr>
                <w:sz w:val="20"/>
                <w:szCs w:val="20"/>
                <w:color w:val="auto"/>
              </w:rPr>
            </w:pPr>
            <w:r>
              <w:rPr>
                <w:rFonts w:ascii="Arial" w:cs="Arial" w:eastAsia="Arial" w:hAnsi="Arial"/>
                <w:sz w:val="18"/>
                <w:szCs w:val="18"/>
                <w:color w:val="auto"/>
              </w:rPr>
              <w:t>2,019,439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80" w:type="dxa"/>
            <w:vAlign w:val="bottom"/>
            <w:shd w:val="clear" w:color="auto" w:fill="E5FFFF"/>
          </w:tcPr>
          <w:p>
            <w:pPr>
              <w:ind w:left="80"/>
              <w:spacing w:after="0"/>
              <w:rPr>
                <w:sz w:val="20"/>
                <w:szCs w:val="20"/>
                <w:color w:val="auto"/>
              </w:rPr>
            </w:pPr>
            <w:r>
              <w:rPr>
                <w:rFonts w:ascii="Arial" w:cs="Arial" w:eastAsia="Arial" w:hAnsi="Arial"/>
                <w:sz w:val="18"/>
                <w:szCs w:val="18"/>
                <w:color w:val="auto"/>
              </w:rPr>
              <w:t>Abstain:</w:t>
            </w:r>
          </w:p>
        </w:tc>
        <w:tc>
          <w:tcPr>
            <w:tcW w:w="35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37,976</w:t>
            </w:r>
          </w:p>
        </w:tc>
        <w:tc>
          <w:tcPr>
            <w:tcW w:w="2280" w:type="dxa"/>
            <w:vAlign w:val="bottom"/>
          </w:tcPr>
          <w:p>
            <w:pPr>
              <w:spacing w:after="0"/>
              <w:rPr>
                <w:sz w:val="18"/>
                <w:szCs w:val="18"/>
                <w:color w:val="auto"/>
              </w:rPr>
            </w:pPr>
          </w:p>
        </w:tc>
      </w:tr>
      <w:tr>
        <w:trPr>
          <w:trHeight w:val="628"/>
        </w:trPr>
        <w:tc>
          <w:tcPr>
            <w:tcW w:w="2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REGENERON PHARMACEUTICALS, INC.</w:t>
      </w: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940"/>
      </w:cols>
      <w:pgMar w:left="240" w:top="81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2019-12-01T15:06:27Z</dcterms:created>
  <dcterms:modified xsi:type="dcterms:W3CDTF">2019-12-01T15:06:27Z</dcterms:modified>
</cp:coreProperties>
</file>