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16, 2021 (June 11, 2021)</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24"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5580" w:type="dxa"/>
            <w:vAlign w:val="bottom"/>
          </w:tcPr>
          <w:p>
            <w:pPr>
              <w:jc w:val="center"/>
              <w:ind w:right="1481"/>
              <w:spacing w:after="0"/>
              <w:rPr>
                <w:sz w:val="20"/>
                <w:szCs w:val="20"/>
                <w:color w:val="auto"/>
              </w:rPr>
            </w:pPr>
            <w:r>
              <w:rPr>
                <w:rFonts w:ascii="Arial" w:cs="Arial" w:eastAsia="Arial" w:hAnsi="Arial"/>
                <w:sz w:val="18"/>
                <w:szCs w:val="18"/>
                <w:b w:val="1"/>
                <w:bCs w:val="1"/>
                <w:color w:val="auto"/>
                <w:w w:val="90"/>
              </w:rPr>
              <w:t>000-19034</w:t>
            </w:r>
          </w:p>
        </w:tc>
        <w:tc>
          <w:tcPr>
            <w:tcW w:w="2680" w:type="dxa"/>
            <w:vAlign w:val="bottom"/>
          </w:tcPr>
          <w:p>
            <w:pPr>
              <w:jc w:val="center"/>
              <w:ind w:left="1461"/>
              <w:spacing w:after="0"/>
              <w:rPr>
                <w:sz w:val="20"/>
                <w:szCs w:val="20"/>
                <w:color w:val="auto"/>
              </w:rPr>
            </w:pPr>
            <w:r>
              <w:rPr>
                <w:rFonts w:ascii="Arial" w:cs="Arial" w:eastAsia="Arial" w:hAnsi="Arial"/>
                <w:sz w:val="18"/>
                <w:szCs w:val="18"/>
                <w:b w:val="1"/>
                <w:bCs w:val="1"/>
                <w:color w:val="auto"/>
                <w:w w:val="89"/>
              </w:rPr>
              <w:t>13-3444607</w:t>
            </w:r>
          </w:p>
        </w:tc>
      </w:tr>
      <w:tr>
        <w:trPr>
          <w:trHeight w:val="148"/>
        </w:trPr>
        <w:tc>
          <w:tcPr>
            <w:tcW w:w="5580" w:type="dxa"/>
            <w:vAlign w:val="bottom"/>
          </w:tcPr>
          <w:p>
            <w:pPr>
              <w:jc w:val="center"/>
              <w:ind w:right="1461"/>
              <w:spacing w:after="0" w:line="149" w:lineRule="exact"/>
              <w:rPr>
                <w:sz w:val="20"/>
                <w:szCs w:val="20"/>
                <w:color w:val="auto"/>
              </w:rPr>
            </w:pPr>
            <w:r>
              <w:rPr>
                <w:rFonts w:ascii="Arial" w:cs="Arial" w:eastAsia="Arial" w:hAnsi="Arial"/>
                <w:sz w:val="14"/>
                <w:szCs w:val="14"/>
                <w:b w:val="1"/>
                <w:bCs w:val="1"/>
                <w:color w:val="auto"/>
                <w:w w:val="90"/>
              </w:rPr>
              <w:t>(Commission</w:t>
            </w:r>
          </w:p>
        </w:tc>
        <w:tc>
          <w:tcPr>
            <w:tcW w:w="2680" w:type="dxa"/>
            <w:vAlign w:val="bottom"/>
          </w:tcPr>
          <w:p>
            <w:pPr>
              <w:jc w:val="center"/>
              <w:ind w:left="14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580" w:type="dxa"/>
            <w:vAlign w:val="bottom"/>
          </w:tcPr>
          <w:p>
            <w:pPr>
              <w:jc w:val="center"/>
              <w:ind w:right="1461"/>
              <w:spacing w:after="0"/>
              <w:rPr>
                <w:sz w:val="20"/>
                <w:szCs w:val="20"/>
                <w:color w:val="auto"/>
              </w:rPr>
            </w:pPr>
            <w:r>
              <w:rPr>
                <w:rFonts w:ascii="Arial" w:cs="Arial" w:eastAsia="Arial" w:hAnsi="Arial"/>
                <w:sz w:val="14"/>
                <w:szCs w:val="14"/>
                <w:b w:val="1"/>
                <w:bCs w:val="1"/>
                <w:color w:val="auto"/>
                <w:w w:val="98"/>
              </w:rPr>
              <w:t>File Number)</w:t>
            </w:r>
          </w:p>
        </w:tc>
        <w:tc>
          <w:tcPr>
            <w:tcW w:w="2680" w:type="dxa"/>
            <w:vAlign w:val="bottom"/>
          </w:tcPr>
          <w:p>
            <w:pPr>
              <w:jc w:val="center"/>
              <w:ind w:left="1461"/>
              <w:spacing w:after="0"/>
              <w:rPr>
                <w:sz w:val="20"/>
                <w:szCs w:val="20"/>
                <w:color w:val="auto"/>
              </w:rPr>
            </w:pPr>
            <w:r>
              <w:rPr>
                <w:rFonts w:ascii="Arial" w:cs="Arial" w:eastAsia="Arial" w:hAnsi="Arial"/>
                <w:sz w:val="14"/>
                <w:szCs w:val="14"/>
                <w:b w:val="1"/>
                <w:bCs w:val="1"/>
                <w:color w:val="auto"/>
                <w:w w:val="96"/>
              </w:rPr>
              <w:t>Identification No.)</w:t>
            </w:r>
          </w:p>
        </w:tc>
      </w:tr>
      <w:tr>
        <w:trPr>
          <w:trHeight w:val="610"/>
        </w:trPr>
        <w:tc>
          <w:tcPr>
            <w:tcW w:w="5580" w:type="dxa"/>
            <w:vAlign w:val="bottom"/>
          </w:tcPr>
          <w:p>
            <w:pPr>
              <w:jc w:val="center"/>
              <w:ind w:right="1461"/>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680" w:type="dxa"/>
            <w:vAlign w:val="bottom"/>
          </w:tcPr>
          <w:p>
            <w:pPr>
              <w:jc w:val="center"/>
              <w:ind w:left="1461"/>
              <w:spacing w:after="0"/>
              <w:rPr>
                <w:sz w:val="20"/>
                <w:szCs w:val="20"/>
                <w:color w:val="auto"/>
              </w:rPr>
            </w:pPr>
            <w:r>
              <w:rPr>
                <w:rFonts w:ascii="Arial" w:cs="Arial" w:eastAsia="Arial" w:hAnsi="Arial"/>
                <w:sz w:val="18"/>
                <w:szCs w:val="18"/>
                <w:b w:val="1"/>
                <w:bCs w:val="1"/>
                <w:color w:val="auto"/>
                <w:w w:val="89"/>
              </w:rPr>
              <w:t>10591-6707</w:t>
            </w:r>
          </w:p>
        </w:tc>
      </w:tr>
      <w:tr>
        <w:trPr>
          <w:trHeight w:val="186"/>
        </w:trPr>
        <w:tc>
          <w:tcPr>
            <w:tcW w:w="5580" w:type="dxa"/>
            <w:vAlign w:val="bottom"/>
          </w:tcPr>
          <w:p>
            <w:pPr>
              <w:jc w:val="center"/>
              <w:ind w:right="14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80" w:type="dxa"/>
            <w:vAlign w:val="bottom"/>
          </w:tcPr>
          <w:p>
            <w:pPr>
              <w:jc w:val="center"/>
              <w:ind w:left="1461"/>
              <w:spacing w:after="0"/>
              <w:rPr>
                <w:sz w:val="20"/>
                <w:szCs w:val="20"/>
                <w:color w:val="auto"/>
              </w:rPr>
            </w:pPr>
            <w:r>
              <w:rPr>
                <w:rFonts w:ascii="Arial" w:cs="Arial" w:eastAsia="Arial" w:hAnsi="Arial"/>
                <w:sz w:val="14"/>
                <w:szCs w:val="14"/>
                <w:b w:val="1"/>
                <w:bCs w:val="1"/>
                <w:color w:val="auto"/>
                <w:w w:val="95"/>
              </w:rPr>
              <w:t>(Zip Code)</w:t>
            </w: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6"/>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750570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At the 2021 Annual Meeting of Shareholders of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held on June 11, 2021, Regeneron’s shareholders voted on the matters set forth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nominees for Class III directors were elected to serve until the 2024 Annual Meeting of Shareholders and until their successors are duly elected and qualified based upon the following votes: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Nominee</w:t>
            </w:r>
          </w:p>
        </w:tc>
        <w:tc>
          <w:tcPr>
            <w:tcW w:w="1440" w:type="dxa"/>
            <w:vAlign w:val="bottom"/>
            <w:gridSpan w:val="2"/>
          </w:tcPr>
          <w:p>
            <w:pPr>
              <w:ind w:left="480"/>
              <w:spacing w:after="0"/>
              <w:rPr>
                <w:sz w:val="20"/>
                <w:szCs w:val="20"/>
                <w:color w:val="auto"/>
              </w:rPr>
            </w:pPr>
            <w:r>
              <w:rPr>
                <w:rFonts w:ascii="Arial" w:cs="Arial" w:eastAsia="Arial" w:hAnsi="Arial"/>
                <w:sz w:val="18"/>
                <w:szCs w:val="18"/>
                <w:b w:val="1"/>
                <w:bCs w:val="1"/>
                <w:color w:val="auto"/>
              </w:rPr>
              <w:t>For</w:t>
            </w:r>
          </w:p>
        </w:tc>
        <w:tc>
          <w:tcPr>
            <w:tcW w:w="1460" w:type="dxa"/>
            <w:vAlign w:val="bottom"/>
            <w:gridSpan w:val="2"/>
          </w:tcPr>
          <w:p>
            <w:pPr>
              <w:ind w:left="320"/>
              <w:spacing w:after="0"/>
              <w:rPr>
                <w:sz w:val="20"/>
                <w:szCs w:val="20"/>
                <w:color w:val="auto"/>
              </w:rPr>
            </w:pPr>
            <w:r>
              <w:rPr>
                <w:rFonts w:ascii="Arial" w:cs="Arial" w:eastAsia="Arial" w:hAnsi="Arial"/>
                <w:sz w:val="18"/>
                <w:szCs w:val="18"/>
                <w:b w:val="1"/>
                <w:bCs w:val="1"/>
                <w:color w:val="auto"/>
              </w:rPr>
              <w:t>Against</w:t>
            </w:r>
          </w:p>
        </w:tc>
        <w:tc>
          <w:tcPr>
            <w:tcW w:w="1440" w:type="dxa"/>
            <w:vAlign w:val="bottom"/>
            <w:gridSpan w:val="2"/>
          </w:tcPr>
          <w:p>
            <w:pPr>
              <w:ind w:left="300"/>
              <w:spacing w:after="0"/>
              <w:rPr>
                <w:sz w:val="20"/>
                <w:szCs w:val="20"/>
                <w:color w:val="auto"/>
              </w:rPr>
            </w:pPr>
            <w:r>
              <w:rPr>
                <w:rFonts w:ascii="Arial" w:cs="Arial" w:eastAsia="Arial" w:hAnsi="Arial"/>
                <w:sz w:val="18"/>
                <w:szCs w:val="18"/>
                <w:b w:val="1"/>
                <w:bCs w:val="1"/>
                <w:color w:val="auto"/>
              </w:rPr>
              <w:t>Abstain</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Broker Non-Votes</w:t>
            </w:r>
          </w:p>
        </w:tc>
      </w:tr>
      <w:tr>
        <w:trPr>
          <w:trHeight w:val="209"/>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 Anthony Coles, M.D.</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6"/>
              </w:rPr>
              <w:t>75,381,886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32,535,136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78,137</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5,619,610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Arthur F. Ryan</w:t>
            </w: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86,030,481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21,860,350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104,328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5,619,610</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L. Sing</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54,880,615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53,055,342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59,202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5,619,610</w:t>
            </w: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Marc Tessier-Lavigne, Ph.D.</w:t>
            </w: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72,073,887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35,848,999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72,273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5,619,610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Ratification of Appointment of Independent Registered Public Accounting Firm</w:t>
      </w:r>
    </w:p>
    <w:p>
      <w:pPr>
        <w:spacing w:after="0" w:line="229"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proposal to ratify the appointment of PricewaterhouseCoopers LLP as the Company’s independent registered public accounting firm for the fiscal year ending December 31, 2021 was approved based upon the following votes: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4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109,498,984</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Against:</w:t>
            </w:r>
          </w:p>
        </w:tc>
        <w:tc>
          <w:tcPr>
            <w:tcW w:w="4960" w:type="dxa"/>
            <w:vAlign w:val="bottom"/>
          </w:tcPr>
          <w:p>
            <w:pPr>
              <w:jc w:val="right"/>
              <w:ind w:right="10"/>
              <w:spacing w:after="0"/>
              <w:rPr>
                <w:sz w:val="20"/>
                <w:szCs w:val="20"/>
                <w:color w:val="auto"/>
              </w:rPr>
            </w:pPr>
            <w:r>
              <w:rPr>
                <w:rFonts w:ascii="Arial" w:cs="Arial" w:eastAsia="Arial" w:hAnsi="Arial"/>
                <w:sz w:val="18"/>
                <w:szCs w:val="18"/>
                <w:color w:val="auto"/>
              </w:rPr>
              <w:t>4,057,028</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4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58,757</w:t>
            </w:r>
          </w:p>
        </w:tc>
        <w:tc>
          <w:tcPr>
            <w:tcW w:w="840" w:type="dxa"/>
            <w:vAlign w:val="bottom"/>
          </w:tcPr>
          <w:p>
            <w:pPr>
              <w:spacing w:after="0"/>
              <w:rPr>
                <w:sz w:val="18"/>
                <w:szCs w:val="18"/>
                <w:color w:val="auto"/>
              </w:rPr>
            </w:pPr>
          </w:p>
        </w:tc>
      </w:tr>
      <w:tr>
        <w:trPr>
          <w:trHeight w:val="918"/>
        </w:trPr>
        <w:tc>
          <w:tcPr>
            <w:tcW w:w="8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2021-06-16T15:37:53Z</dcterms:created>
  <dcterms:modified xsi:type="dcterms:W3CDTF">2021-06-16T15:37:53Z</dcterms:modified>
</cp:coreProperties>
</file>