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773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7354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54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rFonts w:ascii="Arial" w:cs="Arial" w:eastAsia="Arial" w:hAnsi="Arial"/>
                <w:sz w:val="21"/>
                <w:szCs w:val="21"/>
                <w:color w:val="0000EE"/>
                <w:w w:val="90"/>
              </w:rPr>
            </w:pPr>
            <w:hyperlink r:id="rId12">
              <w:r>
                <w:rPr>
                  <w:rFonts w:ascii="Arial" w:cs="Arial" w:eastAsia="Arial" w:hAnsi="Arial"/>
                  <w:sz w:val="21"/>
                  <w:szCs w:val="21"/>
                  <w:color w:val="0000EE"/>
                  <w:w w:val="90"/>
                </w:rPr>
                <w:t>Powchik Peter</w:t>
              </w:r>
            </w:hyperlink>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Borders>
              <w:bottom w:val="single" w:sz="8" w:color="0000EE"/>
            </w:tcBorders>
            <w:gridSpan w:val="2"/>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5"/>
            <w:vMerge w:val="restart"/>
          </w:tcPr>
          <w:p>
            <w:pPr>
              <w:ind w:left="60"/>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00" w:type="dxa"/>
            <w:vAlign w:val="bottom"/>
          </w:tcPr>
          <w:p>
            <w:pPr>
              <w:spacing w:after="0"/>
              <w:rPr>
                <w:sz w:val="8"/>
                <w:szCs w:val="8"/>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180" w:type="dxa"/>
            <w:vAlign w:val="bottom"/>
            <w:tcBorders>
              <w:top w:val="single" w:sz="8" w:color="EEEEEE"/>
            </w:tcBorders>
          </w:tcPr>
          <w:p>
            <w:pPr>
              <w:spacing w:after="0"/>
              <w:rPr>
                <w:sz w:val="8"/>
                <w:szCs w:val="8"/>
                <w:color w:val="auto"/>
              </w:rPr>
            </w:pPr>
          </w:p>
        </w:tc>
        <w:tc>
          <w:tcPr>
            <w:tcW w:w="110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4"/>
                <w:szCs w:val="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7"/>
            <w:vMerge w:val="restart"/>
          </w:tcPr>
          <w:p>
            <w:pPr>
              <w:ind w:left="20"/>
              <w:spacing w:after="0"/>
              <w:rPr>
                <w:sz w:val="20"/>
                <w:szCs w:val="20"/>
                <w:color w:val="auto"/>
              </w:rPr>
            </w:pPr>
            <w:r>
              <w:rPr>
                <w:rFonts w:ascii="Arial" w:cs="Arial" w:eastAsia="Arial" w:hAnsi="Arial"/>
                <w:sz w:val="17"/>
                <w:szCs w:val="17"/>
                <w:color w:val="0000FF"/>
              </w:rPr>
              <w:t>SVP Clinical Development &amp; Reg</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7"/>
            <w:vMerge w:val="continu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70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09/18/2012</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1700" w:type="dxa"/>
            <w:vAlign w:val="bottom"/>
            <w:gridSpan w:val="7"/>
            <w:vMerge w:val="continue"/>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306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6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vMerge w:val="restart"/>
          </w:tcPr>
          <w:p>
            <w:pPr>
              <w:spacing w:after="0"/>
              <w:rPr>
                <w:sz w:val="7"/>
                <w:szCs w:val="7"/>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660" w:type="dxa"/>
            <w:vAlign w:val="bottom"/>
            <w:gridSpan w:val="9"/>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7"/>
          </w:tcPr>
          <w:p>
            <w:pPr>
              <w:ind w:left="120"/>
              <w:spacing w:after="0" w:line="14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5"/>
                <w:szCs w:val="15"/>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60" w:type="dxa"/>
            <w:vAlign w:val="bottom"/>
            <w:tcBorders>
              <w:bottom w:val="single" w:sz="8" w:color="2C2C2C"/>
            </w:tcBorders>
            <w:gridSpan w:val="5"/>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18"/>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5"/>
          </w:tcPr>
          <w:p>
            <w:pPr>
              <w:jc w:val="center"/>
              <w:ind w:left="46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6"/>
              <w:spacing w:after="0"/>
              <w:rPr>
                <w:sz w:val="20"/>
                <w:szCs w:val="20"/>
                <w:color w:val="auto"/>
              </w:rPr>
            </w:pPr>
            <w:r>
              <w:rPr>
                <w:rFonts w:ascii="Arial" w:cs="Arial" w:eastAsia="Arial" w:hAnsi="Arial"/>
                <w:sz w:val="17"/>
                <w:szCs w:val="17"/>
                <w:color w:val="0000FF"/>
                <w:w w:val="93"/>
              </w:rPr>
              <w:t>09/18/2012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15,000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center"/>
              <w:ind w:left="6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45,134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6"/>
              <w:spacing w:after="0"/>
              <w:rPr>
                <w:sz w:val="20"/>
                <w:szCs w:val="20"/>
                <w:color w:val="auto"/>
              </w:rPr>
            </w:pPr>
            <w:r>
              <w:rPr>
                <w:rFonts w:ascii="Arial" w:cs="Arial" w:eastAsia="Arial" w:hAnsi="Arial"/>
                <w:sz w:val="17"/>
                <w:szCs w:val="17"/>
                <w:color w:val="0000FF"/>
                <w:w w:val="93"/>
              </w:rPr>
              <w:t>09/18/2012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1"/>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1,693</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148.78</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43,441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6"/>
              <w:spacing w:after="0"/>
              <w:rPr>
                <w:sz w:val="20"/>
                <w:szCs w:val="20"/>
                <w:color w:val="auto"/>
              </w:rPr>
            </w:pPr>
            <w:r>
              <w:rPr>
                <w:rFonts w:ascii="Arial" w:cs="Arial" w:eastAsia="Arial" w:hAnsi="Arial"/>
                <w:sz w:val="17"/>
                <w:szCs w:val="17"/>
                <w:color w:val="0000FF"/>
                <w:w w:val="93"/>
              </w:rPr>
              <w:t>09/18/2012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1"/>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6,130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148.78</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37,311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6"/>
              <w:spacing w:after="0"/>
              <w:rPr>
                <w:sz w:val="20"/>
                <w:szCs w:val="20"/>
                <w:color w:val="auto"/>
              </w:rPr>
            </w:pPr>
            <w:r>
              <w:rPr>
                <w:rFonts w:ascii="Arial" w:cs="Arial" w:eastAsia="Arial" w:hAnsi="Arial"/>
                <w:sz w:val="17"/>
                <w:szCs w:val="17"/>
                <w:color w:val="0000FF"/>
                <w:w w:val="93"/>
              </w:rPr>
              <w:t>09/19/2012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2,977</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146.89</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34,334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6"/>
              <w:spacing w:after="0"/>
              <w:rPr>
                <w:sz w:val="20"/>
                <w:szCs w:val="20"/>
                <w:color w:val="auto"/>
              </w:rPr>
            </w:pPr>
            <w:r>
              <w:rPr>
                <w:rFonts w:ascii="Arial" w:cs="Arial" w:eastAsia="Arial" w:hAnsi="Arial"/>
                <w:sz w:val="17"/>
                <w:szCs w:val="17"/>
                <w:color w:val="0000FF"/>
                <w:w w:val="93"/>
              </w:rPr>
              <w:t>09/19/2012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3,200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147.16</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31,134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6"/>
              <w:spacing w:after="0"/>
              <w:rPr>
                <w:sz w:val="20"/>
                <w:szCs w:val="20"/>
                <w:color w:val="auto"/>
              </w:rPr>
            </w:pPr>
            <w:r>
              <w:rPr>
                <w:rFonts w:ascii="Arial" w:cs="Arial" w:eastAsia="Arial" w:hAnsi="Arial"/>
                <w:sz w:val="17"/>
                <w:szCs w:val="17"/>
                <w:color w:val="0000FF"/>
                <w:w w:val="93"/>
              </w:rPr>
              <w:t>09/19/2012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148</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30,134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1,532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3060" w:type="dxa"/>
            <w:vAlign w:val="bottom"/>
            <w:tcBorders>
              <w:bottom w:val="single" w:sz="8" w:color="2C2C2C"/>
            </w:tcBorders>
            <w:gridSpan w:val="5"/>
          </w:tcPr>
          <w:p>
            <w:pPr>
              <w:spacing w:after="0"/>
              <w:rPr>
                <w:sz w:val="8"/>
                <w:szCs w:val="8"/>
                <w:color w:val="auto"/>
              </w:rPr>
            </w:pPr>
          </w:p>
        </w:tc>
        <w:tc>
          <w:tcPr>
            <w:tcW w:w="8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w:t>
            </w:r>
          </w:p>
        </w:tc>
        <w:tc>
          <w:tcPr>
            <w:tcW w:w="180" w:type="dxa"/>
            <w:vAlign w:val="bottom"/>
          </w:tcPr>
          <w:p>
            <w:pPr>
              <w:spacing w:after="0"/>
              <w:rPr>
                <w:sz w:val="18"/>
                <w:szCs w:val="18"/>
                <w:color w:val="auto"/>
              </w:rPr>
            </w:pPr>
          </w:p>
        </w:tc>
        <w:tc>
          <w:tcPr>
            <w:tcW w:w="1100" w:type="dxa"/>
            <w:vAlign w:val="bottom"/>
          </w:tcPr>
          <w:p>
            <w:pPr>
              <w:jc w:val="right"/>
              <w:ind w:right="173"/>
              <w:spacing w:after="0"/>
              <w:rPr>
                <w:sz w:val="20"/>
                <w:szCs w:val="20"/>
                <w:color w:val="auto"/>
              </w:rPr>
            </w:pPr>
            <w:r>
              <w:rPr>
                <w:rFonts w:ascii="Arial" w:cs="Arial" w:eastAsia="Arial" w:hAnsi="Arial"/>
                <w:sz w:val="13"/>
                <w:szCs w:val="13"/>
                <w:color w:val="0000FF"/>
              </w:rPr>
              <w:t>09/18/2012</w:t>
            </w:r>
          </w:p>
        </w:tc>
        <w:tc>
          <w:tcPr>
            <w:tcW w:w="1140" w:type="dxa"/>
            <w:vAlign w:val="bottom"/>
          </w:tcPr>
          <w:p>
            <w:pPr>
              <w:spacing w:after="0"/>
              <w:rPr>
                <w:sz w:val="18"/>
                <w:szCs w:val="18"/>
                <w:color w:val="auto"/>
              </w:rPr>
            </w:pPr>
          </w:p>
        </w:tc>
        <w:tc>
          <w:tcPr>
            <w:tcW w:w="620" w:type="dxa"/>
            <w:vAlign w:val="bottom"/>
            <w:gridSpan w:val="4"/>
          </w:tcPr>
          <w:p>
            <w:pPr>
              <w:ind w:left="100"/>
              <w:spacing w:after="0" w:line="211"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400"/>
              <w:spacing w:after="0"/>
              <w:rPr>
                <w:sz w:val="20"/>
                <w:szCs w:val="20"/>
                <w:color w:val="auto"/>
              </w:rPr>
            </w:pPr>
            <w:r>
              <w:rPr>
                <w:rFonts w:ascii="Arial" w:cs="Arial" w:eastAsia="Arial" w:hAnsi="Arial"/>
                <w:sz w:val="13"/>
                <w:szCs w:val="13"/>
                <w:color w:val="0000FF"/>
              </w:rPr>
              <w:t>15,000</w:t>
            </w:r>
          </w:p>
        </w:tc>
        <w:tc>
          <w:tcPr>
            <w:tcW w:w="820" w:type="dxa"/>
            <w:vAlign w:val="bottom"/>
          </w:tcPr>
          <w:p>
            <w:pPr>
              <w:ind w:left="20"/>
              <w:spacing w:after="0" w:line="211" w:lineRule="exact"/>
              <w:rPr>
                <w:sz w:val="20"/>
                <w:szCs w:val="20"/>
                <w:color w:val="auto"/>
              </w:rPr>
            </w:pPr>
            <w:r>
              <w:rPr>
                <w:rFonts w:ascii="Arial" w:cs="Arial" w:eastAsia="Arial" w:hAnsi="Arial"/>
                <w:sz w:val="13"/>
                <w:szCs w:val="13"/>
                <w:color w:val="0000FF"/>
                <w:w w:val="93"/>
              </w:rPr>
              <w:t>12/17/2011</w:t>
            </w:r>
            <w:r>
              <w:rPr>
                <w:rFonts w:ascii="Arial" w:cs="Arial" w:eastAsia="Arial" w:hAnsi="Arial"/>
                <w:sz w:val="22"/>
                <w:szCs w:val="22"/>
                <w:color w:val="008000"/>
                <w:w w:val="93"/>
                <w:vertAlign w:val="superscript"/>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12/17/2018</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(5)</w:t>
            </w:r>
          </w:p>
        </w:tc>
        <w:tc>
          <w:tcPr>
            <w:tcW w:w="620" w:type="dxa"/>
            <w:vAlign w:val="bottom"/>
          </w:tcPr>
          <w:p>
            <w:pPr>
              <w:ind w:left="340"/>
              <w:spacing w:after="0"/>
              <w:rPr>
                <w:sz w:val="20"/>
                <w:szCs w:val="20"/>
                <w:color w:val="auto"/>
              </w:rPr>
            </w:pPr>
            <w:r>
              <w:rPr>
                <w:rFonts w:ascii="Arial" w:cs="Arial" w:eastAsia="Arial" w:hAnsi="Arial"/>
                <w:sz w:val="13"/>
                <w:szCs w:val="13"/>
                <w:color w:val="0000FF"/>
              </w:rPr>
              <w:t>0.0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Option</w:t>
            </w: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2,977 shares of Company stock on September 19, 2012 at prices ranging from $146.80 to $146.93. Upon request by the Commission staff, the Company, or a security holder of the Company, the reporting person will provide full information regarding the number of shares sold by the reporting person on September 19, 2012 at each separate price.</w:t>
      </w:r>
    </w:p>
    <w:p>
      <w:pPr>
        <w:ind w:left="40" w:right="2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3,200 shares of Company stock on September 19, 2012 at prices ranging from $147.01 to $147.25. Upon request by the Commission staff, the Company, or a security holder of the Company, the reporting person will provide full information regarding the number of shares sold by the reporting person on September 19, 2012 at each separate price.</w:t>
      </w:r>
    </w:p>
    <w:p>
      <w:pPr>
        <w:ind w:left="40" w:right="22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17, 2008, the reporting person was granted an option to purchase 30,000 shares of Common Stock. The option was eligible to vest, partially or in full, on December 31, 2011, based on the extent to which the company satisfied certain performance criteria. The performance criteria were met and the option vested as to all shares.</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6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60" w:type="dxa"/>
            <w:vAlign w:val="bottom"/>
          </w:tcPr>
          <w:p>
            <w:pPr>
              <w:spacing w:after="0"/>
              <w:rPr>
                <w:sz w:val="20"/>
                <w:szCs w:val="20"/>
                <w:color w:val="auto"/>
              </w:rPr>
            </w:pPr>
            <w:r>
              <w:rPr>
                <w:rFonts w:ascii="Arial" w:cs="Arial" w:eastAsia="Arial" w:hAnsi="Arial"/>
                <w:sz w:val="17"/>
                <w:szCs w:val="17"/>
                <w:color w:val="0000FF"/>
                <w:w w:val="95"/>
              </w:rPr>
              <w:t>/s/**Peter Powchik</w:t>
            </w:r>
          </w:p>
        </w:tc>
        <w:tc>
          <w:tcPr>
            <w:tcW w:w="76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09/19/2012</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24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2019-12-18T16:15:37Z</dcterms:created>
  <dcterms:modified xsi:type="dcterms:W3CDTF">2019-12-18T16:15:37Z</dcterms:modified>
</cp:coreProperties>
</file>