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SCHEDULE 14A</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INFORMATION REQUIRED IN PROXY STATEMENT</w:t>
      </w:r>
    </w:p>
    <w:p>
      <w:pPr>
        <w:spacing w:after="0" w:line="27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SCHEDULE 14A INFORMATION</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 the</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Securities Exchange Act of 1934 (Amendment No. )</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[_]</w:t>
      </w:r>
    </w:p>
    <w:p>
      <w:pPr>
        <w:sectPr>
          <w:pgSz w:w="11900" w:h="16838" w:orient="portrait"/>
          <w:cols w:equalWidth="0" w:num="1">
            <w:col w:w="10219"/>
          </w:cols>
          <w:pgMar w:left="240" w:top="482" w:right="1440" w:bottom="1440" w:gutter="0" w:footer="0" w:header="0"/>
        </w:sect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Arial" w:cs="Arial" w:eastAsia="Arial" w:hAnsi="Arial"/>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by Rule 14a-6(e)(2))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14a-12</w:t>
      </w:r>
    </w:p>
    <w:p>
      <w:pPr>
        <w:spacing w:after="0" w:line="1041" w:lineRule="exact"/>
        <w:rPr>
          <w:sz w:val="24"/>
          <w:szCs w:val="24"/>
          <w:color w:val="auto"/>
        </w:rPr>
      </w:pPr>
    </w:p>
    <w:p>
      <w:pPr>
        <w:sectPr>
          <w:pgSz w:w="11900" w:h="16838" w:orient="portrait"/>
          <w:cols w:equalWidth="0" w:num="2">
            <w:col w:w="2560" w:space="560"/>
            <w:col w:w="7099"/>
          </w:cols>
          <w:pgMar w:left="240" w:top="482" w:right="1440" w:bottom="1440" w:gutter="0" w:footer="0" w:header="0"/>
          <w:type w:val="continuous"/>
        </w:sectPr>
      </w:pPr>
    </w:p>
    <w:p>
      <w:pPr>
        <w:spacing w:after="0" w:line="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w:t>
      </w:r>
    </w:p>
    <w:p>
      <w:pPr>
        <w:spacing w:after="0" w:line="27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[_] Fee computed on table below per Exchange Act Rules 14a-6(i)(4) and 0-11.</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1) Title of each class of securities to which transaction applies:</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 w:lineRule="exact"/>
        <w:rPr>
          <w:rFonts w:ascii="Arial" w:cs="Arial" w:eastAsia="Arial" w:hAnsi="Arial"/>
          <w:sz w:val="18"/>
          <w:szCs w:val="18"/>
          <w:color w:val="auto"/>
        </w:rPr>
      </w:pPr>
    </w:p>
    <w:p>
      <w:pPr>
        <w:ind w:left="220" w:right="1919" w:hanging="212"/>
        <w:spacing w:after="0" w:line="281" w:lineRule="auto"/>
        <w:tabs>
          <w:tab w:leader="none" w:pos="234"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5) Total fee paid:</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[_] Fee paid previously with preliminary materials:</w:t>
      </w:r>
    </w:p>
    <w:p>
      <w:pPr>
        <w:spacing w:after="0" w:line="36" w:lineRule="exact"/>
        <w:rPr>
          <w:sz w:val="24"/>
          <w:szCs w:val="24"/>
          <w:color w:val="auto"/>
        </w:rPr>
      </w:pPr>
    </w:p>
    <w:p>
      <w:pPr>
        <w:ind w:left="280" w:right="1579" w:hanging="262"/>
        <w:spacing w:after="0" w:line="273" w:lineRule="auto"/>
        <w:rPr>
          <w:sz w:val="20"/>
          <w:szCs w:val="20"/>
          <w:color w:val="auto"/>
        </w:rPr>
      </w:pPr>
      <w:r>
        <w:rPr>
          <w:rFonts w:ascii="Arial" w:cs="Arial" w:eastAsia="Arial" w:hAnsi="Arial"/>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1) Amount previously paid:</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2) Form, Schedule or Registration Statement No.:</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3) Filing Party:</w:t>
      </w: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1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82" w:right="1440" w:bottom="1440" w:gutter="0" w:footer="0" w:header="0"/>
          <w:type w:val="continuous"/>
        </w:sectPr>
      </w:pPr>
    </w:p>
    <w:bookmarkStart w:id="1" w:name="page2"/>
    <w:bookmarkEnd w:id="1"/>
    <w:p>
      <w:pPr>
        <w:jc w:val="center"/>
        <w:ind w:right="240"/>
        <w:spacing w:after="0"/>
        <w:rPr>
          <w:sz w:val="20"/>
          <w:szCs w:val="20"/>
          <w:color w:val="auto"/>
        </w:rPr>
      </w:pPr>
      <w:r>
        <w:rPr>
          <w:rFonts w:ascii="Arial" w:cs="Arial" w:eastAsia="Arial" w:hAnsi="Arial"/>
          <w:sz w:val="32"/>
          <w:szCs w:val="32"/>
          <w:b w:val="1"/>
          <w:bCs w:val="1"/>
          <w:color w:val="auto"/>
        </w:rPr>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34"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Important Notice Regarding the Availability of Proxy Materials for the</w:t>
      </w:r>
    </w:p>
    <w:p>
      <w:pPr>
        <w:spacing w:after="0" w:line="25" w:lineRule="exact"/>
        <w:rPr>
          <w:sz w:val="20"/>
          <w:szCs w:val="20"/>
          <w:color w:val="auto"/>
        </w:rPr>
      </w:pPr>
    </w:p>
    <w:p>
      <w:pPr>
        <w:jc w:val="center"/>
        <w:ind w:right="300"/>
        <w:spacing w:after="0"/>
        <w:rPr>
          <w:sz w:val="20"/>
          <w:szCs w:val="20"/>
          <w:color w:val="auto"/>
        </w:rPr>
      </w:pPr>
      <w:r>
        <w:rPr>
          <w:rFonts w:ascii="Arial" w:cs="Arial" w:eastAsia="Arial" w:hAnsi="Arial"/>
          <w:sz w:val="22"/>
          <w:szCs w:val="22"/>
          <w:b w:val="1"/>
          <w:bCs w:val="1"/>
          <w:color w:val="auto"/>
        </w:rPr>
        <w:t>Shareholder Meeting to Be Held on June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150495</wp:posOffset>
            </wp:positionV>
            <wp:extent cx="3473450" cy="1509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3450" cy="1509395"/>
                    </a:xfrm>
                    <a:prstGeom prst="rect">
                      <a:avLst/>
                    </a:prstGeom>
                    <a:noFill/>
                  </pic:spPr>
                </pic:pic>
              </a:graphicData>
            </a:graphic>
          </wp:anchor>
        </w:drawing>
      </w:r>
    </w:p>
    <w:p>
      <w:pPr>
        <w:sectPr>
          <w:pgSz w:w="11900" w:h="16838" w:orient="portrait"/>
          <w:cols w:equalWidth="0" w:num="1">
            <w:col w:w="11180"/>
          </w:cols>
          <w:pgMar w:left="480" w:top="5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40"/>
        <w:spacing w:after="0"/>
        <w:rPr>
          <w:sz w:val="20"/>
          <w:szCs w:val="20"/>
          <w:color w:val="auto"/>
        </w:rPr>
      </w:pPr>
      <w:r>
        <w:rPr>
          <w:rFonts w:ascii="Arial" w:cs="Arial" w:eastAsia="Arial" w:hAnsi="Arial"/>
          <w:sz w:val="22"/>
          <w:szCs w:val="22"/>
          <w:b w:val="1"/>
          <w:bCs w:val="1"/>
          <w:i w:val="1"/>
          <w:i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REGENERON PHARMACEUTICALS, INC.</w:t>
      </w:r>
    </w:p>
    <w:p>
      <w:pPr>
        <w:spacing w:after="0" w:line="221" w:lineRule="auto"/>
        <w:rPr>
          <w:sz w:val="20"/>
          <w:szCs w:val="20"/>
          <w:color w:val="auto"/>
        </w:rPr>
      </w:pPr>
      <w:r>
        <w:rPr>
          <w:rFonts w:ascii="Arial" w:cs="Arial" w:eastAsia="Arial" w:hAnsi="Arial"/>
          <w:sz w:val="14"/>
          <w:szCs w:val="14"/>
          <w:i w:val="1"/>
          <w:iCs w:val="1"/>
          <w:color w:val="auto"/>
        </w:rPr>
        <w:t>777 OLD SAW MILL RIVER ROAD</w:t>
      </w:r>
    </w:p>
    <w:p>
      <w:pPr>
        <w:spacing w:after="0"/>
        <w:rPr>
          <w:sz w:val="20"/>
          <w:szCs w:val="20"/>
          <w:color w:val="auto"/>
        </w:rPr>
      </w:pPr>
      <w:r>
        <w:rPr>
          <w:rFonts w:ascii="Arial" w:cs="Arial" w:eastAsia="Arial" w:hAnsi="Arial"/>
          <w:sz w:val="14"/>
          <w:szCs w:val="14"/>
          <w:i w:val="1"/>
          <w:iCs w:val="1"/>
          <w:color w:val="auto"/>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1226185</wp:posOffset>
            </wp:positionV>
            <wp:extent cx="137160" cy="1106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1106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1"/>
              </w:rPr>
              <w:t>Meeting Information</w:t>
            </w:r>
          </w:p>
        </w:tc>
      </w:tr>
      <w:tr>
        <w:trPr>
          <w:trHeight w:val="316"/>
        </w:trPr>
        <w:tc>
          <w:tcPr>
            <w:tcW w:w="12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bl>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13, 2011</w:t>
      </w:r>
    </w:p>
    <w:p>
      <w:pPr>
        <w:spacing w:after="0" w:line="50" w:lineRule="exact"/>
        <w:rPr>
          <w:sz w:val="20"/>
          <w:szCs w:val="20"/>
          <w:color w:val="auto"/>
        </w:rPr>
      </w:pPr>
    </w:p>
    <w:p>
      <w:pPr>
        <w:ind w:left="120"/>
        <w:spacing w:after="0"/>
        <w:tabs>
          <w:tab w:leader="none" w:pos="740" w:val="left"/>
          <w:tab w:leader="none" w:pos="19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June 10, 2011</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10:30 AM EDT</w:t>
      </w:r>
    </w:p>
    <w:p>
      <w:pPr>
        <w:spacing w:after="0" w:line="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Westchester Marriott Hotel</w:t>
      </w:r>
    </w:p>
    <w:p>
      <w:pPr>
        <w:spacing w:after="0" w:line="4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670 White Plains Road</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Tarrytown, New York 10591</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Meeting Directions go to:</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www.regeneron.com</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3477260" cy="36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7260" cy="364490"/>
                    </a:xfrm>
                    <a:prstGeom prst="rect">
                      <a:avLst/>
                    </a:prstGeom>
                    <a:noFill/>
                  </pic:spPr>
                </pic:pic>
              </a:graphicData>
            </a:graphic>
          </wp:anchor>
        </w:drawing>
      </w:r>
    </w:p>
    <w:p>
      <w:pPr>
        <w:spacing w:after="0" w:line="65" w:lineRule="exact"/>
        <w:rPr>
          <w:sz w:val="20"/>
          <w:szCs w:val="20"/>
          <w:color w:val="auto"/>
        </w:rPr>
      </w:pPr>
    </w:p>
    <w:p>
      <w:pPr>
        <w:ind w:left="60" w:right="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1061085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980" w:space="720"/>
            <w:col w:w="5480"/>
          </w:cols>
          <w:pgMar w:left="480" w:top="585" w:right="239" w:bottom="1440" w:gutter="0" w:footer="0" w:header="0"/>
          <w:type w:val="continuous"/>
        </w:sectPr>
      </w:pPr>
    </w:p>
    <w:bookmarkStart w:id="2" w:name="page3"/>
    <w:bookmarkEnd w:id="2"/>
    <w:p>
      <w:pPr>
        <w:ind w:left="3285"/>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Before You Vote</w:t>
      </w:r>
      <w:r>
        <w:rPr>
          <w:rFonts w:ascii="Arial" w:cs="Arial" w:eastAsia="Arial" w:hAnsi="Arial"/>
          <w:sz w:val="22"/>
          <w:szCs w:val="22"/>
          <w:color w:val="auto"/>
        </w:rPr>
        <w:t xml:space="preserve"> ——</w:t>
      </w:r>
    </w:p>
    <w:p>
      <w:pPr>
        <w:spacing w:after="0" w:line="34" w:lineRule="exact"/>
        <w:rPr>
          <w:sz w:val="20"/>
          <w:szCs w:val="20"/>
          <w:color w:val="auto"/>
        </w:rPr>
      </w:pPr>
    </w:p>
    <w:p>
      <w:pPr>
        <w:ind w:left="3445"/>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740525" cy="2409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40525" cy="2409825"/>
                    </a:xfrm>
                    <a:prstGeom prst="rect">
                      <a:avLst/>
                    </a:prstGeom>
                    <a:noFill/>
                  </pic:spPr>
                </pic:pic>
              </a:graphicData>
            </a:graphic>
          </wp:anchor>
        </w:drawing>
      </w:r>
    </w:p>
    <w:p>
      <w:pPr>
        <w:spacing w:after="0" w:line="4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1" w:lineRule="exact"/>
        <w:rPr>
          <w:sz w:val="20"/>
          <w:szCs w:val="20"/>
          <w:color w:val="auto"/>
        </w:rPr>
      </w:pPr>
    </w:p>
    <w:p>
      <w:pPr>
        <w:ind w:left="5"/>
        <w:spacing w:after="0"/>
        <w:tabs>
          <w:tab w:leader="none" w:pos="2325"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5"/>
          <w:szCs w:val="15"/>
          <w:color w:val="auto"/>
        </w:rPr>
        <w:t>2. Annual Report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How to View Online:</w:t>
      </w:r>
    </w:p>
    <w:p>
      <w:pPr>
        <w:spacing w:after="0" w:line="9" w:lineRule="exact"/>
        <w:rPr>
          <w:sz w:val="20"/>
          <w:szCs w:val="20"/>
          <w:color w:val="auto"/>
        </w:rPr>
      </w:pPr>
    </w:p>
    <w:p>
      <w:pPr>
        <w:ind w:left="5"/>
        <w:spacing w:after="0"/>
        <w:tabs>
          <w:tab w:leader="none" w:pos="5425" w:val="left"/>
        </w:tabs>
        <w:rPr>
          <w:sz w:val="20"/>
          <w:szCs w:val="20"/>
          <w:color w:val="auto"/>
        </w:rPr>
      </w:pPr>
      <w:r>
        <w:rPr>
          <w:rFonts w:ascii="Arial" w:cs="Arial" w:eastAsia="Arial" w:hAnsi="Arial"/>
          <w:sz w:val="18"/>
          <w:szCs w:val="18"/>
          <w:color w:val="auto"/>
        </w:rPr>
        <w:t>Have the information that is printed in the box marked by the arrow</w:t>
        <w:tab/>
        <w:t>è XXXX XXXX XXXX (located on the following page) and visit: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9" w:lineRule="exact"/>
        <w:rPr>
          <w:sz w:val="20"/>
          <w:szCs w:val="20"/>
          <w:color w:val="auto"/>
        </w:rPr>
      </w:pPr>
    </w:p>
    <w:p>
      <w:pPr>
        <w:ind w:left="5"/>
        <w:spacing w:after="0" w:line="254"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005" w:hanging="195"/>
        <w:spacing w:after="0"/>
        <w:tabs>
          <w:tab w:leader="none" w:pos="10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22" w:lineRule="exact"/>
        <w:rPr>
          <w:rFonts w:ascii="Arial" w:cs="Arial" w:eastAsia="Arial" w:hAnsi="Arial"/>
          <w:sz w:val="18"/>
          <w:szCs w:val="18"/>
          <w:color w:val="auto"/>
        </w:rPr>
      </w:pPr>
    </w:p>
    <w:p>
      <w:pPr>
        <w:ind w:left="1005" w:hanging="195"/>
        <w:spacing w:after="0"/>
        <w:tabs>
          <w:tab w:leader="none" w:pos="10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23" w:lineRule="exact"/>
        <w:rPr>
          <w:sz w:val="20"/>
          <w:szCs w:val="20"/>
          <w:color w:val="auto"/>
        </w:rPr>
      </w:pPr>
    </w:p>
    <w:p>
      <w:pPr>
        <w:ind w:left="805"/>
        <w:spacing w:after="0"/>
        <w:tabs>
          <w:tab w:leader="none" w:pos="2425" w:val="left"/>
        </w:tabs>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BY E-MAIL</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sendmaterial@proxyvote.com</w:t>
      </w:r>
    </w:p>
    <w:p>
      <w:pPr>
        <w:spacing w:after="0" w:line="15" w:lineRule="exact"/>
        <w:rPr>
          <w:sz w:val="20"/>
          <w:szCs w:val="20"/>
          <w:color w:val="auto"/>
        </w:rPr>
      </w:pPr>
    </w:p>
    <w:p>
      <w:pPr>
        <w:ind w:left="5" w:right="20" w:hanging="5"/>
        <w:spacing w:after="0" w:line="261" w:lineRule="auto"/>
        <w:tabs>
          <w:tab w:leader="none" w:pos="137"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 arrow è XXXX XXXX XXXX (located on the following page) in the subject line.</w:t>
      </w:r>
    </w:p>
    <w:p>
      <w:pPr>
        <w:spacing w:after="0" w:line="192"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29, 2011 to facilitate timely delivery.</w:t>
      </w:r>
    </w:p>
    <w:p>
      <w:pPr>
        <w:spacing w:after="0" w:line="396" w:lineRule="exact"/>
        <w:rPr>
          <w:sz w:val="20"/>
          <w:szCs w:val="20"/>
          <w:color w:val="auto"/>
        </w:rPr>
      </w:pPr>
    </w:p>
    <w:p>
      <w:pPr>
        <w:jc w:val="center"/>
        <w:ind w:right="575"/>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32"/>
          <w:szCs w:val="32"/>
          <w:b w:val="1"/>
          <w:bCs w:val="1"/>
          <w:color w:val="auto"/>
        </w:rPr>
        <w:t>How To Vote</w:t>
      </w:r>
      <w:r>
        <w:rPr>
          <w:rFonts w:ascii="Arial" w:cs="Arial" w:eastAsia="Arial" w:hAnsi="Arial"/>
          <w:sz w:val="22"/>
          <w:szCs w:val="22"/>
          <w:color w:val="auto"/>
        </w:rPr>
        <w:t xml:space="preserve"> ——</w:t>
      </w:r>
    </w:p>
    <w:p>
      <w:pPr>
        <w:spacing w:after="0" w:line="34" w:lineRule="exact"/>
        <w:rPr>
          <w:sz w:val="20"/>
          <w:szCs w:val="20"/>
          <w:color w:val="auto"/>
        </w:rPr>
      </w:pPr>
    </w:p>
    <w:p>
      <w:pPr>
        <w:ind w:left="2685"/>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6740525" cy="140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0525" cy="1406525"/>
                    </a:xfrm>
                    <a:prstGeom prst="rect">
                      <a:avLst/>
                    </a:prstGeom>
                    <a:noFill/>
                  </pic:spPr>
                </pic:pic>
              </a:graphicData>
            </a:graphic>
          </wp:anchor>
        </w:drawing>
      </w:r>
    </w:p>
    <w:p>
      <w:pPr>
        <w:spacing w:after="0" w:line="189"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-300355</wp:posOffset>
            </wp:positionV>
            <wp:extent cx="137160" cy="107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071880"/>
                    </a:xfrm>
                    <a:prstGeom prst="rect">
                      <a:avLst/>
                    </a:prstGeom>
                    <a:noFill/>
                  </pic:spPr>
                </pic:pic>
              </a:graphicData>
            </a:graphic>
          </wp:anchor>
        </w:drawing>
      </w:r>
    </w:p>
    <w:p>
      <w:pPr>
        <w:spacing w:after="0" w:line="166" w:lineRule="exact"/>
        <w:rPr>
          <w:sz w:val="20"/>
          <w:szCs w:val="20"/>
          <w:color w:val="auto"/>
        </w:rPr>
      </w:pPr>
    </w:p>
    <w:p>
      <w:pPr>
        <w:jc w:val="both"/>
        <w:ind w:left="5" w:right="20"/>
        <w:spacing w:after="0" w:line="275"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 è XXXX</w:t>
      </w:r>
      <w:r>
        <w:rPr>
          <w:rFonts w:ascii="Arial" w:cs="Arial" w:eastAsia="Arial" w:hAnsi="Arial"/>
          <w:sz w:val="18"/>
          <w:szCs w:val="18"/>
          <w:b w:val="1"/>
          <w:bCs w:val="1"/>
          <w:color w:val="auto"/>
        </w:rPr>
        <w:t xml:space="preserve"> </w:t>
      </w:r>
      <w:r>
        <w:rPr>
          <w:rFonts w:ascii="Arial" w:cs="Arial" w:eastAsia="Arial" w:hAnsi="Arial"/>
          <w:sz w:val="18"/>
          <w:szCs w:val="18"/>
          <w:color w:val="auto"/>
        </w:rPr>
        <w:t>XXXX XXXX available and follow the instructions.</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775970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5"/>
          </w:cols>
          <w:pgMar w:left="955" w:top="585" w:right="359" w:bottom="1440" w:gutter="0" w:footer="0" w:header="0"/>
        </w:sectPr>
      </w:pPr>
    </w:p>
    <w:bookmarkStart w:id="3" w:name="page4"/>
    <w:bookmarkEnd w:id="3"/>
    <w:p>
      <w:pPr>
        <w:ind w:left="1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363220</wp:posOffset>
            </wp:positionH>
            <wp:positionV relativeFrom="page">
              <wp:posOffset>397510</wp:posOffset>
            </wp:positionV>
            <wp:extent cx="25730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188595"/>
                    </a:xfrm>
                    <a:prstGeom prst="rect">
                      <a:avLst/>
                    </a:prstGeom>
                    <a:noFill/>
                  </pic:spPr>
                </pic:pic>
              </a:graphicData>
            </a:graphic>
          </wp:anchor>
        </w:drawing>
        <w:t>Voting items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192" w:lineRule="exact"/>
        <w:rPr>
          <w:sz w:val="20"/>
          <w:szCs w:val="20"/>
          <w:color w:val="auto"/>
        </w:rPr>
      </w:pPr>
    </w:p>
    <w:p>
      <w:pPr>
        <w:ind w:left="240" w:hanging="234"/>
        <w:spacing w:after="0"/>
        <w:tabs>
          <w:tab w:leader="none" w:pos="2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12" w:lineRule="exact"/>
        <w:rPr>
          <w:rFonts w:ascii="Arial" w:cs="Arial" w:eastAsia="Arial" w:hAnsi="Arial"/>
          <w:sz w:val="14"/>
          <w:szCs w:val="14"/>
          <w:b w:val="1"/>
          <w:bCs w:val="1"/>
          <w:color w:val="auto"/>
        </w:rPr>
      </w:pPr>
    </w:p>
    <w:p>
      <w:pPr>
        <w:ind w:left="2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7" w:lineRule="exact"/>
        <w:rPr>
          <w:sz w:val="20"/>
          <w:szCs w:val="20"/>
          <w:color w:val="auto"/>
        </w:rPr>
      </w:pPr>
    </w:p>
    <w:p>
      <w:pPr>
        <w:spacing w:after="0"/>
        <w:tabs>
          <w:tab w:leader="none" w:pos="220" w:val="left"/>
          <w:tab w:leader="none" w:pos="2540" w:val="left"/>
          <w:tab w:leader="none" w:pos="2800" w:val="left"/>
          <w:tab w:leader="none" w:pos="4800" w:val="left"/>
          <w:tab w:leader="none" w:pos="5080" w:val="left"/>
          <w:tab w:leader="none" w:pos="6880" w:val="left"/>
          <w:tab w:leader="none" w:pos="7160" w:val="left"/>
        </w:tabs>
        <w:rPr>
          <w:sz w:val="20"/>
          <w:szCs w:val="20"/>
          <w:color w:val="auto"/>
        </w:rPr>
      </w:pPr>
      <w:r>
        <w:rPr>
          <w:rFonts w:ascii="Arial" w:cs="Arial" w:eastAsia="Arial" w:hAnsi="Arial"/>
          <w:sz w:val="14"/>
          <w:szCs w:val="14"/>
          <w:color w:val="auto"/>
        </w:rPr>
        <w:t>01</w:t>
        <w:tab/>
        <w:t>Alfred G Gilman MD Ph.D</w:t>
      </w:r>
      <w:r>
        <w:rPr>
          <w:sz w:val="20"/>
          <w:szCs w:val="20"/>
          <w:color w:val="auto"/>
        </w:rPr>
        <w:tab/>
      </w:r>
      <w:r>
        <w:rPr>
          <w:rFonts w:ascii="Arial" w:cs="Arial" w:eastAsia="Arial" w:hAnsi="Arial"/>
          <w:sz w:val="14"/>
          <w:szCs w:val="14"/>
          <w:color w:val="auto"/>
        </w:rPr>
        <w:t>02</w:t>
        <w:tab/>
        <w:t>Joseph L. Goldstein M.D</w:t>
      </w:r>
      <w:r>
        <w:rPr>
          <w:sz w:val="20"/>
          <w:szCs w:val="20"/>
          <w:color w:val="auto"/>
        </w:rPr>
        <w:tab/>
      </w:r>
      <w:r>
        <w:rPr>
          <w:rFonts w:ascii="Arial" w:cs="Arial" w:eastAsia="Arial" w:hAnsi="Arial"/>
          <w:sz w:val="14"/>
          <w:szCs w:val="14"/>
          <w:color w:val="auto"/>
        </w:rPr>
        <w:t>03</w:t>
        <w:tab/>
        <w:t>Christine A. Poon</w:t>
      </w:r>
      <w:r>
        <w:rPr>
          <w:sz w:val="20"/>
          <w:szCs w:val="20"/>
          <w:color w:val="auto"/>
        </w:rPr>
        <w:tab/>
      </w:r>
      <w:r>
        <w:rPr>
          <w:rFonts w:ascii="Arial" w:cs="Arial" w:eastAsia="Arial" w:hAnsi="Arial"/>
          <w:sz w:val="14"/>
          <w:szCs w:val="14"/>
          <w:color w:val="auto"/>
        </w:rPr>
        <w:t>04</w:t>
      </w:r>
      <w:r>
        <w:rPr>
          <w:sz w:val="20"/>
          <w:szCs w:val="20"/>
          <w:color w:val="auto"/>
        </w:rPr>
        <w:tab/>
      </w:r>
      <w:r>
        <w:rPr>
          <w:rFonts w:ascii="Arial" w:cs="Arial" w:eastAsia="Arial" w:hAnsi="Arial"/>
          <w:sz w:val="12"/>
          <w:szCs w:val="12"/>
          <w:color w:val="auto"/>
        </w:rPr>
        <w:t>P. Roy Vagelos, M.D.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92" w:lineRule="exact"/>
        <w:rPr>
          <w:sz w:val="20"/>
          <w:szCs w:val="20"/>
          <w:color w:val="auto"/>
        </w:rPr>
      </w:pPr>
    </w:p>
    <w:p>
      <w:pPr>
        <w:ind w:left="240" w:right="879" w:hanging="234"/>
        <w:spacing w:after="0" w:line="278" w:lineRule="auto"/>
        <w:tabs>
          <w:tab w:leader="none" w:pos="2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PricewaterhouseCoopers LLP as the Company's independent registered public accounting firm for the fiscal year ending December 31, 2011.</w:t>
      </w:r>
    </w:p>
    <w:p>
      <w:pPr>
        <w:spacing w:after="0" w:line="153" w:lineRule="exact"/>
        <w:rPr>
          <w:rFonts w:ascii="Arial" w:cs="Arial" w:eastAsia="Arial" w:hAnsi="Arial"/>
          <w:sz w:val="14"/>
          <w:szCs w:val="14"/>
          <w:b w:val="1"/>
          <w:bCs w:val="1"/>
          <w:color w:val="auto"/>
        </w:rPr>
      </w:pPr>
    </w:p>
    <w:p>
      <w:pPr>
        <w:ind w:left="240" w:hanging="234"/>
        <w:spacing w:after="0"/>
        <w:tabs>
          <w:tab w:leader="none" w:pos="2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Proposal to approve the Company's Second Amended and Restated 2000 Long-Term Incentive Plan.</w:t>
      </w:r>
    </w:p>
    <w:p>
      <w:pPr>
        <w:spacing w:after="0" w:line="190" w:lineRule="exact"/>
        <w:rPr>
          <w:rFonts w:ascii="Arial" w:cs="Arial" w:eastAsia="Arial" w:hAnsi="Arial"/>
          <w:sz w:val="14"/>
          <w:szCs w:val="14"/>
          <w:b w:val="1"/>
          <w:bCs w:val="1"/>
          <w:color w:val="auto"/>
        </w:rPr>
      </w:pPr>
    </w:p>
    <w:p>
      <w:pPr>
        <w:ind w:left="240" w:hanging="234"/>
        <w:spacing w:after="0"/>
        <w:tabs>
          <w:tab w:leader="none" w:pos="2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Proposal to approve, by non-binding advisory vote, executive compensation.</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you vote 3 YEARS on the following proposal:</w:t>
      </w:r>
    </w:p>
    <w:p>
      <w:pPr>
        <w:spacing w:after="0" w:line="192" w:lineRule="exact"/>
        <w:rPr>
          <w:sz w:val="20"/>
          <w:szCs w:val="20"/>
          <w:color w:val="auto"/>
        </w:rPr>
      </w:pPr>
    </w:p>
    <w:p>
      <w:pPr>
        <w:ind w:left="240" w:hanging="234"/>
        <w:spacing w:after="0"/>
        <w:tabs>
          <w:tab w:leader="none" w:pos="24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Proposal to recommend, by non-binding advisory vote, the frequency of future advisory votes on executive compensation.</w:t>
      </w:r>
    </w:p>
    <w:p>
      <w:pPr>
        <w:spacing w:after="0" w:line="188" w:lineRule="exact"/>
        <w:rPr>
          <w:sz w:val="20"/>
          <w:szCs w:val="20"/>
          <w:color w:val="auto"/>
        </w:rPr>
      </w:pPr>
    </w:p>
    <w:p>
      <w:pPr>
        <w:ind w:right="879"/>
        <w:spacing w:after="0" w:line="28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named proxies may vote on such other business as may properly come before the Annual Meeting or at any adjourned or postponed</w:t>
      </w:r>
      <w:r>
        <w:rPr>
          <w:rFonts w:ascii="Arial" w:cs="Arial" w:eastAsia="Arial" w:hAnsi="Arial"/>
          <w:sz w:val="14"/>
          <w:szCs w:val="14"/>
          <w:b w:val="1"/>
          <w:bCs w:val="1"/>
          <w:color w:val="auto"/>
        </w:rPr>
        <w:t xml:space="preserve"> </w:t>
      </w:r>
      <w:r>
        <w:rPr>
          <w:rFonts w:ascii="Arial" w:cs="Arial" w:eastAsia="Arial" w:hAnsi="Arial"/>
          <w:sz w:val="14"/>
          <w:szCs w:val="14"/>
          <w:color w:val="auto"/>
        </w:rPr>
        <w:t>session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2056130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772160</wp:posOffset>
            </wp:positionV>
            <wp:extent cx="137160" cy="11061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106170"/>
                    </a:xfrm>
                    <a:prstGeom prst="rect">
                      <a:avLst/>
                    </a:prstGeom>
                    <a:noFill/>
                  </pic:spPr>
                </pic:pic>
              </a:graphicData>
            </a:graphic>
          </wp:anchor>
        </w:drawing>
      </w:r>
    </w:p>
    <w:p>
      <w:pPr>
        <w:sectPr>
          <w:pgSz w:w="11900" w:h="16838" w:orient="portrait"/>
          <w:cols w:equalWidth="0" w:num="1">
            <w:col w:w="9879"/>
          </w:cols>
          <w:pgMar w:left="580" w:top="680"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299085</wp:posOffset>
            </wp:positionH>
            <wp:positionV relativeFrom="page">
              <wp:posOffset>1637030</wp:posOffset>
            </wp:positionV>
            <wp:extent cx="71177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7715"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4031615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2713355</wp:posOffset>
            </wp:positionV>
            <wp:extent cx="154305" cy="1097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4305" cy="1097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2019-12-10T10:14:01Z</dcterms:created>
  <dcterms:modified xsi:type="dcterms:W3CDTF">2019-12-10T10:14:01Z</dcterms:modified>
</cp:coreProperties>
</file>