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color w:val="auto"/>
        </w:rPr>
        <w:t>SCHEDULE 14A</w:t>
      </w:r>
    </w:p>
    <w:p>
      <w:pPr>
        <w:jc w:val="center"/>
        <w:ind w:right="-1100"/>
        <w:spacing w:after="0" w:line="234" w:lineRule="auto"/>
        <w:rPr>
          <w:sz w:val="20"/>
          <w:szCs w:val="20"/>
          <w:color w:val="auto"/>
        </w:rPr>
      </w:pPr>
      <w:r>
        <w:rPr>
          <w:rFonts w:ascii="Arial" w:cs="Arial" w:eastAsia="Arial" w:hAnsi="Arial"/>
          <w:sz w:val="18"/>
          <w:szCs w:val="18"/>
          <w:color w:val="auto"/>
        </w:rPr>
        <w:t>(Rule 14a-101)</w:t>
      </w:r>
    </w:p>
    <w:p>
      <w:pPr>
        <w:jc w:val="center"/>
        <w:ind w:right="-1100"/>
        <w:spacing w:after="0" w:line="235" w:lineRule="auto"/>
        <w:rPr>
          <w:sz w:val="20"/>
          <w:szCs w:val="20"/>
          <w:color w:val="auto"/>
        </w:rPr>
      </w:pPr>
      <w:r>
        <w:rPr>
          <w:rFonts w:ascii="Arial" w:cs="Arial" w:eastAsia="Arial" w:hAnsi="Arial"/>
          <w:sz w:val="18"/>
          <w:szCs w:val="18"/>
          <w:color w:val="auto"/>
        </w:rPr>
        <w:t>INFORMATION REQUIRED IN PROXY STATEMENT</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SCHEDULE 14A INFORMATION</w:t>
      </w:r>
    </w:p>
    <w:p>
      <w:pPr>
        <w:spacing w:after="0" w:line="19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 the</w:t>
      </w:r>
    </w:p>
    <w:p>
      <w:pPr>
        <w:jc w:val="center"/>
        <w:ind w:right="-1120"/>
        <w:spacing w:after="0"/>
        <w:tabs>
          <w:tab w:leader="none" w:pos="140" w:val="left"/>
        </w:tabs>
        <w:rPr>
          <w:sz w:val="20"/>
          <w:szCs w:val="20"/>
          <w:color w:val="auto"/>
        </w:rPr>
      </w:pPr>
      <w:r>
        <w:rPr>
          <w:rFonts w:ascii="Arial" w:cs="Arial" w:eastAsia="Arial" w:hAnsi="Arial"/>
          <w:sz w:val="18"/>
          <w:szCs w:val="18"/>
          <w:color w:val="auto"/>
        </w:rPr>
        <w:t>Securities Exchange Act of 1934 (Amendment No.</w:t>
        <w:tab/>
        <w:t>)</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98" w:lineRule="exact"/>
        <w:rPr>
          <w:rFonts w:ascii="Arial" w:cs="Arial" w:eastAsia="Arial" w:hAnsi="Arial"/>
          <w:sz w:val="18"/>
          <w:szCs w:val="18"/>
          <w:color w:val="auto"/>
        </w:rPr>
      </w:pPr>
    </w:p>
    <w:p>
      <w:pPr>
        <w:ind w:left="460" w:right="7159"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ind w:left="460" w:hanging="452"/>
        <w:spacing w:after="0" w:line="23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2"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68" w:lineRule="exact"/>
        <w:rPr>
          <w:sz w:val="24"/>
          <w:szCs w:val="24"/>
          <w:color w:val="auto"/>
        </w:rPr>
      </w:pPr>
    </w:p>
    <w:p>
      <w:pPr>
        <w:ind w:left="3640"/>
        <w:spacing w:after="0"/>
        <w:rPr>
          <w:sz w:val="20"/>
          <w:szCs w:val="20"/>
          <w:color w:val="auto"/>
        </w:rPr>
      </w:pPr>
      <w:r>
        <w:rPr>
          <w:rFonts w:ascii="Arial" w:cs="Arial" w:eastAsia="Arial" w:hAnsi="Arial"/>
          <w:sz w:val="25"/>
          <w:szCs w:val="25"/>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ind w:left="27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12"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242" w:right="1440" w:bottom="1440" w:gutter="0" w:footer="0" w:header="0"/>
        </w:sectPr>
      </w:pPr>
    </w:p>
    <w:bookmarkStart w:id="1" w:name="page2"/>
    <w:bookmarkEnd w:id="1"/>
    <w:p>
      <w:pPr>
        <w:jc w:val="center"/>
        <w:ind w:left="4300"/>
        <w:spacing w:after="0"/>
        <w:rPr>
          <w:sz w:val="20"/>
          <w:szCs w:val="20"/>
          <w:color w:val="auto"/>
        </w:rPr>
      </w:pPr>
      <w:r>
        <w:rPr>
          <w:rFonts w:ascii="Arial" w:cs="Arial" w:eastAsia="Arial" w:hAnsi="Arial"/>
          <w:sz w:val="58"/>
          <w:szCs w:val="58"/>
          <w:color w:val="FFC43D"/>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889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89365"/>
                    </a:xfrm>
                    <a:prstGeom prst="rect">
                      <a:avLst/>
                    </a:prstGeom>
                    <a:noFill/>
                  </pic:spPr>
                </pic:pic>
              </a:graphicData>
            </a:graphic>
          </wp:anchor>
        </w:drawing>
        <w:t>2 0 2 1</w:t>
      </w:r>
    </w:p>
    <w:p>
      <w:pPr>
        <w:spacing w:after="0" w:line="212" w:lineRule="exact"/>
        <w:rPr>
          <w:sz w:val="20"/>
          <w:szCs w:val="20"/>
          <w:color w:val="auto"/>
        </w:rPr>
      </w:pPr>
    </w:p>
    <w:p>
      <w:pPr>
        <w:ind w:left="4260" w:firstLine="53"/>
        <w:spacing w:after="0" w:line="256" w:lineRule="auto"/>
        <w:rPr>
          <w:sz w:val="20"/>
          <w:szCs w:val="20"/>
          <w:color w:val="auto"/>
        </w:rPr>
      </w:pPr>
      <w:r>
        <w:rPr>
          <w:rFonts w:ascii="Arial" w:cs="Arial" w:eastAsia="Arial" w:hAnsi="Arial"/>
          <w:sz w:val="115"/>
          <w:szCs w:val="115"/>
          <w:color w:val="FFFFFF"/>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6230620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60"/>
          </w:cols>
          <w:pgMar w:left="1440" w:top="1126" w:right="1399" w:bottom="1440" w:gutter="0" w:footer="0" w:header="0"/>
        </w:sectPr>
      </w:pPr>
    </w:p>
    <w:bookmarkStart w:id="2" w:name="page3"/>
    <w:bookmarkEnd w:id="2"/>
    <w:p>
      <w:pPr>
        <w:spacing w:after="0"/>
        <w:rPr>
          <w:sz w:val="20"/>
          <w:szCs w:val="20"/>
          <w:color w:val="auto"/>
        </w:rPr>
      </w:pPr>
      <w:r>
        <w:rPr>
          <w:rFonts w:ascii="Arial" w:cs="Arial" w:eastAsia="Arial" w:hAnsi="Arial"/>
          <w:sz w:val="62"/>
          <w:szCs w:val="62"/>
          <w:b w:val="1"/>
          <w:bCs w:val="1"/>
          <w:color w:val="FFC43D"/>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872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t>REGENERON BY THE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8198485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900"/>
          </w:cols>
          <w:pgMar w:left="1260" w:top="1015" w:right="7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8889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8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980"/>
        <w:spacing w:after="0"/>
        <w:rPr>
          <w:sz w:val="20"/>
          <w:szCs w:val="20"/>
          <w:color w:val="auto"/>
        </w:rPr>
      </w:pPr>
      <w:r>
        <w:rPr>
          <w:rFonts w:ascii="Arial" w:cs="Arial" w:eastAsia="Arial" w:hAnsi="Arial"/>
          <w:sz w:val="55"/>
          <w:szCs w:val="55"/>
          <w:color w:val="FFFFFF"/>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4306570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68" w:lineRule="exact"/>
        <w:rPr>
          <w:sz w:val="20"/>
          <w:szCs w:val="20"/>
          <w:color w:val="auto"/>
        </w:rPr>
      </w:pPr>
    </w:p>
    <w:p>
      <w:pPr>
        <w:ind w:left="340" w:hanging="332"/>
        <w:spacing w:after="0"/>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8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OR</w:t>
      </w:r>
    </w:p>
    <w:p>
      <w:pPr>
        <w:spacing w:after="0" w:line="88" w:lineRule="exact"/>
        <w:rPr>
          <w:sz w:val="20"/>
          <w:szCs w:val="20"/>
          <w:color w:val="auto"/>
        </w:rPr>
      </w:pPr>
    </w:p>
    <w:p>
      <w:pPr>
        <w:ind w:left="340" w:right="2220" w:hanging="332"/>
        <w:spacing w:after="0" w:line="37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0-19034</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59" w:lineRule="exact"/>
        <w:rPr>
          <w:sz w:val="20"/>
          <w:szCs w:val="20"/>
          <w:color w:val="auto"/>
        </w:rPr>
      </w:pPr>
    </w:p>
    <w:p>
      <w:pPr>
        <w:ind w:left="3000"/>
        <w:spacing w:after="0"/>
        <w:tabs>
          <w:tab w:leader="none" w:pos="8540" w:val="left"/>
        </w:tabs>
        <w:rPr>
          <w:sz w:val="20"/>
          <w:szCs w:val="20"/>
          <w:color w:val="auto"/>
        </w:rPr>
      </w:pPr>
      <w:r>
        <w:rPr>
          <w:rFonts w:ascii="Arial" w:cs="Arial" w:eastAsia="Arial" w:hAnsi="Arial"/>
          <w:sz w:val="18"/>
          <w:szCs w:val="18"/>
          <w:b w:val="1"/>
          <w:bCs w:val="1"/>
          <w:color w:val="auto"/>
        </w:rPr>
        <w:t>New York</w:t>
      </w:r>
      <w:r>
        <w:rPr>
          <w:sz w:val="20"/>
          <w:szCs w:val="20"/>
          <w:color w:val="auto"/>
        </w:rPr>
        <w:tab/>
      </w:r>
      <w:r>
        <w:rPr>
          <w:rFonts w:ascii="Arial" w:cs="Arial" w:eastAsia="Arial" w:hAnsi="Arial"/>
          <w:sz w:val="16"/>
          <w:szCs w:val="16"/>
          <w:b w:val="1"/>
          <w:bCs w:val="1"/>
          <w:color w:val="auto"/>
        </w:rPr>
        <w:t>13-3444607</w:t>
      </w:r>
    </w:p>
    <w:p>
      <w:pPr>
        <w:spacing w:after="0" w:line="27" w:lineRule="exact"/>
        <w:rPr>
          <w:sz w:val="20"/>
          <w:szCs w:val="20"/>
          <w:color w:val="auto"/>
        </w:rPr>
      </w:pPr>
    </w:p>
    <w:p>
      <w:pPr>
        <w:jc w:val="right"/>
        <w:ind w:right="1080"/>
        <w:spacing w:after="0"/>
        <w:tabs>
          <w:tab w:leader="none" w:pos="2840" w:val="left"/>
        </w:tabs>
        <w:rPr>
          <w:sz w:val="20"/>
          <w:szCs w:val="20"/>
          <w:color w:val="auto"/>
        </w:rPr>
      </w:pPr>
      <w:r>
        <w:rPr>
          <w:rFonts w:ascii="Arial" w:cs="Arial" w:eastAsia="Arial" w:hAnsi="Arial"/>
          <w:sz w:val="16"/>
          <w:szCs w:val="16"/>
          <w:i w:val="1"/>
          <w:iCs w:val="1"/>
          <w:color w:val="auto"/>
        </w:rPr>
        <w:t>(State or other jurisdiction of incorporation or organization)</w:t>
      </w:r>
      <w:r>
        <w:rPr>
          <w:sz w:val="20"/>
          <w:szCs w:val="20"/>
          <w:color w:val="auto"/>
        </w:rPr>
        <w:tab/>
      </w:r>
      <w:r>
        <w:rPr>
          <w:rFonts w:ascii="Arial" w:cs="Arial" w:eastAsia="Arial" w:hAnsi="Arial"/>
          <w:sz w:val="15"/>
          <w:szCs w:val="15"/>
          <w:i w:val="1"/>
          <w:iCs w:val="1"/>
          <w:color w:val="auto"/>
        </w:rPr>
        <w:t>(I.R.S. Employer Identification No.)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 Tarrytown, New York 10591-6707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(Address of principal executive offices, including zip code)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847-7000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i w:val="1"/>
                <w:iCs w:val="1"/>
                <w:color w:val="auto"/>
                <w:w w:val="90"/>
              </w:rPr>
              <w:t>Title of each class</w:t>
            </w:r>
          </w:p>
        </w:tc>
        <w:tc>
          <w:tcPr>
            <w:tcW w:w="1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auto"/>
                <w:w w:val="91"/>
              </w:rPr>
              <w:t>Trading Symbol</w:t>
            </w:r>
          </w:p>
        </w:tc>
        <w:tc>
          <w:tcPr>
            <w:tcW w:w="3840" w:type="dxa"/>
            <w:vAlign w:val="bottom"/>
            <w:gridSpan w:val="2"/>
          </w:tcPr>
          <w:p>
            <w:pPr>
              <w:jc w:val="center"/>
              <w:ind w:left="570"/>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9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Common Stock - par value $.001 per share</w:t>
            </w:r>
          </w:p>
        </w:tc>
        <w:tc>
          <w:tcPr>
            <w:tcW w:w="640" w:type="dxa"/>
            <w:vAlign w:val="bottom"/>
          </w:tcPr>
          <w:p>
            <w:pPr>
              <w:spacing w:after="0"/>
              <w:rPr>
                <w:sz w:val="21"/>
                <w:szCs w:val="21"/>
                <w:color w:val="auto"/>
              </w:rPr>
            </w:pPr>
          </w:p>
        </w:tc>
        <w:tc>
          <w:tcPr>
            <w:tcW w:w="18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9"/>
              </w:rPr>
              <w:t>REGN</w:t>
            </w:r>
          </w:p>
        </w:tc>
        <w:tc>
          <w:tcPr>
            <w:tcW w:w="66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ectPr>
          <w:pgSz w:w="11900" w:h="16838" w:orient="portrait"/>
          <w:cols w:equalWidth="0" w:num="1">
            <w:col w:w="11240"/>
          </w:cols>
          <w:pgMar w:left="320" w:top="405"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63"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4"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20"/>
        <w:spacing w:after="0" w:line="161" w:lineRule="exact"/>
        <w:tabs>
          <w:tab w:leader="none" w:pos="52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o</w:t>
      </w:r>
    </w:p>
    <w:p>
      <w:pPr>
        <w:spacing w:after="0" w:line="163" w:lineRule="exact"/>
        <w:rPr>
          <w:sz w:val="20"/>
          <w:szCs w:val="20"/>
          <w:color w:val="auto"/>
        </w:rPr>
      </w:pPr>
    </w:p>
    <w:p>
      <w:pPr>
        <w:ind w:left="20"/>
        <w:spacing w:after="0" w:line="161" w:lineRule="exact"/>
        <w:rPr>
          <w:sz w:val="20"/>
          <w:szCs w:val="20"/>
          <w:color w:val="auto"/>
        </w:rPr>
      </w:pPr>
      <w:r>
        <w:rPr>
          <w:rFonts w:ascii="Arial" w:cs="Arial" w:eastAsia="Arial" w:hAnsi="Arial"/>
          <w:sz w:val="14"/>
          <w:szCs w:val="14"/>
          <w:color w:val="auto"/>
        </w:rPr>
        <w:t xml:space="preserve">Yes o  No </w:t>
      </w:r>
      <w:r>
        <w:rPr>
          <w:rFonts w:ascii="MS PGothic" w:cs="MS PGothic" w:eastAsia="MS PGothic" w:hAnsi="MS PGothic"/>
          <w:sz w:val="14"/>
          <w:szCs w:val="14"/>
          <w:color w:val="auto"/>
        </w:rPr>
        <w:t>☒</w:t>
      </w:r>
    </w:p>
    <w:p>
      <w:pPr>
        <w:spacing w:after="0" w:line="285" w:lineRule="exact"/>
        <w:rPr>
          <w:sz w:val="20"/>
          <w:szCs w:val="20"/>
          <w:color w:val="auto"/>
        </w:rPr>
      </w:pPr>
    </w:p>
    <w:p>
      <w:pPr>
        <w:spacing w:after="0" w:line="161" w:lineRule="exact"/>
        <w:tabs>
          <w:tab w:leader="none" w:pos="52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o</w:t>
      </w:r>
    </w:p>
    <w:p>
      <w:pPr>
        <w:spacing w:after="0" w:line="285" w:lineRule="exact"/>
        <w:rPr>
          <w:sz w:val="20"/>
          <w:szCs w:val="20"/>
          <w:color w:val="auto"/>
        </w:rPr>
      </w:pPr>
    </w:p>
    <w:p>
      <w:pPr>
        <w:spacing w:after="0" w:line="161" w:lineRule="exact"/>
        <w:tabs>
          <w:tab w:leader="none" w:pos="52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o</w:t>
      </w:r>
    </w:p>
    <w:p>
      <w:pPr>
        <w:spacing w:after="0" w:line="176" w:lineRule="exact"/>
        <w:rPr>
          <w:sz w:val="20"/>
          <w:szCs w:val="20"/>
          <w:color w:val="auto"/>
        </w:rPr>
      </w:pPr>
    </w:p>
    <w:p>
      <w:pPr>
        <w:sectPr>
          <w:pgSz w:w="11900" w:h="16838" w:orient="portrait"/>
          <w:cols w:equalWidth="0" w:num="2">
            <w:col w:w="10240" w:space="140"/>
            <w:col w:w="860"/>
          </w:cols>
          <w:pgMar w:left="320" w:top="405" w:right="339" w:bottom="1440" w:gutter="0" w:footer="0" w:header="0"/>
          <w:type w:val="continuous"/>
        </w:sectPr>
      </w:pPr>
    </w:p>
    <w:p>
      <w:pPr>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0"/>
          <w:szCs w:val="20"/>
          <w:color w:val="auto"/>
        </w:rPr>
      </w:pPr>
    </w:p>
    <w:p>
      <w:pPr>
        <w:spacing w:after="0" w:line="161" w:lineRule="exact"/>
        <w:tabs>
          <w:tab w:leader="none" w:pos="2240" w:val="left"/>
          <w:tab w:leader="none" w:pos="4040" w:val="left"/>
          <w:tab w:leader="none" w:pos="6180" w:val="left"/>
          <w:tab w:leader="none" w:pos="87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ectPr>
          <w:pgSz w:w="11900" w:h="16838" w:orient="portrait"/>
          <w:cols w:equalWidth="0" w:num="1">
            <w:col w:w="11240"/>
          </w:cols>
          <w:pgMar w:left="320" w:top="405" w:right="339" w:bottom="1440" w:gutter="0" w:footer="0" w:header="0"/>
          <w:type w:val="continuous"/>
        </w:sectPr>
      </w:pP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6"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o</w:t>
      </w:r>
    </w:p>
    <w:p>
      <w:pPr>
        <w:spacing w:after="0" w:line="24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3" w:lineRule="exact"/>
        <w:rPr>
          <w:sz w:val="20"/>
          <w:szCs w:val="20"/>
          <w:color w:val="auto"/>
        </w:rPr>
      </w:pPr>
    </w:p>
    <w:p>
      <w:pPr>
        <w:sectPr>
          <w:pgSz w:w="11900" w:h="16838" w:orient="portrait"/>
          <w:cols w:equalWidth="0" w:num="2">
            <w:col w:w="10960" w:space="140"/>
            <w:col w:w="140"/>
          </w:cols>
          <w:pgMar w:left="320" w:top="405" w:right="339" w:bottom="1440" w:gutter="0" w:footer="0" w:header="0"/>
          <w:type w:val="continuous"/>
        </w:sectPr>
      </w:pPr>
    </w:p>
    <w:p>
      <w:pPr>
        <w:spacing w:after="0" w:line="161" w:lineRule="exact"/>
        <w:tabs>
          <w:tab w:leader="none" w:pos="103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o  No </w:t>
      </w:r>
      <w:r>
        <w:rPr>
          <w:rFonts w:ascii="MS PGothic" w:cs="MS PGothic" w:eastAsia="MS PGothic" w:hAnsi="MS PGothic"/>
          <w:sz w:val="14"/>
          <w:szCs w:val="14"/>
          <w:color w:val="auto"/>
        </w:rPr>
        <w:t>☒</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was approximately $57,065,000,000, computed by reference to the closing sales price of the stock on NASDAQ on June 30, 2021,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outstanding of each of the registrant’s classes of common stock as of January 27, 2022:</w:t>
      </w:r>
    </w:p>
    <w:p>
      <w:pPr>
        <w:spacing w:after="0" w:line="136" w:lineRule="exact"/>
        <w:rPr>
          <w:sz w:val="20"/>
          <w:szCs w:val="20"/>
          <w:color w:val="auto"/>
        </w:rPr>
      </w:pPr>
    </w:p>
    <w:tbl>
      <w:tblPr>
        <w:tblLayout w:type="fixed"/>
        <w:tblInd w:w="3660" w:type="dxa"/>
        <w:tblCellMar>
          <w:top w:w="0" w:type="dxa"/>
          <w:left w:w="0" w:type="dxa"/>
          <w:bottom w:w="0" w:type="dxa"/>
          <w:right w:w="0" w:type="dxa"/>
        </w:tblCellMar>
      </w:tblPr>
      <w:tr>
        <w:trPr>
          <w:trHeight w:val="167"/>
        </w:trPr>
        <w:tc>
          <w:tcPr>
            <w:tcW w:w="24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Class of Common Stock</w:t>
            </w:r>
          </w:p>
        </w:tc>
        <w:tc>
          <w:tcPr>
            <w:tcW w:w="1500" w:type="dxa"/>
            <w:vAlign w:val="bottom"/>
          </w:tcPr>
          <w:p>
            <w:pPr>
              <w:ind w:left="220"/>
              <w:spacing w:after="0"/>
              <w:rPr>
                <w:sz w:val="20"/>
                <w:szCs w:val="20"/>
                <w:color w:val="auto"/>
              </w:rPr>
            </w:pPr>
            <w:r>
              <w:rPr>
                <w:rFonts w:ascii="Arial" w:cs="Arial" w:eastAsia="Arial" w:hAnsi="Arial"/>
                <w:sz w:val="14"/>
                <w:szCs w:val="14"/>
                <w:color w:val="auto"/>
              </w:rPr>
              <w:t>Number of Shares</w:t>
            </w:r>
          </w:p>
        </w:tc>
      </w:tr>
      <w:tr>
        <w:trPr>
          <w:trHeight w:val="123"/>
        </w:trPr>
        <w:tc>
          <w:tcPr>
            <w:tcW w:w="23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Class A Stock, $.001 par value</w:t>
            </w:r>
          </w:p>
        </w:tc>
        <w:tc>
          <w:tcPr>
            <w:tcW w:w="80" w:type="dxa"/>
            <w:vAlign w:val="bottom"/>
          </w:tcPr>
          <w:p>
            <w:pPr>
              <w:spacing w:after="0"/>
              <w:rPr>
                <w:sz w:val="10"/>
                <w:szCs w:val="10"/>
                <w:color w:val="auto"/>
              </w:rPr>
            </w:pPr>
          </w:p>
        </w:tc>
        <w:tc>
          <w:tcPr>
            <w:tcW w:w="1500" w:type="dxa"/>
            <w:vAlign w:val="bottom"/>
            <w:tcBorders>
              <w:top w:val="single" w:sz="8" w:color="auto"/>
            </w:tcBorders>
          </w:tcPr>
          <w:p>
            <w:pPr>
              <w:jc w:val="right"/>
              <w:ind w:right="388"/>
              <w:spacing w:after="0" w:line="123" w:lineRule="exact"/>
              <w:rPr>
                <w:sz w:val="20"/>
                <w:szCs w:val="20"/>
                <w:color w:val="auto"/>
              </w:rPr>
            </w:pPr>
            <w:r>
              <w:rPr>
                <w:rFonts w:ascii="Arial" w:cs="Arial" w:eastAsia="Arial" w:hAnsi="Arial"/>
                <w:sz w:val="14"/>
                <w:szCs w:val="14"/>
                <w:color w:val="auto"/>
              </w:rPr>
              <w:t>1,823,283</w:t>
            </w:r>
          </w:p>
        </w:tc>
      </w:tr>
      <w:tr>
        <w:trPr>
          <w:trHeight w:val="182"/>
        </w:trPr>
        <w:tc>
          <w:tcPr>
            <w:tcW w:w="244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Common Stock, $.001 par value</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106,715,999</w:t>
            </w: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48" w:lineRule="exact"/>
        <w:rPr>
          <w:sz w:val="20"/>
          <w:szCs w:val="20"/>
          <w:color w:val="auto"/>
        </w:rPr>
      </w:pPr>
    </w:p>
    <w:p>
      <w:pPr>
        <w:ind w:right="60"/>
        <w:spacing w:after="0" w:line="274" w:lineRule="auto"/>
        <w:rPr>
          <w:sz w:val="20"/>
          <w:szCs w:val="20"/>
          <w:color w:val="auto"/>
        </w:rPr>
      </w:pPr>
      <w:r>
        <w:rPr>
          <w:rFonts w:ascii="Arial" w:cs="Arial" w:eastAsia="Arial" w:hAnsi="Arial"/>
          <w:sz w:val="13"/>
          <w:szCs w:val="13"/>
          <w:color w:val="auto"/>
        </w:rPr>
        <w:t>Specified portions of the Registrant’s definitive proxy statement to be filed in connection with solicitation of proxies for its 2022 Annual Meeting of Shareholders are incorporated by reference into Part III of this Form 10-K. Exhibit index is located on pages 95 to 101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5" w:name="page6"/>
    <w:bookmarkEnd w:id="5"/>
    <w:tbl>
      <w:tblPr>
        <w:tblLayout w:type="fixed"/>
        <w:tblInd w:w="58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12"/>
          </w:tcPr>
          <w:p>
            <w:pPr>
              <w:jc w:val="center"/>
              <w:ind w:right="1640"/>
              <w:spacing w:after="0"/>
              <w:rPr>
                <w:sz w:val="20"/>
                <w:szCs w:val="20"/>
                <w:color w:val="auto"/>
              </w:rPr>
            </w:pPr>
            <w:r>
              <w:rPr>
                <w:rFonts w:ascii="Arial" w:cs="Arial" w:eastAsia="Arial" w:hAnsi="Arial"/>
                <w:sz w:val="18"/>
                <w:szCs w:val="18"/>
                <w:b w:val="1"/>
                <w:bCs w:val="1"/>
                <w:color w:val="auto"/>
              </w:rPr>
              <w:t>REGENERON PHARMACEUTICALS, INC.</w:t>
            </w:r>
          </w:p>
        </w:tc>
        <w:tc>
          <w:tcPr>
            <w:tcW w:w="14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12"/>
          </w:tcPr>
          <w:p>
            <w:pPr>
              <w:jc w:val="center"/>
              <w:ind w:right="1620"/>
              <w:spacing w:after="0"/>
              <w:rPr>
                <w:sz w:val="20"/>
                <w:szCs w:val="20"/>
                <w:color w:val="auto"/>
              </w:rPr>
            </w:pPr>
            <w:r>
              <w:rPr>
                <w:rFonts w:ascii="Arial" w:cs="Arial" w:eastAsia="Arial" w:hAnsi="Arial"/>
                <w:sz w:val="18"/>
                <w:szCs w:val="18"/>
                <w:b w:val="1"/>
                <w:bCs w:val="1"/>
                <w:color w:val="auto"/>
                <w:w w:val="99"/>
              </w:rPr>
              <w:t>ANNUAL REPORT ON FORM 10-K</w:t>
            </w:r>
          </w:p>
        </w:tc>
        <w:tc>
          <w:tcPr>
            <w:tcW w:w="14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0" w:type="dxa"/>
            <w:vAlign w:val="bottom"/>
            <w:gridSpan w:val="11"/>
          </w:tcPr>
          <w:p>
            <w:pPr>
              <w:jc w:val="center"/>
              <w:ind w:right="2440"/>
              <w:spacing w:after="0"/>
              <w:rPr>
                <w:sz w:val="20"/>
                <w:szCs w:val="20"/>
                <w:color w:val="auto"/>
              </w:rPr>
            </w:pPr>
            <w:r>
              <w:rPr>
                <w:rFonts w:ascii="Arial" w:cs="Arial" w:eastAsia="Arial" w:hAnsi="Arial"/>
                <w:sz w:val="18"/>
                <w:szCs w:val="18"/>
                <w:b w:val="1"/>
                <w:bCs w:val="1"/>
                <w:color w:val="auto"/>
                <w:w w:val="98"/>
              </w:rPr>
              <w:t>TABLE OF CONTENTS</w:t>
            </w:r>
          </w:p>
        </w:tc>
        <w:tc>
          <w:tcPr>
            <w:tcW w:w="14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ind w:left="280"/>
              <w:spacing w:after="0"/>
              <w:rPr>
                <w:sz w:val="20"/>
                <w:szCs w:val="20"/>
                <w:color w:val="auto"/>
              </w:rPr>
            </w:pPr>
            <w:r>
              <w:rPr>
                <w:rFonts w:ascii="Arial" w:cs="Arial" w:eastAsia="Arial" w:hAnsi="Arial"/>
                <w:sz w:val="18"/>
                <w:szCs w:val="18"/>
                <w:b w:val="1"/>
                <w:bCs w:val="1"/>
                <w:color w:val="auto"/>
                <w:w w:val="87"/>
              </w:rPr>
              <w:t>Page Numbers</w:t>
            </w:r>
          </w:p>
        </w:tc>
      </w:tr>
      <w:tr>
        <w:trPr>
          <w:trHeight w:val="256"/>
        </w:trPr>
        <w:tc>
          <w:tcPr>
            <w:tcW w:w="1000" w:type="dxa"/>
            <w:vAlign w:val="bottom"/>
            <w:gridSpan w:val="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PART I</w:t>
              </w:r>
            </w:hyperlink>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7"/>
        </w:trPr>
        <w:tc>
          <w:tcPr>
            <w:tcW w:w="580" w:type="dxa"/>
            <w:vAlign w:val="bottom"/>
            <w:tcBorders>
              <w:top w:val="single" w:sz="8" w:color="0000EE"/>
            </w:tcBorders>
            <w:gridSpan w:val="2"/>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Item 1.</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99"/>
              </w:rPr>
              <w:t>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rFonts w:ascii="Arial" w:cs="Arial" w:eastAsia="Arial" w:hAnsi="Arial"/>
                <w:sz w:val="18"/>
                <w:szCs w:val="18"/>
                <w:color w:val="0000EE"/>
                <w:w w:val="80"/>
              </w:rPr>
            </w:pPr>
            <w:hyperlink w:anchor="page45">
              <w:r>
                <w:rPr>
                  <w:rFonts w:ascii="Arial" w:cs="Arial" w:eastAsia="Arial" w:hAnsi="Arial"/>
                  <w:sz w:val="18"/>
                  <w:szCs w:val="18"/>
                  <w:color w:val="0000EE"/>
                  <w:w w:val="80"/>
                </w:rPr>
                <w:t>Item 1A.</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40</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rFonts w:ascii="Arial" w:cs="Arial" w:eastAsia="Arial" w:hAnsi="Arial"/>
                <w:sz w:val="18"/>
                <w:szCs w:val="18"/>
                <w:color w:val="0000EE"/>
                <w:w w:val="80"/>
              </w:rPr>
            </w:pPr>
            <w:hyperlink w:anchor="page79">
              <w:r>
                <w:rPr>
                  <w:rFonts w:ascii="Arial" w:cs="Arial" w:eastAsia="Arial" w:hAnsi="Arial"/>
                  <w:sz w:val="18"/>
                  <w:szCs w:val="18"/>
                  <w:color w:val="0000EE"/>
                  <w:w w:val="80"/>
                </w:rPr>
                <w:t>Item 1B.</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Unresolved Staff Comments</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74</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rFonts w:ascii="Arial" w:cs="Arial" w:eastAsia="Arial" w:hAnsi="Arial"/>
                <w:sz w:val="18"/>
                <w:szCs w:val="18"/>
                <w:color w:val="0000EE"/>
                <w:w w:val="98"/>
              </w:rPr>
            </w:pPr>
            <w:hyperlink w:anchor="page80">
              <w:r>
                <w:rPr>
                  <w:rFonts w:ascii="Arial" w:cs="Arial" w:eastAsia="Arial" w:hAnsi="Arial"/>
                  <w:sz w:val="18"/>
                  <w:szCs w:val="18"/>
                  <w:color w:val="0000EE"/>
                  <w:w w:val="98"/>
                </w:rPr>
                <w:t>Item 2.</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Properties</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75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1000" w:type="dxa"/>
            <w:vAlign w:val="bottom"/>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3.</w:t>
              </w:r>
            </w:hyperlink>
          </w:p>
        </w:tc>
        <w:tc>
          <w:tcPr>
            <w:tcW w:w="766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Legal Proceedings</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75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1000" w:type="dxa"/>
            <w:vAlign w:val="bottom"/>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4.</w:t>
              </w:r>
            </w:hyperlink>
          </w:p>
        </w:tc>
        <w:tc>
          <w:tcPr>
            <w:tcW w:w="766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Mine Safety Disclosures</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75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93"/>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80">
              <w:r>
                <w:rPr>
                  <w:rFonts w:ascii="Arial" w:cs="Arial" w:eastAsia="Arial" w:hAnsi="Arial"/>
                  <w:sz w:val="18"/>
                  <w:szCs w:val="18"/>
                  <w:b w:val="1"/>
                  <w:bCs w:val="1"/>
                  <w:color w:val="0000EE"/>
                  <w:w w:val="99"/>
                </w:rPr>
                <w:t>PART II</w:t>
              </w:r>
            </w:hyperlink>
          </w:p>
        </w:tc>
        <w:tc>
          <w:tcPr>
            <w:tcW w:w="3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7"/>
        </w:trPr>
        <w:tc>
          <w:tcPr>
            <w:tcW w:w="1000" w:type="dxa"/>
            <w:vAlign w:val="bottom"/>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5.</w:t>
              </w:r>
            </w:hyperlink>
          </w:p>
        </w:tc>
        <w:tc>
          <w:tcPr>
            <w:tcW w:w="7660" w:type="dxa"/>
            <w:vAlign w:val="bottom"/>
            <w:gridSpan w:val="22"/>
          </w:tcPr>
          <w:p>
            <w:pPr>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Market for Registrant’s Common Equity, Related Stockholder Matters, and Issuer Purchases of Equity</w:t>
              </w:r>
            </w:hyperlink>
          </w:p>
        </w:tc>
        <w:tc>
          <w:tcPr>
            <w:tcW w:w="140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Securities</w:t>
              </w:r>
            </w:hyperlink>
          </w:p>
        </w:tc>
        <w:tc>
          <w:tcPr>
            <w:tcW w:w="6920" w:type="dxa"/>
            <w:vAlign w:val="bottom"/>
            <w:gridSpan w:val="19"/>
          </w:tcPr>
          <w:p>
            <w:pPr>
              <w:spacing w:after="0"/>
              <w:rPr>
                <w:sz w:val="17"/>
                <w:szCs w:val="17"/>
                <w:color w:val="auto"/>
              </w:rPr>
            </w:pPr>
          </w:p>
        </w:tc>
        <w:tc>
          <w:tcPr>
            <w:tcW w:w="1400" w:type="dxa"/>
            <w:vAlign w:val="bottom"/>
          </w:tcPr>
          <w:p>
            <w:pPr>
              <w:jc w:val="center"/>
              <w:ind w:left="170"/>
              <w:spacing w:after="0" w:line="196" w:lineRule="exact"/>
              <w:rPr>
                <w:sz w:val="20"/>
                <w:szCs w:val="20"/>
                <w:color w:val="auto"/>
              </w:rPr>
            </w:pPr>
            <w:r>
              <w:rPr>
                <w:rFonts w:ascii="Arial" w:cs="Arial" w:eastAsia="Arial" w:hAnsi="Arial"/>
                <w:sz w:val="18"/>
                <w:szCs w:val="18"/>
                <w:color w:val="auto"/>
                <w:w w:val="89"/>
              </w:rPr>
              <w:t>75</w:t>
            </w:r>
          </w:p>
        </w:tc>
      </w:tr>
      <w:tr>
        <w:trPr>
          <w:trHeight w:val="277"/>
        </w:trPr>
        <w:tc>
          <w:tcPr>
            <w:tcW w:w="1000" w:type="dxa"/>
            <w:vAlign w:val="bottom"/>
            <w:gridSpan w:val="6"/>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6.</w:t>
              </w:r>
            </w:hyperlink>
          </w:p>
        </w:tc>
        <w:tc>
          <w:tcPr>
            <w:tcW w:w="7660" w:type="dxa"/>
            <w:vAlign w:val="bottom"/>
            <w:gridSpan w:val="2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[RESERVED]</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78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1000" w:type="dxa"/>
            <w:vAlign w:val="bottom"/>
            <w:gridSpan w:val="6"/>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7.</w:t>
              </w:r>
            </w:hyperlink>
          </w:p>
        </w:tc>
        <w:tc>
          <w:tcPr>
            <w:tcW w:w="7660" w:type="dxa"/>
            <w:vAlign w:val="bottom"/>
            <w:gridSpan w:val="2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Operations</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78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rFonts w:ascii="Arial" w:cs="Arial" w:eastAsia="Arial" w:hAnsi="Arial"/>
                <w:sz w:val="18"/>
                <w:szCs w:val="18"/>
                <w:color w:val="0000EE"/>
                <w:w w:val="80"/>
              </w:rPr>
            </w:pPr>
            <w:hyperlink w:anchor="page96">
              <w:r>
                <w:rPr>
                  <w:rFonts w:ascii="Arial" w:cs="Arial" w:eastAsia="Arial" w:hAnsi="Arial"/>
                  <w:sz w:val="18"/>
                  <w:szCs w:val="18"/>
                  <w:color w:val="0000EE"/>
                  <w:w w:val="80"/>
                </w:rPr>
                <w:t>Item 7A.</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Quantitative and Qualitative Disclosures About Market Risk</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91</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rFonts w:ascii="Arial" w:cs="Arial" w:eastAsia="Arial" w:hAnsi="Arial"/>
                <w:sz w:val="18"/>
                <w:szCs w:val="18"/>
                <w:color w:val="0000EE"/>
                <w:w w:val="98"/>
              </w:rPr>
            </w:pPr>
            <w:hyperlink w:anchor="page97">
              <w:r>
                <w:rPr>
                  <w:rFonts w:ascii="Arial" w:cs="Arial" w:eastAsia="Arial" w:hAnsi="Arial"/>
                  <w:sz w:val="18"/>
                  <w:szCs w:val="18"/>
                  <w:color w:val="0000EE"/>
                  <w:w w:val="98"/>
                </w:rPr>
                <w:t>Item 8.</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Financial Statements and Supplementary Data</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92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1000" w:type="dxa"/>
            <w:vAlign w:val="bottom"/>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9.</w:t>
              </w:r>
            </w:hyperlink>
          </w:p>
        </w:tc>
        <w:tc>
          <w:tcPr>
            <w:tcW w:w="7660" w:type="dxa"/>
            <w:vAlign w:val="bottom"/>
            <w:gridSpan w:val="22"/>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Changes in and Disagreements with Accountants on Accounting and Financial Disclosure</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92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rFonts w:ascii="Arial" w:cs="Arial" w:eastAsia="Arial" w:hAnsi="Arial"/>
                <w:sz w:val="18"/>
                <w:szCs w:val="18"/>
                <w:color w:val="0000EE"/>
                <w:w w:val="80"/>
              </w:rPr>
            </w:pPr>
            <w:hyperlink w:anchor="page98">
              <w:r>
                <w:rPr>
                  <w:rFonts w:ascii="Arial" w:cs="Arial" w:eastAsia="Arial" w:hAnsi="Arial"/>
                  <w:sz w:val="18"/>
                  <w:szCs w:val="18"/>
                  <w:color w:val="0000EE"/>
                  <w:w w:val="80"/>
                </w:rPr>
                <w:t>Item 9A.</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Controls and Procedures</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93</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rFonts w:ascii="Arial" w:cs="Arial" w:eastAsia="Arial" w:hAnsi="Arial"/>
                <w:sz w:val="18"/>
                <w:szCs w:val="18"/>
                <w:color w:val="0000EE"/>
                <w:w w:val="80"/>
              </w:rPr>
            </w:pPr>
            <w:hyperlink w:anchor="page98">
              <w:r>
                <w:rPr>
                  <w:rFonts w:ascii="Arial" w:cs="Arial" w:eastAsia="Arial" w:hAnsi="Arial"/>
                  <w:sz w:val="18"/>
                  <w:szCs w:val="18"/>
                  <w:color w:val="0000EE"/>
                  <w:w w:val="80"/>
                </w:rPr>
                <w:t>Item 9B.</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93</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1000" w:type="dxa"/>
            <w:vAlign w:val="bottom"/>
            <w:gridSpan w:val="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9C.</w:t>
              </w:r>
            </w:hyperlink>
          </w:p>
        </w:tc>
        <w:tc>
          <w:tcPr>
            <w:tcW w:w="7660" w:type="dxa"/>
            <w:vAlign w:val="bottom"/>
            <w:gridSpan w:val="22"/>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Disclosure Regarding Foreign Jurisdictions that Prevent Inspections</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93</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93"/>
        </w:trPr>
        <w:tc>
          <w:tcPr>
            <w:tcW w:w="1000" w:type="dxa"/>
            <w:vAlign w:val="bottom"/>
            <w:gridSpan w:val="6"/>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III</w:t>
              </w:r>
            </w:hyperlink>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7"/>
        </w:trPr>
        <w:tc>
          <w:tcPr>
            <w:tcW w:w="580" w:type="dxa"/>
            <w:vAlign w:val="bottom"/>
            <w:tcBorders>
              <w:top w:val="single" w:sz="8" w:color="0000EE"/>
            </w:tcBorders>
            <w:gridSpan w:val="2"/>
          </w:tcPr>
          <w:p>
            <w:pPr>
              <w:spacing w:after="0"/>
              <w:rPr>
                <w:rFonts w:ascii="Arial" w:cs="Arial" w:eastAsia="Arial" w:hAnsi="Arial"/>
                <w:sz w:val="18"/>
                <w:szCs w:val="18"/>
                <w:color w:val="0000EE"/>
                <w:w w:val="82"/>
              </w:rPr>
            </w:pPr>
            <w:hyperlink w:anchor="page99">
              <w:r>
                <w:rPr>
                  <w:rFonts w:ascii="Arial" w:cs="Arial" w:eastAsia="Arial" w:hAnsi="Arial"/>
                  <w:sz w:val="18"/>
                  <w:szCs w:val="18"/>
                  <w:color w:val="0000EE"/>
                  <w:w w:val="82"/>
                </w:rPr>
                <w:t>Item 10.</w:t>
              </w:r>
            </w:hyperlink>
          </w:p>
        </w:tc>
        <w:tc>
          <w:tcPr>
            <w:tcW w:w="140" w:type="dxa"/>
            <w:vAlign w:val="bottom"/>
            <w:tcBorders>
              <w:top w:val="single" w:sz="8" w:color="0000EE"/>
            </w:tcBorders>
            <w:gridSpan w:val="3"/>
          </w:tcPr>
          <w:p>
            <w:pPr>
              <w:spacing w:after="0"/>
              <w:rPr>
                <w:sz w:val="24"/>
                <w:szCs w:val="24"/>
                <w:color w:val="auto"/>
              </w:rPr>
            </w:pPr>
          </w:p>
        </w:tc>
        <w:tc>
          <w:tcPr>
            <w:tcW w:w="280" w:type="dxa"/>
            <w:vAlign w:val="bottom"/>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Directors, Executive Officers and Corporate Governance</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94</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rFonts w:ascii="Arial" w:cs="Arial" w:eastAsia="Arial" w:hAnsi="Arial"/>
                <w:sz w:val="18"/>
                <w:szCs w:val="18"/>
                <w:color w:val="0000EE"/>
                <w:w w:val="82"/>
              </w:rPr>
            </w:pPr>
            <w:hyperlink w:anchor="page99">
              <w:r>
                <w:rPr>
                  <w:rFonts w:ascii="Arial" w:cs="Arial" w:eastAsia="Arial" w:hAnsi="Arial"/>
                  <w:sz w:val="18"/>
                  <w:szCs w:val="18"/>
                  <w:color w:val="0000EE"/>
                  <w:w w:val="82"/>
                </w:rPr>
                <w:t>Item 11.</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Executive Compensation</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94</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rFonts w:ascii="Arial" w:cs="Arial" w:eastAsia="Arial" w:hAnsi="Arial"/>
                <w:sz w:val="18"/>
                <w:szCs w:val="18"/>
                <w:color w:val="0000EE"/>
                <w:w w:val="82"/>
              </w:rPr>
            </w:pPr>
            <w:hyperlink w:anchor="page99">
              <w:r>
                <w:rPr>
                  <w:rFonts w:ascii="Arial" w:cs="Arial" w:eastAsia="Arial" w:hAnsi="Arial"/>
                  <w:sz w:val="18"/>
                  <w:szCs w:val="18"/>
                  <w:color w:val="0000EE"/>
                  <w:w w:val="82"/>
                </w:rPr>
                <w:t>Item 12.</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Security Ownership of Certain Beneficial Owners and Management and Related Stockholder Matters</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94</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5"/>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rFonts w:ascii="Arial" w:cs="Arial" w:eastAsia="Arial" w:hAnsi="Arial"/>
                <w:sz w:val="18"/>
                <w:szCs w:val="18"/>
                <w:color w:val="0000EE"/>
                <w:w w:val="82"/>
              </w:rPr>
            </w:pPr>
            <w:hyperlink w:anchor="page99">
              <w:r>
                <w:rPr>
                  <w:rFonts w:ascii="Arial" w:cs="Arial" w:eastAsia="Arial" w:hAnsi="Arial"/>
                  <w:sz w:val="18"/>
                  <w:szCs w:val="18"/>
                  <w:color w:val="0000EE"/>
                  <w:w w:val="82"/>
                </w:rPr>
                <w:t>Item 13.</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Transactions, and Director Independence</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94</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5"/>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rFonts w:ascii="Arial" w:cs="Arial" w:eastAsia="Arial" w:hAnsi="Arial"/>
                <w:sz w:val="18"/>
                <w:szCs w:val="18"/>
                <w:color w:val="0000EE"/>
                <w:w w:val="82"/>
              </w:rPr>
            </w:pPr>
            <w:hyperlink w:anchor="page99">
              <w:r>
                <w:rPr>
                  <w:rFonts w:ascii="Arial" w:cs="Arial" w:eastAsia="Arial" w:hAnsi="Arial"/>
                  <w:sz w:val="18"/>
                  <w:szCs w:val="18"/>
                  <w:color w:val="0000EE"/>
                  <w:w w:val="82"/>
                </w:rPr>
                <w:t>Item 14.</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Principal Accountant Fees and Services</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94</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93"/>
        </w:trPr>
        <w:tc>
          <w:tcPr>
            <w:tcW w:w="1000" w:type="dxa"/>
            <w:vAlign w:val="bottom"/>
            <w:gridSpan w:val="6"/>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PART IV</w:t>
              </w:r>
            </w:hyperlink>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7"/>
        </w:trPr>
        <w:tc>
          <w:tcPr>
            <w:tcW w:w="580" w:type="dxa"/>
            <w:vAlign w:val="bottom"/>
            <w:tcBorders>
              <w:top w:val="single" w:sz="8" w:color="0000EE"/>
            </w:tcBorders>
            <w:gridSpan w:val="2"/>
          </w:tcPr>
          <w:p>
            <w:pPr>
              <w:spacing w:after="0"/>
              <w:rPr>
                <w:rFonts w:ascii="Arial" w:cs="Arial" w:eastAsia="Arial" w:hAnsi="Arial"/>
                <w:sz w:val="18"/>
                <w:szCs w:val="18"/>
                <w:color w:val="0000EE"/>
                <w:w w:val="82"/>
              </w:rPr>
            </w:pPr>
            <w:hyperlink w:anchor="page100">
              <w:r>
                <w:rPr>
                  <w:rFonts w:ascii="Arial" w:cs="Arial" w:eastAsia="Arial" w:hAnsi="Arial"/>
                  <w:sz w:val="18"/>
                  <w:szCs w:val="18"/>
                  <w:color w:val="0000EE"/>
                  <w:w w:val="82"/>
                </w:rPr>
                <w:t>Item 15.</w:t>
              </w:r>
            </w:hyperlink>
          </w:p>
        </w:tc>
        <w:tc>
          <w:tcPr>
            <w:tcW w:w="120" w:type="dxa"/>
            <w:vAlign w:val="bottom"/>
            <w:tcBorders>
              <w:top w:val="single" w:sz="8" w:color="0000EE"/>
            </w:tcBorders>
            <w:gridSpan w:val="2"/>
          </w:tcPr>
          <w:p>
            <w:pPr>
              <w:spacing w:after="0"/>
              <w:rPr>
                <w:sz w:val="24"/>
                <w:szCs w:val="24"/>
                <w:color w:val="auto"/>
              </w:rPr>
            </w:pPr>
          </w:p>
        </w:tc>
        <w:tc>
          <w:tcPr>
            <w:tcW w:w="300" w:type="dxa"/>
            <w:vAlign w:val="bottom"/>
            <w:gridSpan w:val="2"/>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Exhibits and Financial Statement Schedules</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9"/>
              </w:rPr>
              <w:t>95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5"/>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rFonts w:ascii="Arial" w:cs="Arial" w:eastAsia="Arial" w:hAnsi="Arial"/>
                <w:sz w:val="18"/>
                <w:szCs w:val="18"/>
                <w:color w:val="0000EE"/>
                <w:w w:val="82"/>
              </w:rPr>
            </w:pPr>
            <w:hyperlink w:anchor="page106">
              <w:r>
                <w:rPr>
                  <w:rFonts w:ascii="Arial" w:cs="Arial" w:eastAsia="Arial" w:hAnsi="Arial"/>
                  <w:sz w:val="18"/>
                  <w:szCs w:val="18"/>
                  <w:color w:val="0000EE"/>
                  <w:w w:val="82"/>
                </w:rPr>
                <w:t>Item 16.</w:t>
              </w:r>
            </w:hyperlink>
          </w:p>
        </w:tc>
        <w:tc>
          <w:tcPr>
            <w:tcW w:w="420" w:type="dxa"/>
            <w:vAlign w:val="bottom"/>
            <w:gridSpan w:val="4"/>
          </w:tcPr>
          <w:p>
            <w:pPr>
              <w:spacing w:after="0"/>
              <w:rPr>
                <w:sz w:val="24"/>
                <w:szCs w:val="24"/>
                <w:color w:val="auto"/>
              </w:rPr>
            </w:pPr>
          </w:p>
        </w:tc>
        <w:tc>
          <w:tcPr>
            <w:tcW w:w="7660" w:type="dxa"/>
            <w:vAlign w:val="bottom"/>
            <w:gridSpan w:val="22"/>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Form 10-K Summary</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6"/>
              </w:rPr>
              <w:t>101</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5"/>
            <w:shd w:val="clear" w:color="auto" w:fill="0000EE"/>
          </w:tcPr>
          <w:p>
            <w:pPr>
              <w:spacing w:after="0" w:line="20" w:lineRule="exact"/>
              <w:rPr>
                <w:sz w:val="1"/>
                <w:szCs w:val="1"/>
                <w:color w:val="auto"/>
              </w:rPr>
            </w:pPr>
          </w:p>
        </w:tc>
        <w:tc>
          <w:tcPr>
            <w:tcW w:w="6100" w:type="dxa"/>
            <w:vAlign w:val="bottom"/>
            <w:gridSpan w:val="1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93"/>
        </w:trPr>
        <w:tc>
          <w:tcPr>
            <w:tcW w:w="8660" w:type="dxa"/>
            <w:vAlign w:val="bottom"/>
            <w:gridSpan w:val="28"/>
          </w:tcPr>
          <w:p>
            <w:pPr>
              <w:spacing w:after="0"/>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SIGNATURE PAGE</w:t>
              </w:r>
            </w:hyperlink>
          </w:p>
        </w:tc>
        <w:tc>
          <w:tcPr>
            <w:tcW w:w="1400" w:type="dxa"/>
            <w:vAlign w:val="bottom"/>
          </w:tcPr>
          <w:p>
            <w:pPr>
              <w:jc w:val="center"/>
              <w:ind w:left="170"/>
              <w:spacing w:after="0"/>
              <w:rPr>
                <w:sz w:val="20"/>
                <w:szCs w:val="20"/>
                <w:color w:val="auto"/>
              </w:rPr>
            </w:pPr>
            <w:r>
              <w:rPr>
                <w:rFonts w:ascii="Arial" w:cs="Arial" w:eastAsia="Arial" w:hAnsi="Arial"/>
                <w:sz w:val="18"/>
                <w:szCs w:val="18"/>
                <w:color w:val="auto"/>
                <w:w w:val="86"/>
              </w:rPr>
              <w:t>102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59" w:lineRule="exact"/>
        <w:rPr>
          <w:sz w:val="20"/>
          <w:szCs w:val="20"/>
          <w:color w:val="auto"/>
        </w:rPr>
      </w:pPr>
    </w:p>
    <w:p>
      <w:pPr>
        <w:jc w:val="both"/>
        <w:spacing w:after="0" w:line="188" w:lineRule="auto"/>
        <w:rPr>
          <w:sz w:val="20"/>
          <w:szCs w:val="20"/>
          <w:color w:val="auto"/>
        </w:rPr>
      </w:pPr>
      <w:r>
        <w:rPr>
          <w:rFonts w:ascii="Arial" w:cs="Arial" w:eastAsia="Arial" w:hAnsi="Arial"/>
          <w:sz w:val="18"/>
          <w:szCs w:val="18"/>
          <w:color w:val="auto"/>
        </w:rPr>
        <w:t>“ARCALYST</w:t>
      </w:r>
      <w:r>
        <w:rPr>
          <w:rFonts w:ascii="Arial" w:cs="Arial" w:eastAsia="Arial" w:hAnsi="Arial"/>
          <w:sz w:val="29"/>
          <w:szCs w:val="29"/>
          <w:color w:val="auto"/>
          <w:vertAlign w:val="superscript"/>
        </w:rPr>
        <w:t>®</w:t>
      </w:r>
      <w:r>
        <w:rPr>
          <w:rFonts w:ascii="Arial" w:cs="Arial" w:eastAsia="Arial" w:hAnsi="Arial"/>
          <w:sz w:val="18"/>
          <w:szCs w:val="18"/>
          <w:color w:val="auto"/>
        </w:rPr>
        <w:t>,” “Evkeeza</w:t>
      </w:r>
      <w:r>
        <w:rPr>
          <w:rFonts w:ascii="Arial" w:cs="Arial" w:eastAsia="Arial" w:hAnsi="Arial"/>
          <w:sz w:val="29"/>
          <w:szCs w:val="29"/>
          <w:color w:val="auto"/>
          <w:vertAlign w:val="superscript"/>
        </w:rPr>
        <w:t>®</w:t>
      </w:r>
      <w:r>
        <w:rPr>
          <w:rFonts w:ascii="Arial" w:cs="Arial" w:eastAsia="Arial" w:hAnsi="Arial"/>
          <w:sz w:val="18"/>
          <w:szCs w:val="18"/>
          <w:color w:val="auto"/>
        </w:rPr>
        <w:t>,” “EYLEA</w:t>
      </w:r>
      <w:r>
        <w:rPr>
          <w:rFonts w:ascii="Arial" w:cs="Arial" w:eastAsia="Arial" w:hAnsi="Arial"/>
          <w:sz w:val="29"/>
          <w:szCs w:val="29"/>
          <w:color w:val="auto"/>
          <w:vertAlign w:val="superscript"/>
        </w:rPr>
        <w:t>®</w:t>
      </w:r>
      <w:r>
        <w:rPr>
          <w:rFonts w:ascii="Arial" w:cs="Arial" w:eastAsia="Arial" w:hAnsi="Arial"/>
          <w:sz w:val="18"/>
          <w:szCs w:val="18"/>
          <w:color w:val="auto"/>
        </w:rPr>
        <w:t>,” “Inmazeb</w:t>
      </w:r>
      <w:r>
        <w:rPr>
          <w:rFonts w:ascii="Arial" w:cs="Arial" w:eastAsia="Arial" w:hAnsi="Arial"/>
          <w:sz w:val="29"/>
          <w:szCs w:val="29"/>
          <w:color w:val="auto"/>
          <w:vertAlign w:val="superscript"/>
        </w:rPr>
        <w:t>®</w:t>
      </w:r>
      <w:r>
        <w:rPr>
          <w:rFonts w:ascii="Arial" w:cs="Arial" w:eastAsia="Arial" w:hAnsi="Arial"/>
          <w:sz w:val="18"/>
          <w:szCs w:val="18"/>
          <w:color w:val="auto"/>
        </w:rPr>
        <w:t>,” “Libtayo</w:t>
      </w:r>
      <w:r>
        <w:rPr>
          <w:rFonts w:ascii="Arial" w:cs="Arial" w:eastAsia="Arial" w:hAnsi="Arial"/>
          <w:sz w:val="29"/>
          <w:szCs w:val="29"/>
          <w:color w:val="auto"/>
          <w:vertAlign w:val="superscript"/>
        </w:rPr>
        <w:t>®</w:t>
      </w:r>
      <w:r>
        <w:rPr>
          <w:rFonts w:ascii="Arial" w:cs="Arial" w:eastAsia="Arial" w:hAnsi="Arial"/>
          <w:sz w:val="18"/>
          <w:szCs w:val="18"/>
          <w:color w:val="auto"/>
        </w:rPr>
        <w:t>” (in the United States), “Praluent</w:t>
      </w:r>
      <w:r>
        <w:rPr>
          <w:rFonts w:ascii="Arial" w:cs="Arial" w:eastAsia="Arial" w:hAnsi="Arial"/>
          <w:sz w:val="29"/>
          <w:szCs w:val="29"/>
          <w:color w:val="auto"/>
          <w:vertAlign w:val="superscript"/>
        </w:rPr>
        <w:t>®</w:t>
      </w:r>
      <w:r>
        <w:rPr>
          <w:rFonts w:ascii="Arial" w:cs="Arial" w:eastAsia="Arial" w:hAnsi="Arial"/>
          <w:sz w:val="18"/>
          <w:szCs w:val="18"/>
          <w:color w:val="auto"/>
        </w:rPr>
        <w:t>” (in the United States), “REGEN-COV</w:t>
      </w:r>
      <w:r>
        <w:rPr>
          <w:rFonts w:ascii="Arial" w:cs="Arial" w:eastAsia="Arial" w:hAnsi="Arial"/>
          <w:sz w:val="29"/>
          <w:szCs w:val="29"/>
          <w:color w:val="auto"/>
          <w:vertAlign w:val="superscript"/>
        </w:rPr>
        <w:t>®</w:t>
      </w:r>
      <w:r>
        <w:rPr>
          <w:rFonts w:ascii="Arial" w:cs="Arial" w:eastAsia="Arial" w:hAnsi="Arial"/>
          <w:sz w:val="18"/>
          <w:szCs w:val="18"/>
          <w:color w:val="auto"/>
        </w:rPr>
        <w:t>,” “Regeneron</w:t>
      </w:r>
      <w:r>
        <w:rPr>
          <w:rFonts w:ascii="Arial" w:cs="Arial" w:eastAsia="Arial" w:hAnsi="Arial"/>
          <w:sz w:val="29"/>
          <w:szCs w:val="29"/>
          <w:color w:val="auto"/>
          <w:vertAlign w:val="superscript"/>
        </w:rPr>
        <w:t>®</w:t>
      </w:r>
      <w:r>
        <w:rPr>
          <w:rFonts w:ascii="Arial" w:cs="Arial" w:eastAsia="Arial" w:hAnsi="Arial"/>
          <w:sz w:val="18"/>
          <w:szCs w:val="18"/>
          <w:color w:val="auto"/>
        </w:rPr>
        <w:t>,” “Regeneron Genetics Center</w:t>
      </w:r>
      <w:r>
        <w:rPr>
          <w:rFonts w:ascii="Arial" w:cs="Arial" w:eastAsia="Arial" w:hAnsi="Arial"/>
          <w:sz w:val="29"/>
          <w:szCs w:val="29"/>
          <w:color w:val="auto"/>
          <w:vertAlign w:val="superscript"/>
        </w:rPr>
        <w:t>®</w:t>
      </w:r>
      <w:r>
        <w:rPr>
          <w:rFonts w:ascii="Arial" w:cs="Arial" w:eastAsia="Arial" w:hAnsi="Arial"/>
          <w:sz w:val="18"/>
          <w:szCs w:val="18"/>
          <w:color w:val="auto"/>
        </w:rPr>
        <w:t>,” “RGC</w:t>
      </w:r>
      <w:r>
        <w:rPr>
          <w:rFonts w:ascii="Arial" w:cs="Arial" w:eastAsia="Arial" w:hAnsi="Arial"/>
          <w:sz w:val="29"/>
          <w:szCs w:val="29"/>
          <w:color w:val="auto"/>
          <w:vertAlign w:val="superscript"/>
        </w:rPr>
        <w:t>™</w:t>
      </w:r>
      <w:r>
        <w:rPr>
          <w:rFonts w:ascii="Arial" w:cs="Arial" w:eastAsia="Arial" w:hAnsi="Arial"/>
          <w:sz w:val="18"/>
          <w:szCs w:val="18"/>
          <w:color w:val="auto"/>
        </w:rPr>
        <w:t>,” “Veloci-Bi</w:t>
      </w:r>
      <w:r>
        <w:rPr>
          <w:rFonts w:ascii="Arial" w:cs="Arial" w:eastAsia="Arial" w:hAnsi="Arial"/>
          <w:sz w:val="29"/>
          <w:szCs w:val="29"/>
          <w:color w:val="auto"/>
          <w:vertAlign w:val="superscript"/>
        </w:rPr>
        <w:t>®</w:t>
      </w:r>
      <w:r>
        <w:rPr>
          <w:rFonts w:ascii="Arial" w:cs="Arial" w:eastAsia="Arial" w:hAnsi="Arial"/>
          <w:sz w:val="18"/>
          <w:szCs w:val="18"/>
          <w:color w:val="auto"/>
        </w:rPr>
        <w:t>,” “VelociGene</w:t>
      </w:r>
      <w:r>
        <w:rPr>
          <w:rFonts w:ascii="Arial" w:cs="Arial" w:eastAsia="Arial" w:hAnsi="Arial"/>
          <w:sz w:val="29"/>
          <w:szCs w:val="29"/>
          <w:color w:val="auto"/>
          <w:vertAlign w:val="superscript"/>
        </w:rPr>
        <w:t>®</w:t>
      </w:r>
      <w:r>
        <w:rPr>
          <w:rFonts w:ascii="Arial" w:cs="Arial" w:eastAsia="Arial" w:hAnsi="Arial"/>
          <w:sz w:val="18"/>
          <w:szCs w:val="18"/>
          <w:color w:val="auto"/>
        </w:rPr>
        <w:t>,” “VelociHum</w:t>
      </w:r>
      <w:r>
        <w:rPr>
          <w:rFonts w:ascii="Arial" w:cs="Arial" w:eastAsia="Arial" w:hAnsi="Arial"/>
          <w:sz w:val="29"/>
          <w:szCs w:val="29"/>
          <w:color w:val="auto"/>
          <w:vertAlign w:val="superscript"/>
        </w:rPr>
        <w:t>®</w:t>
      </w:r>
      <w:r>
        <w:rPr>
          <w:rFonts w:ascii="Arial" w:cs="Arial" w:eastAsia="Arial" w:hAnsi="Arial"/>
          <w:sz w:val="18"/>
          <w:szCs w:val="18"/>
          <w:color w:val="auto"/>
        </w:rPr>
        <w:t>,” “VelociMab</w:t>
      </w:r>
      <w:r>
        <w:rPr>
          <w:rFonts w:ascii="Arial" w:cs="Arial" w:eastAsia="Arial" w:hAnsi="Arial"/>
          <w:sz w:val="29"/>
          <w:szCs w:val="29"/>
          <w:color w:val="auto"/>
          <w:vertAlign w:val="superscript"/>
        </w:rPr>
        <w:t>®</w:t>
      </w:r>
      <w:r>
        <w:rPr>
          <w:rFonts w:ascii="Arial" w:cs="Arial" w:eastAsia="Arial" w:hAnsi="Arial"/>
          <w:sz w:val="18"/>
          <w:szCs w:val="18"/>
          <w:color w:val="auto"/>
        </w:rPr>
        <w:t>,” “VelocImmune</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“VelociMouse</w:t>
      </w:r>
      <w:r>
        <w:rPr>
          <w:rFonts w:ascii="Arial" w:cs="Arial" w:eastAsia="Arial" w:hAnsi="Arial"/>
          <w:sz w:val="29"/>
          <w:szCs w:val="29"/>
          <w:color w:val="auto"/>
          <w:vertAlign w:val="superscript"/>
        </w:rPr>
        <w:t>®</w:t>
      </w:r>
      <w:r>
        <w:rPr>
          <w:rFonts w:ascii="Arial" w:cs="Arial" w:eastAsia="Arial" w:hAnsi="Arial"/>
          <w:sz w:val="18"/>
          <w:szCs w:val="18"/>
          <w:color w:val="auto"/>
        </w:rPr>
        <w:t>,” “VelociSuite</w:t>
      </w:r>
      <w:r>
        <w:rPr>
          <w:rFonts w:ascii="Arial" w:cs="Arial" w:eastAsia="Arial" w:hAnsi="Arial"/>
          <w:sz w:val="29"/>
          <w:szCs w:val="29"/>
          <w:color w:val="auto"/>
          <w:vertAlign w:val="superscript"/>
        </w:rPr>
        <w:t>®</w:t>
      </w:r>
      <w:r>
        <w:rPr>
          <w:rFonts w:ascii="Arial" w:cs="Arial" w:eastAsia="Arial" w:hAnsi="Arial"/>
          <w:sz w:val="18"/>
          <w:szCs w:val="18"/>
          <w:color w:val="auto"/>
        </w:rPr>
        <w:t>,” “VelociT</w:t>
      </w:r>
      <w:r>
        <w:rPr>
          <w:rFonts w:ascii="Arial" w:cs="Arial" w:eastAsia="Arial" w:hAnsi="Arial"/>
          <w:sz w:val="29"/>
          <w:szCs w:val="29"/>
          <w:color w:val="auto"/>
          <w:vertAlign w:val="superscript"/>
        </w:rPr>
        <w:t>®</w:t>
      </w:r>
      <w:r>
        <w:rPr>
          <w:rFonts w:ascii="Arial" w:cs="Arial" w:eastAsia="Arial" w:hAnsi="Arial"/>
          <w:sz w:val="18"/>
          <w:szCs w:val="18"/>
          <w:color w:val="auto"/>
        </w:rPr>
        <w:t>,” and “ZALTRAP</w:t>
      </w:r>
      <w:r>
        <w:rPr>
          <w:rFonts w:ascii="Arial" w:cs="Arial" w:eastAsia="Arial" w:hAnsi="Arial"/>
          <w:sz w:val="29"/>
          <w:szCs w:val="29"/>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w:t>
      </w:r>
    </w:p>
    <w:p>
      <w:pPr>
        <w:spacing w:after="0" w:line="5" w:lineRule="exact"/>
        <w:rPr>
          <w:sz w:val="20"/>
          <w:szCs w:val="20"/>
          <w:color w:val="auto"/>
        </w:rPr>
      </w:pPr>
    </w:p>
    <w:p>
      <w:pPr>
        <w:jc w:val="both"/>
        <w:spacing w:after="0" w:line="191" w:lineRule="auto"/>
        <w:rPr>
          <w:sz w:val="20"/>
          <w:szCs w:val="20"/>
          <w:color w:val="auto"/>
        </w:rPr>
      </w:pPr>
      <w:r>
        <w:rPr>
          <w:rFonts w:ascii="Arial" w:cs="Arial" w:eastAsia="Arial" w:hAnsi="Arial"/>
          <w:sz w:val="17"/>
          <w:szCs w:val="17"/>
          <w:i w:val="1"/>
          <w:iCs w:val="1"/>
          <w:color w:val="auto"/>
        </w:rPr>
        <w:t>and research and clinical programs now underway or planned, including without limitation EYLEA</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(aflibercept) Injection, Dupixent</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(dupilumab) Injection, Libtayo</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(cemiplimab) Injection, Praluent</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(alirocumab) Injection, Kevzara</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(sarilumab) Injection, Evkeeza</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(evinacumab), Inmazeb</w:t>
      </w:r>
      <w:r>
        <w:rPr>
          <w:rFonts w:ascii="Arial" w:cs="Arial" w:eastAsia="Arial" w:hAnsi="Arial"/>
          <w:sz w:val="28"/>
          <w:szCs w:val="28"/>
          <w:color w:val="auto"/>
          <w:vertAlign w:val="superscript"/>
        </w:rPr>
        <w:t>®</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(atoltivimab, maftivimab, and odesivimab-ebgn), REGEN-COV</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(casirivimab and imdevimab), aflibercept 8 mg, fasinumab, pozelimab, odronextamab, itepekimab, REGN5458, REGN5713-5714-5715, REGN1908-1909, Regeneron’s other oncology programs (including its costimulatory bispecific portfolio), Regeneron’s and its collaborators’ earlier-stage programs, and the use of human genetics in Regeneron’s research programs; the likelihood and timing of achieving any of our anticipated development milestones referenced in this report;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our late-stage product candidates and new indications for Regeneron’s Products, including without limitation those listed above;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our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as well as Regeneron’s agreement with Roche relating to the casirivimab and imdevimab antibody cocktail (known as REGEN-COV in the United States and</w:t>
      </w:r>
    </w:p>
    <w:p>
      <w:pPr>
        <w:spacing w:after="0" w:line="1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Ronapreve</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in other countries), to be cancelled or terminated; and risks associated with intellectual property of other parties and pending or future litigation relating thereto (including without limitation the patent litigation and other related proceedings relating to EYLEA, Dupixent, Praluent, and REGEN-COV described further in Note 15 to our Consolidated Financial Statements included in this report), other litigation and other proceedings and government investigations relating to the Company and/or its operations (including without limitation those described in Note 15 to our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serious diseases. Our commercialized medicines and product candidates in development are designed to help patients with eye diseases, allergic and inflammatory diseases, cancer, cardiovascular and metabolic diseases, pain, hematologic conditions, infectious diseases, and rare diseases.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Selected financial information is summarized as follows: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86"/>
        </w:trPr>
        <w:tc>
          <w:tcPr>
            <w:tcW w:w="2260" w:type="dxa"/>
            <w:vAlign w:val="bottom"/>
          </w:tcPr>
          <w:p>
            <w:pPr>
              <w:spacing w:after="0"/>
              <w:rPr>
                <w:sz w:val="24"/>
                <w:szCs w:val="24"/>
                <w:color w:val="auto"/>
              </w:rPr>
            </w:pPr>
          </w:p>
        </w:tc>
        <w:tc>
          <w:tcPr>
            <w:tcW w:w="3520" w:type="dxa"/>
            <w:vAlign w:val="bottom"/>
            <w:tcBorders>
              <w:bottom w:val="single" w:sz="8" w:color="CDEAFA"/>
            </w:tcBorders>
          </w:tcPr>
          <w:p>
            <w:pPr>
              <w:spacing w:after="0"/>
              <w:rPr>
                <w:sz w:val="24"/>
                <w:szCs w:val="24"/>
                <w:color w:val="auto"/>
              </w:rPr>
            </w:pPr>
          </w:p>
        </w:tc>
        <w:tc>
          <w:tcPr>
            <w:tcW w:w="200" w:type="dxa"/>
            <w:vAlign w:val="bottom"/>
            <w:tcBorders>
              <w:bottom w:val="single" w:sz="8" w:color="CDEAFA"/>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4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260" w:type="dxa"/>
            <w:vAlign w:val="bottom"/>
          </w:tcPr>
          <w:p>
            <w:pPr>
              <w:spacing w:after="0"/>
              <w:rPr>
                <w:sz w:val="19"/>
                <w:szCs w:val="19"/>
                <w:color w:val="auto"/>
              </w:rPr>
            </w:pPr>
          </w:p>
        </w:tc>
        <w:tc>
          <w:tcPr>
            <w:tcW w:w="3520" w:type="dxa"/>
            <w:vAlign w:val="bottom"/>
            <w:tcBorders>
              <w:bottom w:val="single" w:sz="8" w:color="CDEAFA"/>
            </w:tcBorders>
            <w:shd w:val="clear" w:color="auto" w:fill="CDEAFA"/>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200" w:type="dxa"/>
            <w:vAlign w:val="bottom"/>
            <w:tcBorders>
              <w:bottom w:val="single" w:sz="8" w:color="CDEAFA"/>
            </w:tcBorders>
            <w:shd w:val="clear" w:color="auto" w:fill="CDEAFA"/>
          </w:tcPr>
          <w:p>
            <w:pPr>
              <w:spacing w:after="0"/>
              <w:rPr>
                <w:sz w:val="19"/>
                <w:szCs w:val="19"/>
                <w:color w:val="auto"/>
              </w:rPr>
            </w:pPr>
          </w:p>
        </w:tc>
        <w:tc>
          <w:tcPr>
            <w:tcW w:w="140" w:type="dxa"/>
            <w:vAlign w:val="bottom"/>
            <w:tcBorders>
              <w:bottom w:val="single" w:sz="8" w:color="auto"/>
            </w:tcBorders>
            <w:shd w:val="clear" w:color="auto" w:fill="CDEAFA"/>
          </w:tcPr>
          <w:p>
            <w:pPr>
              <w:spacing w:after="0"/>
              <w:rPr>
                <w:sz w:val="19"/>
                <w:szCs w:val="19"/>
                <w:color w:val="auto"/>
              </w:rPr>
            </w:pPr>
          </w:p>
        </w:tc>
        <w:tc>
          <w:tcPr>
            <w:tcW w:w="740" w:type="dxa"/>
            <w:vAlign w:val="bottom"/>
            <w:tcBorders>
              <w:bottom w:val="single" w:sz="8" w:color="auto"/>
            </w:tcBorders>
            <w:shd w:val="clear" w:color="auto" w:fill="CDEAFA"/>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DEAFA"/>
            </w:tcBorders>
            <w:shd w:val="clear" w:color="auto" w:fill="CDEAFA"/>
          </w:tcPr>
          <w:p>
            <w:pPr>
              <w:spacing w:after="0"/>
              <w:rPr>
                <w:sz w:val="19"/>
                <w:szCs w:val="19"/>
                <w:color w:val="auto"/>
              </w:rPr>
            </w:pPr>
          </w:p>
        </w:tc>
        <w:tc>
          <w:tcPr>
            <w:tcW w:w="200" w:type="dxa"/>
            <w:vAlign w:val="bottom"/>
            <w:tcBorders>
              <w:bottom w:val="single" w:sz="8" w:color="auto"/>
            </w:tcBorders>
            <w:shd w:val="clear" w:color="auto" w:fill="CDEAFA"/>
          </w:tcPr>
          <w:p>
            <w:pPr>
              <w:spacing w:after="0"/>
              <w:rPr>
                <w:sz w:val="19"/>
                <w:szCs w:val="19"/>
                <w:color w:val="auto"/>
              </w:rPr>
            </w:pPr>
          </w:p>
        </w:tc>
        <w:tc>
          <w:tcPr>
            <w:tcW w:w="680" w:type="dxa"/>
            <w:vAlign w:val="bottom"/>
            <w:tcBorders>
              <w:bottom w:val="single" w:sz="8" w:color="auto"/>
            </w:tcBorders>
            <w:shd w:val="clear" w:color="auto" w:fill="CDEAFA"/>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DEAFA"/>
            </w:tcBorders>
            <w:shd w:val="clear" w:color="auto" w:fill="CDEAFA"/>
          </w:tcPr>
          <w:p>
            <w:pPr>
              <w:spacing w:after="0"/>
              <w:rPr>
                <w:sz w:val="19"/>
                <w:szCs w:val="19"/>
                <w:color w:val="auto"/>
              </w:rPr>
            </w:pPr>
          </w:p>
        </w:tc>
        <w:tc>
          <w:tcPr>
            <w:tcW w:w="200" w:type="dxa"/>
            <w:vAlign w:val="bottom"/>
            <w:tcBorders>
              <w:bottom w:val="single" w:sz="8" w:color="auto"/>
            </w:tcBorders>
            <w:shd w:val="clear" w:color="auto" w:fill="CDEAFA"/>
          </w:tcPr>
          <w:p>
            <w:pPr>
              <w:spacing w:after="0"/>
              <w:rPr>
                <w:sz w:val="19"/>
                <w:szCs w:val="19"/>
                <w:color w:val="auto"/>
              </w:rPr>
            </w:pPr>
          </w:p>
        </w:tc>
        <w:tc>
          <w:tcPr>
            <w:tcW w:w="660" w:type="dxa"/>
            <w:vAlign w:val="bottom"/>
            <w:tcBorders>
              <w:bottom w:val="single" w:sz="8" w:color="auto"/>
            </w:tcBorders>
            <w:shd w:val="clear" w:color="auto" w:fill="CDEAFA"/>
          </w:tcPr>
          <w:p>
            <w:pPr>
              <w:jc w:val="right"/>
              <w:ind w:right="130"/>
              <w:spacing w:after="0"/>
              <w:rPr>
                <w:sz w:val="20"/>
                <w:szCs w:val="20"/>
                <w:color w:val="auto"/>
              </w:rPr>
            </w:pPr>
            <w:r>
              <w:rPr>
                <w:rFonts w:ascii="Arial" w:cs="Arial" w:eastAsia="Arial" w:hAnsi="Arial"/>
                <w:sz w:val="18"/>
                <w:szCs w:val="18"/>
                <w:b w:val="1"/>
                <w:bCs w:val="1"/>
                <w:color w:val="auto"/>
              </w:rPr>
              <w:t>2019</w:t>
            </w:r>
          </w:p>
        </w:tc>
      </w:tr>
      <w:tr>
        <w:trPr>
          <w:trHeight w:val="210"/>
        </w:trPr>
        <w:tc>
          <w:tcPr>
            <w:tcW w:w="2260" w:type="dxa"/>
            <w:vAlign w:val="bottom"/>
          </w:tcPr>
          <w:p>
            <w:pPr>
              <w:spacing w:after="0"/>
              <w:rPr>
                <w:sz w:val="18"/>
                <w:szCs w:val="18"/>
                <w:color w:val="auto"/>
              </w:rPr>
            </w:pPr>
          </w:p>
        </w:tc>
        <w:tc>
          <w:tcPr>
            <w:tcW w:w="3520" w:type="dxa"/>
            <w:vAlign w:val="bottom"/>
            <w:shd w:val="clear" w:color="auto" w:fill="CDEAFA"/>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DEAFA"/>
          </w:tcPr>
          <w:p>
            <w:pPr>
              <w:spacing w:after="0"/>
              <w:rPr>
                <w:sz w:val="18"/>
                <w:szCs w:val="18"/>
                <w:color w:val="auto"/>
              </w:rPr>
            </w:pPr>
          </w:p>
        </w:tc>
        <w:tc>
          <w:tcPr>
            <w:tcW w:w="140" w:type="dxa"/>
            <w:vAlign w:val="bottom"/>
            <w:shd w:val="clear" w:color="auto" w:fill="CDEAFA"/>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DEAFA"/>
          </w:tcPr>
          <w:p>
            <w:pPr>
              <w:jc w:val="right"/>
              <w:spacing w:after="0"/>
              <w:rPr>
                <w:sz w:val="20"/>
                <w:szCs w:val="20"/>
                <w:color w:val="auto"/>
              </w:rPr>
            </w:pPr>
            <w:r>
              <w:rPr>
                <w:rFonts w:ascii="Arial" w:cs="Arial" w:eastAsia="Arial" w:hAnsi="Arial"/>
                <w:sz w:val="18"/>
                <w:szCs w:val="18"/>
                <w:color w:val="auto"/>
                <w:w w:val="91"/>
              </w:rPr>
              <w:t>16,071.7</w:t>
            </w:r>
          </w:p>
        </w:tc>
        <w:tc>
          <w:tcPr>
            <w:tcW w:w="200" w:type="dxa"/>
            <w:vAlign w:val="bottom"/>
            <w:shd w:val="clear" w:color="auto" w:fill="CDEAFA"/>
          </w:tcPr>
          <w:p>
            <w:pPr>
              <w:spacing w:after="0"/>
              <w:rPr>
                <w:sz w:val="18"/>
                <w:szCs w:val="18"/>
                <w:color w:val="auto"/>
              </w:rPr>
            </w:pPr>
          </w:p>
        </w:tc>
        <w:tc>
          <w:tcPr>
            <w:tcW w:w="200" w:type="dxa"/>
            <w:vAlign w:val="bottom"/>
            <w:shd w:val="clear" w:color="auto" w:fill="CDEAFA"/>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w w:val="96"/>
              </w:rPr>
              <w:t>8,497.1</w:t>
            </w:r>
          </w:p>
        </w:tc>
        <w:tc>
          <w:tcPr>
            <w:tcW w:w="200" w:type="dxa"/>
            <w:vAlign w:val="bottom"/>
            <w:shd w:val="clear" w:color="auto" w:fill="CDEAFA"/>
          </w:tcPr>
          <w:p>
            <w:pPr>
              <w:spacing w:after="0"/>
              <w:rPr>
                <w:sz w:val="18"/>
                <w:szCs w:val="18"/>
                <w:color w:val="auto"/>
              </w:rPr>
            </w:pPr>
          </w:p>
        </w:tc>
        <w:tc>
          <w:tcPr>
            <w:tcW w:w="200" w:type="dxa"/>
            <w:vAlign w:val="bottom"/>
            <w:shd w:val="clear" w:color="auto" w:fill="CDEAFA"/>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DEAFA"/>
          </w:tcPr>
          <w:p>
            <w:pPr>
              <w:jc w:val="right"/>
              <w:spacing w:after="0"/>
              <w:rPr>
                <w:sz w:val="20"/>
                <w:szCs w:val="20"/>
                <w:color w:val="auto"/>
              </w:rPr>
            </w:pPr>
            <w:r>
              <w:rPr>
                <w:rFonts w:ascii="Arial" w:cs="Arial" w:eastAsia="Arial" w:hAnsi="Arial"/>
                <w:sz w:val="18"/>
                <w:szCs w:val="18"/>
                <w:color w:val="auto"/>
                <w:w w:val="96"/>
              </w:rPr>
              <w:t>6,557.6</w:t>
            </w:r>
          </w:p>
        </w:tc>
      </w:tr>
      <w:tr>
        <w:trPr>
          <w:trHeight w:val="216"/>
        </w:trPr>
        <w:tc>
          <w:tcPr>
            <w:tcW w:w="22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8,075.3</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3,513.2</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2,115.8</w:t>
            </w:r>
          </w:p>
        </w:tc>
      </w:tr>
      <w:tr>
        <w:trPr>
          <w:trHeight w:val="216"/>
        </w:trPr>
        <w:tc>
          <w:tcPr>
            <w:tcW w:w="2260" w:type="dxa"/>
            <w:vAlign w:val="bottom"/>
          </w:tcPr>
          <w:p>
            <w:pPr>
              <w:spacing w:after="0"/>
              <w:rPr>
                <w:sz w:val="18"/>
                <w:szCs w:val="18"/>
                <w:color w:val="auto"/>
              </w:rPr>
            </w:pPr>
          </w:p>
        </w:tc>
        <w:tc>
          <w:tcPr>
            <w:tcW w:w="3520" w:type="dxa"/>
            <w:vAlign w:val="bottom"/>
            <w:shd w:val="clear" w:color="auto" w:fill="CDEAFA"/>
          </w:tcPr>
          <w:p>
            <w:pPr>
              <w:spacing w:after="0"/>
              <w:rPr>
                <w:sz w:val="20"/>
                <w:szCs w:val="20"/>
                <w:color w:val="auto"/>
              </w:rPr>
            </w:pPr>
            <w:r>
              <w:rPr>
                <w:rFonts w:ascii="Arial" w:cs="Arial" w:eastAsia="Arial" w:hAnsi="Arial"/>
                <w:sz w:val="18"/>
                <w:szCs w:val="18"/>
                <w:color w:val="auto"/>
              </w:rPr>
              <w:t>Net income per share - diluted</w:t>
            </w:r>
          </w:p>
        </w:tc>
        <w:tc>
          <w:tcPr>
            <w:tcW w:w="34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71.97</w:t>
            </w:r>
          </w:p>
        </w:tc>
        <w:tc>
          <w:tcPr>
            <w:tcW w:w="200" w:type="dxa"/>
            <w:vAlign w:val="bottom"/>
            <w:shd w:val="clear" w:color="auto" w:fill="CDEAFA"/>
          </w:tcPr>
          <w:p>
            <w:pPr>
              <w:spacing w:after="0"/>
              <w:rPr>
                <w:sz w:val="18"/>
                <w:szCs w:val="18"/>
                <w:color w:val="auto"/>
              </w:rPr>
            </w:pPr>
          </w:p>
        </w:tc>
        <w:tc>
          <w:tcPr>
            <w:tcW w:w="200" w:type="dxa"/>
            <w:vAlign w:val="bottom"/>
            <w:shd w:val="clear" w:color="auto" w:fill="CDEAFA"/>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30.52</w:t>
            </w:r>
          </w:p>
        </w:tc>
        <w:tc>
          <w:tcPr>
            <w:tcW w:w="200" w:type="dxa"/>
            <w:vAlign w:val="bottom"/>
            <w:shd w:val="clear" w:color="auto" w:fill="CDEAFA"/>
          </w:tcPr>
          <w:p>
            <w:pPr>
              <w:spacing w:after="0"/>
              <w:rPr>
                <w:sz w:val="18"/>
                <w:szCs w:val="18"/>
                <w:color w:val="auto"/>
              </w:rPr>
            </w:pPr>
          </w:p>
        </w:tc>
        <w:tc>
          <w:tcPr>
            <w:tcW w:w="200" w:type="dxa"/>
            <w:vAlign w:val="bottom"/>
            <w:shd w:val="clear" w:color="auto" w:fill="CDEAFA"/>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18.46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-573405</wp:posOffset>
            </wp:positionV>
            <wp:extent cx="427736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this report,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Products that have received marketing approval are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Territory</w:t>
            </w:r>
          </w:p>
        </w:tc>
        <w:tc>
          <w:tcPr>
            <w:tcW w:w="660" w:type="dxa"/>
            <w:vAlign w:val="bottom"/>
            <w:tcBorders>
              <w:bottom w:val="single" w:sz="8" w:color="auto"/>
            </w:tcBorders>
          </w:tcPr>
          <w:p>
            <w:pPr>
              <w:spacing w:after="0"/>
              <w:rPr>
                <w:sz w:val="20"/>
                <w:szCs w:val="20"/>
                <w:color w:val="auto"/>
              </w:rPr>
            </w:pPr>
          </w:p>
        </w:tc>
      </w:tr>
      <w:tr>
        <w:trPr>
          <w:trHeight w:val="250"/>
        </w:trPr>
        <w:tc>
          <w:tcPr>
            <w:tcW w:w="294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Product</w:t>
            </w:r>
          </w:p>
        </w:tc>
        <w:tc>
          <w:tcPr>
            <w:tcW w:w="120" w:type="dxa"/>
            <w:vAlign w:val="bottom"/>
            <w:tcBorders>
              <w:bottom w:val="single" w:sz="8" w:color="CDEAFA"/>
            </w:tcBorders>
          </w:tcPr>
          <w:p>
            <w:pPr>
              <w:spacing w:after="0"/>
              <w:rPr>
                <w:sz w:val="21"/>
                <w:szCs w:val="21"/>
                <w:color w:val="auto"/>
              </w:rPr>
            </w:pPr>
          </w:p>
        </w:tc>
        <w:tc>
          <w:tcPr>
            <w:tcW w:w="120" w:type="dxa"/>
            <w:vAlign w:val="bottom"/>
            <w:tcBorders>
              <w:bottom w:val="single" w:sz="8" w:color="CDEAFA"/>
            </w:tcBorders>
          </w:tcPr>
          <w:p>
            <w:pPr>
              <w:spacing w:after="0"/>
              <w:rPr>
                <w:sz w:val="21"/>
                <w:szCs w:val="21"/>
                <w:color w:val="auto"/>
              </w:rPr>
            </w:pPr>
          </w:p>
        </w:tc>
        <w:tc>
          <w:tcPr>
            <w:tcW w:w="49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Disease</w:t>
            </w:r>
          </w:p>
        </w:tc>
        <w:tc>
          <w:tcPr>
            <w:tcW w:w="120" w:type="dxa"/>
            <w:vAlign w:val="bottom"/>
            <w:tcBorders>
              <w:bottom w:val="single" w:sz="8" w:color="CDEAFA"/>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DEAFA"/>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EU</w:t>
            </w:r>
          </w:p>
        </w:tc>
        <w:tc>
          <w:tcPr>
            <w:tcW w:w="100" w:type="dxa"/>
            <w:vAlign w:val="bottom"/>
            <w:tcBorders>
              <w:bottom w:val="single" w:sz="8" w:color="CDEAFA"/>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Japan</w:t>
            </w:r>
          </w:p>
        </w:tc>
        <w:tc>
          <w:tcPr>
            <w:tcW w:w="100" w:type="dxa"/>
            <w:vAlign w:val="bottom"/>
            <w:tcBorders>
              <w:bottom w:val="single" w:sz="8" w:color="CDEAFA"/>
            </w:tcBorders>
          </w:tcPr>
          <w:p>
            <w:pPr>
              <w:spacing w:after="0"/>
              <w:rPr>
                <w:sz w:val="21"/>
                <w:szCs w:val="21"/>
                <w:color w:val="auto"/>
              </w:rPr>
            </w:pPr>
          </w:p>
        </w:tc>
        <w:tc>
          <w:tcPr>
            <w:tcW w:w="6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7"/>
                <w:szCs w:val="17"/>
                <w:b w:val="1"/>
                <w:bCs w:val="1"/>
                <w:color w:val="auto"/>
                <w:w w:val="96"/>
              </w:rPr>
              <w:t>ROW</w:t>
            </w:r>
            <w:r>
              <w:rPr>
                <w:rFonts w:ascii="Arial" w:cs="Arial" w:eastAsia="Arial" w:hAnsi="Arial"/>
                <w:sz w:val="28"/>
                <w:szCs w:val="28"/>
                <w:b w:val="1"/>
                <w:bCs w:val="1"/>
                <w:color w:val="auto"/>
                <w:w w:val="96"/>
                <w:vertAlign w:val="superscript"/>
              </w:rPr>
              <w:t>(4)</w:t>
            </w:r>
          </w:p>
        </w:tc>
      </w:tr>
      <w:tr>
        <w:trPr>
          <w:trHeight w:val="304"/>
        </w:trPr>
        <w:tc>
          <w:tcPr>
            <w:tcW w:w="2940" w:type="dxa"/>
            <w:vAlign w:val="bottom"/>
            <w:shd w:val="clear" w:color="auto" w:fill="CDEAFA"/>
          </w:tcPr>
          <w:p>
            <w:pPr>
              <w:spacing w:after="0" w:line="303" w:lineRule="exact"/>
              <w:rPr>
                <w:sz w:val="20"/>
                <w:szCs w:val="20"/>
                <w:color w:val="auto"/>
              </w:rPr>
            </w:pPr>
            <w:r>
              <w:rPr>
                <w:rFonts w:ascii="Arial" w:cs="Arial" w:eastAsia="Arial" w:hAnsi="Arial"/>
                <w:sz w:val="18"/>
                <w:szCs w:val="18"/>
                <w:color w:val="auto"/>
              </w:rPr>
              <w:t>EYLEA (aflibercept) Injection</w:t>
            </w:r>
            <w:r>
              <w:rPr>
                <w:rFonts w:ascii="Arial" w:cs="Arial" w:eastAsia="Arial" w:hAnsi="Arial"/>
                <w:sz w:val="29"/>
                <w:szCs w:val="29"/>
                <w:color w:val="auto"/>
                <w:vertAlign w:val="superscript"/>
              </w:rPr>
              <w:t>(1)</w:t>
            </w:r>
          </w:p>
        </w:tc>
        <w:tc>
          <w:tcPr>
            <w:tcW w:w="120" w:type="dxa"/>
            <w:vAlign w:val="bottom"/>
            <w:shd w:val="clear" w:color="auto" w:fill="CDEAFA"/>
          </w:tcPr>
          <w:p>
            <w:pPr>
              <w:spacing w:after="0"/>
              <w:rPr>
                <w:sz w:val="24"/>
                <w:szCs w:val="24"/>
                <w:color w:val="auto"/>
              </w:rPr>
            </w:pPr>
          </w:p>
        </w:tc>
        <w:tc>
          <w:tcPr>
            <w:tcW w:w="120" w:type="dxa"/>
            <w:vAlign w:val="bottom"/>
            <w:shd w:val="clear" w:color="auto" w:fill="CDEAFA"/>
          </w:tcPr>
          <w:p>
            <w:pPr>
              <w:spacing w:after="0"/>
              <w:rPr>
                <w:sz w:val="20"/>
                <w:szCs w:val="20"/>
                <w:color w:val="auto"/>
              </w:rPr>
            </w:pPr>
            <w:r>
              <w:rPr>
                <w:rFonts w:ascii="Arial" w:cs="Arial" w:eastAsia="Arial" w:hAnsi="Arial"/>
                <w:sz w:val="18"/>
                <w:szCs w:val="18"/>
                <w:color w:val="auto"/>
              </w:rPr>
              <w:t>-</w:t>
            </w:r>
          </w:p>
        </w:tc>
        <w:tc>
          <w:tcPr>
            <w:tcW w:w="4960" w:type="dxa"/>
            <w:vAlign w:val="bottom"/>
            <w:shd w:val="clear" w:color="auto" w:fill="CDEAFA"/>
          </w:tcPr>
          <w:p>
            <w:pPr>
              <w:spacing w:after="0"/>
              <w:rPr>
                <w:sz w:val="20"/>
                <w:szCs w:val="20"/>
                <w:color w:val="auto"/>
              </w:rPr>
            </w:pPr>
            <w:r>
              <w:rPr>
                <w:rFonts w:ascii="Arial" w:cs="Arial" w:eastAsia="Arial" w:hAnsi="Arial"/>
                <w:sz w:val="18"/>
                <w:szCs w:val="18"/>
                <w:color w:val="auto"/>
              </w:rPr>
              <w:t>Neovascular age-related macular degeneration (“wet AMD”)</w:t>
            </w:r>
          </w:p>
        </w:tc>
        <w:tc>
          <w:tcPr>
            <w:tcW w:w="120" w:type="dxa"/>
            <w:vAlign w:val="bottom"/>
            <w:shd w:val="clear" w:color="auto" w:fill="CDEAFA"/>
          </w:tcPr>
          <w:p>
            <w:pPr>
              <w:spacing w:after="0"/>
              <w:rPr>
                <w:sz w:val="24"/>
                <w:szCs w:val="24"/>
                <w:color w:val="auto"/>
              </w:rPr>
            </w:pPr>
          </w:p>
        </w:tc>
        <w:tc>
          <w:tcPr>
            <w:tcW w:w="780" w:type="dxa"/>
            <w:vAlign w:val="bottom"/>
            <w:gridSpan w:val="2"/>
            <w:shd w:val="clear" w:color="auto" w:fill="CDEAFA"/>
          </w:tcPr>
          <w:p>
            <w:pPr>
              <w:jc w:val="center"/>
              <w:ind w:right="120"/>
              <w:spacing w:after="0"/>
              <w:rPr>
                <w:sz w:val="20"/>
                <w:szCs w:val="20"/>
                <w:color w:val="auto"/>
              </w:rPr>
            </w:pPr>
            <w:r>
              <w:rPr>
                <w:rFonts w:ascii="Arial" w:cs="Arial" w:eastAsia="Arial" w:hAnsi="Arial"/>
                <w:sz w:val="18"/>
                <w:szCs w:val="18"/>
                <w:color w:val="auto"/>
                <w:w w:val="99"/>
              </w:rPr>
              <w:t>ü</w:t>
            </w:r>
          </w:p>
        </w:tc>
        <w:tc>
          <w:tcPr>
            <w:tcW w:w="76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99"/>
              </w:rPr>
              <w:t>ü</w:t>
            </w:r>
          </w:p>
        </w:tc>
        <w:tc>
          <w:tcPr>
            <w:tcW w:w="78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79"/>
              </w:rPr>
              <w:t>ü</w:t>
            </w:r>
          </w:p>
        </w:tc>
        <w:tc>
          <w:tcPr>
            <w:tcW w:w="660" w:type="dxa"/>
            <w:vAlign w:val="bottom"/>
            <w:shd w:val="clear" w:color="auto" w:fill="CDEAFA"/>
          </w:tcPr>
          <w:p>
            <w:pPr>
              <w:jc w:val="center"/>
              <w:spacing w:after="0"/>
              <w:rPr>
                <w:sz w:val="20"/>
                <w:szCs w:val="20"/>
                <w:color w:val="auto"/>
              </w:rPr>
            </w:pPr>
            <w:r>
              <w:rPr>
                <w:rFonts w:ascii="Arial" w:cs="Arial" w:eastAsia="Arial" w:hAnsi="Arial"/>
                <w:sz w:val="18"/>
                <w:szCs w:val="18"/>
                <w:color w:val="auto"/>
                <w:w w:val="99"/>
              </w:rPr>
              <w:t>ü</w:t>
            </w:r>
          </w:p>
        </w:tc>
      </w:tr>
      <w:tr>
        <w:trPr>
          <w:trHeight w:val="243"/>
        </w:trPr>
        <w:tc>
          <w:tcPr>
            <w:tcW w:w="294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50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 Diabetic macular edema (“DME”)</w:t>
            </w:r>
          </w:p>
        </w:tc>
        <w:tc>
          <w:tcPr>
            <w:tcW w:w="120" w:type="dxa"/>
            <w:vAlign w:val="bottom"/>
            <w:shd w:val="clear" w:color="auto" w:fill="CDEAFA"/>
          </w:tcPr>
          <w:p>
            <w:pPr>
              <w:spacing w:after="0"/>
              <w:rPr>
                <w:sz w:val="21"/>
                <w:szCs w:val="21"/>
                <w:color w:val="auto"/>
              </w:rPr>
            </w:pPr>
          </w:p>
        </w:tc>
        <w:tc>
          <w:tcPr>
            <w:tcW w:w="780" w:type="dxa"/>
            <w:vAlign w:val="bottom"/>
            <w:gridSpan w:val="2"/>
            <w:shd w:val="clear" w:color="auto" w:fill="CDEAFA"/>
          </w:tcPr>
          <w:p>
            <w:pPr>
              <w:jc w:val="center"/>
              <w:ind w:right="120"/>
              <w:spacing w:after="0"/>
              <w:rPr>
                <w:sz w:val="20"/>
                <w:szCs w:val="20"/>
                <w:color w:val="auto"/>
              </w:rPr>
            </w:pPr>
            <w:r>
              <w:rPr>
                <w:rFonts w:ascii="Arial" w:cs="Arial" w:eastAsia="Arial" w:hAnsi="Arial"/>
                <w:sz w:val="18"/>
                <w:szCs w:val="18"/>
                <w:color w:val="auto"/>
                <w:w w:val="99"/>
              </w:rPr>
              <w:t>ü</w:t>
            </w:r>
          </w:p>
        </w:tc>
        <w:tc>
          <w:tcPr>
            <w:tcW w:w="76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99"/>
              </w:rPr>
              <w:t>ü</w:t>
            </w:r>
          </w:p>
        </w:tc>
        <w:tc>
          <w:tcPr>
            <w:tcW w:w="78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79"/>
              </w:rPr>
              <w:t>ü</w:t>
            </w:r>
          </w:p>
        </w:tc>
        <w:tc>
          <w:tcPr>
            <w:tcW w:w="660" w:type="dxa"/>
            <w:vAlign w:val="bottom"/>
            <w:shd w:val="clear" w:color="auto" w:fill="CDEAFA"/>
          </w:tcPr>
          <w:p>
            <w:pPr>
              <w:jc w:val="center"/>
              <w:spacing w:after="0"/>
              <w:rPr>
                <w:sz w:val="20"/>
                <w:szCs w:val="20"/>
                <w:color w:val="auto"/>
              </w:rPr>
            </w:pPr>
            <w:r>
              <w:rPr>
                <w:rFonts w:ascii="Arial" w:cs="Arial" w:eastAsia="Arial" w:hAnsi="Arial"/>
                <w:sz w:val="18"/>
                <w:szCs w:val="18"/>
                <w:color w:val="auto"/>
                <w:w w:val="99"/>
              </w:rPr>
              <w:t>ü</w:t>
            </w:r>
          </w:p>
        </w:tc>
      </w:tr>
      <w:tr>
        <w:trPr>
          <w:trHeight w:val="256"/>
        </w:trPr>
        <w:tc>
          <w:tcPr>
            <w:tcW w:w="2940" w:type="dxa"/>
            <w:vAlign w:val="bottom"/>
            <w:shd w:val="clear" w:color="auto" w:fill="CDEAFA"/>
          </w:tcPr>
          <w:p>
            <w:pPr>
              <w:spacing w:after="0"/>
              <w:rPr>
                <w:sz w:val="22"/>
                <w:szCs w:val="22"/>
                <w:color w:val="auto"/>
              </w:rPr>
            </w:pPr>
          </w:p>
        </w:tc>
        <w:tc>
          <w:tcPr>
            <w:tcW w:w="120" w:type="dxa"/>
            <w:vAlign w:val="bottom"/>
            <w:shd w:val="clear" w:color="auto" w:fill="CDEAFA"/>
          </w:tcPr>
          <w:p>
            <w:pPr>
              <w:spacing w:after="0"/>
              <w:rPr>
                <w:sz w:val="22"/>
                <w:szCs w:val="22"/>
                <w:color w:val="auto"/>
              </w:rPr>
            </w:pPr>
          </w:p>
        </w:tc>
        <w:tc>
          <w:tcPr>
            <w:tcW w:w="120" w:type="dxa"/>
            <w:vAlign w:val="bottom"/>
            <w:shd w:val="clear" w:color="auto" w:fill="CDEAFA"/>
          </w:tcPr>
          <w:p>
            <w:pPr>
              <w:spacing w:after="0"/>
              <w:rPr>
                <w:sz w:val="20"/>
                <w:szCs w:val="20"/>
                <w:color w:val="auto"/>
              </w:rPr>
            </w:pPr>
            <w:r>
              <w:rPr>
                <w:rFonts w:ascii="Arial" w:cs="Arial" w:eastAsia="Arial" w:hAnsi="Arial"/>
                <w:sz w:val="18"/>
                <w:szCs w:val="18"/>
                <w:color w:val="auto"/>
              </w:rPr>
              <w:t>-</w:t>
            </w:r>
          </w:p>
        </w:tc>
        <w:tc>
          <w:tcPr>
            <w:tcW w:w="4960" w:type="dxa"/>
            <w:vAlign w:val="bottom"/>
            <w:shd w:val="clear" w:color="auto" w:fill="CDEAFA"/>
          </w:tcPr>
          <w:p>
            <w:pPr>
              <w:spacing w:after="0"/>
              <w:rPr>
                <w:sz w:val="20"/>
                <w:szCs w:val="20"/>
                <w:color w:val="auto"/>
              </w:rPr>
            </w:pPr>
            <w:r>
              <w:rPr>
                <w:rFonts w:ascii="Arial" w:cs="Arial" w:eastAsia="Arial" w:hAnsi="Arial"/>
                <w:sz w:val="18"/>
                <w:szCs w:val="18"/>
                <w:color w:val="auto"/>
                <w:w w:val="99"/>
              </w:rPr>
              <w:t>Macular edema following retinal vein occlusion (“RVO”), which</w:t>
            </w:r>
          </w:p>
        </w:tc>
        <w:tc>
          <w:tcPr>
            <w:tcW w:w="120" w:type="dxa"/>
            <w:vAlign w:val="bottom"/>
            <w:shd w:val="clear" w:color="auto" w:fill="CDEAFA"/>
          </w:tcPr>
          <w:p>
            <w:pPr>
              <w:spacing w:after="0"/>
              <w:rPr>
                <w:sz w:val="22"/>
                <w:szCs w:val="22"/>
                <w:color w:val="auto"/>
              </w:rPr>
            </w:pPr>
          </w:p>
        </w:tc>
        <w:tc>
          <w:tcPr>
            <w:tcW w:w="780" w:type="dxa"/>
            <w:vAlign w:val="bottom"/>
            <w:gridSpan w:val="2"/>
            <w:shd w:val="clear" w:color="auto" w:fill="CDEAFA"/>
          </w:tcPr>
          <w:p>
            <w:pPr>
              <w:jc w:val="center"/>
              <w:ind w:right="120"/>
              <w:spacing w:after="0"/>
              <w:rPr>
                <w:sz w:val="20"/>
                <w:szCs w:val="20"/>
                <w:color w:val="auto"/>
              </w:rPr>
            </w:pPr>
            <w:r>
              <w:rPr>
                <w:rFonts w:ascii="Arial" w:cs="Arial" w:eastAsia="Arial" w:hAnsi="Arial"/>
                <w:sz w:val="18"/>
                <w:szCs w:val="18"/>
                <w:color w:val="auto"/>
                <w:w w:val="99"/>
              </w:rPr>
              <w:t>ü</w:t>
            </w:r>
          </w:p>
        </w:tc>
        <w:tc>
          <w:tcPr>
            <w:tcW w:w="76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99"/>
              </w:rPr>
              <w:t>ü</w:t>
            </w:r>
          </w:p>
        </w:tc>
        <w:tc>
          <w:tcPr>
            <w:tcW w:w="78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79"/>
              </w:rPr>
              <w:t>ü</w:t>
            </w:r>
          </w:p>
        </w:tc>
        <w:tc>
          <w:tcPr>
            <w:tcW w:w="660" w:type="dxa"/>
            <w:vAlign w:val="bottom"/>
            <w:shd w:val="clear" w:color="auto" w:fill="CDEAFA"/>
          </w:tcPr>
          <w:p>
            <w:pPr>
              <w:jc w:val="center"/>
              <w:spacing w:after="0"/>
              <w:rPr>
                <w:sz w:val="20"/>
                <w:szCs w:val="20"/>
                <w:color w:val="auto"/>
              </w:rPr>
            </w:pPr>
            <w:r>
              <w:rPr>
                <w:rFonts w:ascii="Arial" w:cs="Arial" w:eastAsia="Arial" w:hAnsi="Arial"/>
                <w:sz w:val="18"/>
                <w:szCs w:val="18"/>
                <w:color w:val="auto"/>
                <w:w w:val="99"/>
              </w:rPr>
              <w:t>ü</w:t>
            </w:r>
          </w:p>
        </w:tc>
      </w:tr>
      <w:tr>
        <w:trPr>
          <w:trHeight w:val="216"/>
        </w:trPr>
        <w:tc>
          <w:tcPr>
            <w:tcW w:w="29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4960" w:type="dxa"/>
            <w:vAlign w:val="bottom"/>
            <w:shd w:val="clear" w:color="auto" w:fill="CDEAFA"/>
          </w:tcPr>
          <w:p>
            <w:pPr>
              <w:spacing w:after="0"/>
              <w:rPr>
                <w:sz w:val="20"/>
                <w:szCs w:val="20"/>
                <w:color w:val="auto"/>
              </w:rPr>
            </w:pPr>
            <w:r>
              <w:rPr>
                <w:rFonts w:ascii="Arial" w:cs="Arial" w:eastAsia="Arial" w:hAnsi="Arial"/>
                <w:sz w:val="18"/>
                <w:szCs w:val="18"/>
                <w:color w:val="auto"/>
                <w:w w:val="98"/>
              </w:rPr>
              <w:t>includes macular edema following central retinal vein occlusion</w:t>
            </w:r>
          </w:p>
        </w:tc>
        <w:tc>
          <w:tcPr>
            <w:tcW w:w="12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66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660" w:type="dxa"/>
            <w:vAlign w:val="bottom"/>
            <w:shd w:val="clear" w:color="auto" w:fill="CDEAFA"/>
          </w:tcPr>
          <w:p>
            <w:pPr>
              <w:spacing w:after="0"/>
              <w:rPr>
                <w:sz w:val="18"/>
                <w:szCs w:val="18"/>
                <w:color w:val="auto"/>
              </w:rPr>
            </w:pPr>
          </w:p>
        </w:tc>
      </w:tr>
      <w:tr>
        <w:trPr>
          <w:trHeight w:val="216"/>
        </w:trPr>
        <w:tc>
          <w:tcPr>
            <w:tcW w:w="29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4960" w:type="dxa"/>
            <w:vAlign w:val="bottom"/>
            <w:shd w:val="clear" w:color="auto" w:fill="CDEAFA"/>
          </w:tcPr>
          <w:p>
            <w:pPr>
              <w:spacing w:after="0"/>
              <w:rPr>
                <w:sz w:val="20"/>
                <w:szCs w:val="20"/>
                <w:color w:val="auto"/>
              </w:rPr>
            </w:pPr>
            <w:r>
              <w:rPr>
                <w:rFonts w:ascii="Arial" w:cs="Arial" w:eastAsia="Arial" w:hAnsi="Arial"/>
                <w:sz w:val="18"/>
                <w:szCs w:val="18"/>
                <w:color w:val="auto"/>
              </w:rPr>
              <w:t>(“CRVO”) and macular edema following branch retinal vein</w:t>
            </w:r>
          </w:p>
        </w:tc>
        <w:tc>
          <w:tcPr>
            <w:tcW w:w="12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66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660" w:type="dxa"/>
            <w:vAlign w:val="bottom"/>
            <w:shd w:val="clear" w:color="auto" w:fill="CDEAFA"/>
          </w:tcPr>
          <w:p>
            <w:pPr>
              <w:spacing w:after="0"/>
              <w:rPr>
                <w:sz w:val="18"/>
                <w:szCs w:val="18"/>
                <w:color w:val="auto"/>
              </w:rPr>
            </w:pPr>
          </w:p>
        </w:tc>
      </w:tr>
      <w:tr>
        <w:trPr>
          <w:trHeight w:val="230"/>
        </w:trPr>
        <w:tc>
          <w:tcPr>
            <w:tcW w:w="2940" w:type="dxa"/>
            <w:vAlign w:val="bottom"/>
            <w:shd w:val="clear" w:color="auto" w:fill="CDEAFA"/>
          </w:tcPr>
          <w:p>
            <w:pPr>
              <w:spacing w:after="0"/>
              <w:rPr>
                <w:sz w:val="20"/>
                <w:szCs w:val="20"/>
                <w:color w:val="auto"/>
              </w:rPr>
            </w:pPr>
          </w:p>
        </w:tc>
        <w:tc>
          <w:tcPr>
            <w:tcW w:w="120" w:type="dxa"/>
            <w:vAlign w:val="bottom"/>
            <w:shd w:val="clear" w:color="auto" w:fill="CDEAFA"/>
          </w:tcPr>
          <w:p>
            <w:pPr>
              <w:spacing w:after="0"/>
              <w:rPr>
                <w:sz w:val="20"/>
                <w:szCs w:val="20"/>
                <w:color w:val="auto"/>
              </w:rPr>
            </w:pPr>
          </w:p>
        </w:tc>
        <w:tc>
          <w:tcPr>
            <w:tcW w:w="120" w:type="dxa"/>
            <w:vAlign w:val="bottom"/>
            <w:shd w:val="clear" w:color="auto" w:fill="CDEAFA"/>
          </w:tcPr>
          <w:p>
            <w:pPr>
              <w:spacing w:after="0"/>
              <w:rPr>
                <w:sz w:val="20"/>
                <w:szCs w:val="20"/>
                <w:color w:val="auto"/>
              </w:rPr>
            </w:pPr>
          </w:p>
        </w:tc>
        <w:tc>
          <w:tcPr>
            <w:tcW w:w="4960" w:type="dxa"/>
            <w:vAlign w:val="bottom"/>
            <w:shd w:val="clear" w:color="auto" w:fill="CDEAFA"/>
          </w:tcPr>
          <w:p>
            <w:pPr>
              <w:spacing w:after="0"/>
              <w:rPr>
                <w:sz w:val="20"/>
                <w:szCs w:val="20"/>
                <w:color w:val="auto"/>
              </w:rPr>
            </w:pPr>
            <w:r>
              <w:rPr>
                <w:rFonts w:ascii="Arial" w:cs="Arial" w:eastAsia="Arial" w:hAnsi="Arial"/>
                <w:sz w:val="18"/>
                <w:szCs w:val="18"/>
                <w:color w:val="auto"/>
              </w:rPr>
              <w:t>occlusion (“BRVO”)</w:t>
            </w:r>
          </w:p>
        </w:tc>
        <w:tc>
          <w:tcPr>
            <w:tcW w:w="120" w:type="dxa"/>
            <w:vAlign w:val="bottom"/>
            <w:shd w:val="clear" w:color="auto" w:fill="CDEAFA"/>
          </w:tcPr>
          <w:p>
            <w:pPr>
              <w:spacing w:after="0"/>
              <w:rPr>
                <w:sz w:val="20"/>
                <w:szCs w:val="20"/>
                <w:color w:val="auto"/>
              </w:rPr>
            </w:pPr>
          </w:p>
        </w:tc>
        <w:tc>
          <w:tcPr>
            <w:tcW w:w="680" w:type="dxa"/>
            <w:vAlign w:val="bottom"/>
            <w:shd w:val="clear" w:color="auto" w:fill="CDEAFA"/>
          </w:tcPr>
          <w:p>
            <w:pPr>
              <w:spacing w:after="0"/>
              <w:rPr>
                <w:sz w:val="20"/>
                <w:szCs w:val="20"/>
                <w:color w:val="auto"/>
              </w:rPr>
            </w:pPr>
          </w:p>
        </w:tc>
        <w:tc>
          <w:tcPr>
            <w:tcW w:w="100" w:type="dxa"/>
            <w:vAlign w:val="bottom"/>
            <w:shd w:val="clear" w:color="auto" w:fill="CDEAFA"/>
          </w:tcPr>
          <w:p>
            <w:pPr>
              <w:spacing w:after="0"/>
              <w:rPr>
                <w:sz w:val="20"/>
                <w:szCs w:val="20"/>
                <w:color w:val="auto"/>
              </w:rPr>
            </w:pPr>
          </w:p>
        </w:tc>
        <w:tc>
          <w:tcPr>
            <w:tcW w:w="660" w:type="dxa"/>
            <w:vAlign w:val="bottom"/>
            <w:shd w:val="clear" w:color="auto" w:fill="CDEAFA"/>
          </w:tcPr>
          <w:p>
            <w:pPr>
              <w:spacing w:after="0"/>
              <w:rPr>
                <w:sz w:val="20"/>
                <w:szCs w:val="20"/>
                <w:color w:val="auto"/>
              </w:rPr>
            </w:pPr>
          </w:p>
        </w:tc>
        <w:tc>
          <w:tcPr>
            <w:tcW w:w="100" w:type="dxa"/>
            <w:vAlign w:val="bottom"/>
            <w:shd w:val="clear" w:color="auto" w:fill="CDEAFA"/>
          </w:tcPr>
          <w:p>
            <w:pPr>
              <w:spacing w:after="0"/>
              <w:rPr>
                <w:sz w:val="20"/>
                <w:szCs w:val="20"/>
                <w:color w:val="auto"/>
              </w:rPr>
            </w:pPr>
          </w:p>
        </w:tc>
        <w:tc>
          <w:tcPr>
            <w:tcW w:w="680" w:type="dxa"/>
            <w:vAlign w:val="bottom"/>
            <w:shd w:val="clear" w:color="auto" w:fill="CDEAFA"/>
          </w:tcPr>
          <w:p>
            <w:pPr>
              <w:spacing w:after="0"/>
              <w:rPr>
                <w:sz w:val="20"/>
                <w:szCs w:val="20"/>
                <w:color w:val="auto"/>
              </w:rPr>
            </w:pPr>
          </w:p>
        </w:tc>
        <w:tc>
          <w:tcPr>
            <w:tcW w:w="100" w:type="dxa"/>
            <w:vAlign w:val="bottom"/>
            <w:shd w:val="clear" w:color="auto" w:fill="CDEAFA"/>
          </w:tcPr>
          <w:p>
            <w:pPr>
              <w:spacing w:after="0"/>
              <w:rPr>
                <w:sz w:val="20"/>
                <w:szCs w:val="20"/>
                <w:color w:val="auto"/>
              </w:rPr>
            </w:pPr>
          </w:p>
        </w:tc>
        <w:tc>
          <w:tcPr>
            <w:tcW w:w="660" w:type="dxa"/>
            <w:vAlign w:val="bottom"/>
            <w:shd w:val="clear" w:color="auto" w:fill="CDEAFA"/>
          </w:tcPr>
          <w:p>
            <w:pPr>
              <w:spacing w:after="0"/>
              <w:rPr>
                <w:sz w:val="20"/>
                <w:szCs w:val="20"/>
                <w:color w:val="auto"/>
              </w:rPr>
            </w:pPr>
          </w:p>
        </w:tc>
      </w:tr>
      <w:tr>
        <w:trPr>
          <w:trHeight w:val="270"/>
        </w:trPr>
        <w:tc>
          <w:tcPr>
            <w:tcW w:w="2940" w:type="dxa"/>
            <w:vAlign w:val="bottom"/>
            <w:shd w:val="clear" w:color="auto" w:fill="CDEAFA"/>
          </w:tcPr>
          <w:p>
            <w:pPr>
              <w:spacing w:after="0"/>
              <w:rPr>
                <w:sz w:val="23"/>
                <w:szCs w:val="23"/>
                <w:color w:val="auto"/>
              </w:rPr>
            </w:pPr>
          </w:p>
        </w:tc>
        <w:tc>
          <w:tcPr>
            <w:tcW w:w="120" w:type="dxa"/>
            <w:vAlign w:val="bottom"/>
            <w:shd w:val="clear" w:color="auto" w:fill="CDEAFA"/>
          </w:tcPr>
          <w:p>
            <w:pPr>
              <w:spacing w:after="0"/>
              <w:rPr>
                <w:sz w:val="23"/>
                <w:szCs w:val="23"/>
                <w:color w:val="auto"/>
              </w:rPr>
            </w:pPr>
          </w:p>
        </w:tc>
        <w:tc>
          <w:tcPr>
            <w:tcW w:w="120" w:type="dxa"/>
            <w:vAlign w:val="bottom"/>
            <w:shd w:val="clear" w:color="auto" w:fill="CDEAFA"/>
          </w:tcPr>
          <w:p>
            <w:pPr>
              <w:spacing w:after="0"/>
              <w:rPr>
                <w:sz w:val="20"/>
                <w:szCs w:val="20"/>
                <w:color w:val="auto"/>
              </w:rPr>
            </w:pPr>
            <w:r>
              <w:rPr>
                <w:rFonts w:ascii="Arial" w:cs="Arial" w:eastAsia="Arial" w:hAnsi="Arial"/>
                <w:sz w:val="18"/>
                <w:szCs w:val="18"/>
                <w:color w:val="auto"/>
              </w:rPr>
              <w:t>-</w:t>
            </w:r>
          </w:p>
        </w:tc>
        <w:tc>
          <w:tcPr>
            <w:tcW w:w="4960" w:type="dxa"/>
            <w:vAlign w:val="bottom"/>
            <w:shd w:val="clear" w:color="auto" w:fill="CDEAFA"/>
          </w:tcPr>
          <w:p>
            <w:pPr>
              <w:spacing w:after="0"/>
              <w:rPr>
                <w:sz w:val="20"/>
                <w:szCs w:val="20"/>
                <w:color w:val="auto"/>
              </w:rPr>
            </w:pPr>
            <w:r>
              <w:rPr>
                <w:rFonts w:ascii="Arial" w:cs="Arial" w:eastAsia="Arial" w:hAnsi="Arial"/>
                <w:sz w:val="18"/>
                <w:szCs w:val="18"/>
                <w:color w:val="auto"/>
              </w:rPr>
              <w:t>Myopic choroidal neovascularization (“mCNV”)</w:t>
            </w:r>
          </w:p>
        </w:tc>
        <w:tc>
          <w:tcPr>
            <w:tcW w:w="120" w:type="dxa"/>
            <w:vAlign w:val="bottom"/>
            <w:shd w:val="clear" w:color="auto" w:fill="CDEAFA"/>
          </w:tcPr>
          <w:p>
            <w:pPr>
              <w:spacing w:after="0"/>
              <w:rPr>
                <w:sz w:val="23"/>
                <w:szCs w:val="23"/>
                <w:color w:val="auto"/>
              </w:rPr>
            </w:pPr>
          </w:p>
        </w:tc>
        <w:tc>
          <w:tcPr>
            <w:tcW w:w="680" w:type="dxa"/>
            <w:vAlign w:val="bottom"/>
            <w:shd w:val="clear" w:color="auto" w:fill="CDEAFA"/>
          </w:tcPr>
          <w:p>
            <w:pPr>
              <w:spacing w:after="0"/>
              <w:rPr>
                <w:sz w:val="23"/>
                <w:szCs w:val="23"/>
                <w:color w:val="auto"/>
              </w:rPr>
            </w:pPr>
          </w:p>
        </w:tc>
        <w:tc>
          <w:tcPr>
            <w:tcW w:w="100" w:type="dxa"/>
            <w:vAlign w:val="bottom"/>
            <w:shd w:val="clear" w:color="auto" w:fill="CDEAFA"/>
          </w:tcPr>
          <w:p>
            <w:pPr>
              <w:spacing w:after="0"/>
              <w:rPr>
                <w:sz w:val="23"/>
                <w:szCs w:val="23"/>
                <w:color w:val="auto"/>
              </w:rPr>
            </w:pPr>
          </w:p>
        </w:tc>
        <w:tc>
          <w:tcPr>
            <w:tcW w:w="76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99"/>
              </w:rPr>
              <w:t>ü</w:t>
            </w:r>
          </w:p>
        </w:tc>
        <w:tc>
          <w:tcPr>
            <w:tcW w:w="78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79"/>
              </w:rPr>
              <w:t>ü</w:t>
            </w:r>
          </w:p>
        </w:tc>
        <w:tc>
          <w:tcPr>
            <w:tcW w:w="660" w:type="dxa"/>
            <w:vAlign w:val="bottom"/>
            <w:shd w:val="clear" w:color="auto" w:fill="CDEAFA"/>
          </w:tcPr>
          <w:p>
            <w:pPr>
              <w:jc w:val="center"/>
              <w:spacing w:after="0"/>
              <w:rPr>
                <w:sz w:val="20"/>
                <w:szCs w:val="20"/>
                <w:color w:val="auto"/>
              </w:rPr>
            </w:pPr>
            <w:r>
              <w:rPr>
                <w:rFonts w:ascii="Arial" w:cs="Arial" w:eastAsia="Arial" w:hAnsi="Arial"/>
                <w:sz w:val="18"/>
                <w:szCs w:val="18"/>
                <w:color w:val="auto"/>
                <w:w w:val="99"/>
              </w:rPr>
              <w:t>ü</w:t>
            </w:r>
          </w:p>
        </w:tc>
      </w:tr>
      <w:tr>
        <w:trPr>
          <w:trHeight w:val="270"/>
        </w:trPr>
        <w:tc>
          <w:tcPr>
            <w:tcW w:w="2940" w:type="dxa"/>
            <w:vAlign w:val="bottom"/>
            <w:shd w:val="clear" w:color="auto" w:fill="CDEAFA"/>
          </w:tcPr>
          <w:p>
            <w:pPr>
              <w:spacing w:after="0"/>
              <w:rPr>
                <w:sz w:val="23"/>
                <w:szCs w:val="23"/>
                <w:color w:val="auto"/>
              </w:rPr>
            </w:pPr>
          </w:p>
        </w:tc>
        <w:tc>
          <w:tcPr>
            <w:tcW w:w="120" w:type="dxa"/>
            <w:vAlign w:val="bottom"/>
            <w:shd w:val="clear" w:color="auto" w:fill="CDEAFA"/>
          </w:tcPr>
          <w:p>
            <w:pPr>
              <w:spacing w:after="0"/>
              <w:rPr>
                <w:sz w:val="23"/>
                <w:szCs w:val="23"/>
                <w:color w:val="auto"/>
              </w:rPr>
            </w:pPr>
          </w:p>
        </w:tc>
        <w:tc>
          <w:tcPr>
            <w:tcW w:w="120" w:type="dxa"/>
            <w:vAlign w:val="bottom"/>
            <w:shd w:val="clear" w:color="auto" w:fill="CDEAFA"/>
          </w:tcPr>
          <w:p>
            <w:pPr>
              <w:spacing w:after="0"/>
              <w:rPr>
                <w:sz w:val="20"/>
                <w:szCs w:val="20"/>
                <w:color w:val="auto"/>
              </w:rPr>
            </w:pPr>
            <w:r>
              <w:rPr>
                <w:rFonts w:ascii="Arial" w:cs="Arial" w:eastAsia="Arial" w:hAnsi="Arial"/>
                <w:sz w:val="18"/>
                <w:szCs w:val="18"/>
                <w:color w:val="auto"/>
              </w:rPr>
              <w:t>-</w:t>
            </w:r>
          </w:p>
        </w:tc>
        <w:tc>
          <w:tcPr>
            <w:tcW w:w="4960" w:type="dxa"/>
            <w:vAlign w:val="bottom"/>
            <w:shd w:val="clear" w:color="auto" w:fill="CDEAFA"/>
          </w:tcPr>
          <w:p>
            <w:pPr>
              <w:spacing w:after="0"/>
              <w:rPr>
                <w:sz w:val="20"/>
                <w:szCs w:val="20"/>
                <w:color w:val="auto"/>
              </w:rPr>
            </w:pPr>
            <w:r>
              <w:rPr>
                <w:rFonts w:ascii="Arial" w:cs="Arial" w:eastAsia="Arial" w:hAnsi="Arial"/>
                <w:sz w:val="18"/>
                <w:szCs w:val="18"/>
                <w:color w:val="auto"/>
              </w:rPr>
              <w:t>Diabetic retinopathy</w:t>
            </w:r>
          </w:p>
        </w:tc>
        <w:tc>
          <w:tcPr>
            <w:tcW w:w="120" w:type="dxa"/>
            <w:vAlign w:val="bottom"/>
            <w:shd w:val="clear" w:color="auto" w:fill="CDEAFA"/>
          </w:tcPr>
          <w:p>
            <w:pPr>
              <w:spacing w:after="0"/>
              <w:rPr>
                <w:sz w:val="23"/>
                <w:szCs w:val="23"/>
                <w:color w:val="auto"/>
              </w:rPr>
            </w:pPr>
          </w:p>
        </w:tc>
        <w:tc>
          <w:tcPr>
            <w:tcW w:w="780" w:type="dxa"/>
            <w:vAlign w:val="bottom"/>
            <w:gridSpan w:val="2"/>
            <w:shd w:val="clear" w:color="auto" w:fill="CDEAFA"/>
          </w:tcPr>
          <w:p>
            <w:pPr>
              <w:jc w:val="center"/>
              <w:ind w:right="120"/>
              <w:spacing w:after="0"/>
              <w:rPr>
                <w:sz w:val="20"/>
                <w:szCs w:val="20"/>
                <w:color w:val="auto"/>
              </w:rPr>
            </w:pPr>
            <w:r>
              <w:rPr>
                <w:rFonts w:ascii="Arial" w:cs="Arial" w:eastAsia="Arial" w:hAnsi="Arial"/>
                <w:sz w:val="18"/>
                <w:szCs w:val="18"/>
                <w:color w:val="auto"/>
                <w:w w:val="99"/>
              </w:rPr>
              <w:t>ü</w:t>
            </w:r>
          </w:p>
        </w:tc>
        <w:tc>
          <w:tcPr>
            <w:tcW w:w="660" w:type="dxa"/>
            <w:vAlign w:val="bottom"/>
            <w:shd w:val="clear" w:color="auto" w:fill="CDEAFA"/>
          </w:tcPr>
          <w:p>
            <w:pPr>
              <w:spacing w:after="0"/>
              <w:rPr>
                <w:sz w:val="23"/>
                <w:szCs w:val="23"/>
                <w:color w:val="auto"/>
              </w:rPr>
            </w:pPr>
          </w:p>
        </w:tc>
        <w:tc>
          <w:tcPr>
            <w:tcW w:w="100" w:type="dxa"/>
            <w:vAlign w:val="bottom"/>
            <w:shd w:val="clear" w:color="auto" w:fill="CDEAFA"/>
          </w:tcPr>
          <w:p>
            <w:pPr>
              <w:spacing w:after="0"/>
              <w:rPr>
                <w:sz w:val="23"/>
                <w:szCs w:val="23"/>
                <w:color w:val="auto"/>
              </w:rPr>
            </w:pPr>
          </w:p>
        </w:tc>
        <w:tc>
          <w:tcPr>
            <w:tcW w:w="680" w:type="dxa"/>
            <w:vAlign w:val="bottom"/>
            <w:shd w:val="clear" w:color="auto" w:fill="CDEAFA"/>
          </w:tcPr>
          <w:p>
            <w:pPr>
              <w:spacing w:after="0"/>
              <w:rPr>
                <w:sz w:val="23"/>
                <w:szCs w:val="23"/>
                <w:color w:val="auto"/>
              </w:rPr>
            </w:pPr>
          </w:p>
        </w:tc>
        <w:tc>
          <w:tcPr>
            <w:tcW w:w="100" w:type="dxa"/>
            <w:vAlign w:val="bottom"/>
            <w:shd w:val="clear" w:color="auto" w:fill="CDEAFA"/>
          </w:tcPr>
          <w:p>
            <w:pPr>
              <w:spacing w:after="0"/>
              <w:rPr>
                <w:sz w:val="23"/>
                <w:szCs w:val="23"/>
                <w:color w:val="auto"/>
              </w:rPr>
            </w:pPr>
          </w:p>
        </w:tc>
        <w:tc>
          <w:tcPr>
            <w:tcW w:w="660" w:type="dxa"/>
            <w:vAlign w:val="bottom"/>
            <w:shd w:val="clear" w:color="auto" w:fill="CDEAFA"/>
          </w:tcPr>
          <w:p>
            <w:pPr>
              <w:spacing w:after="0"/>
              <w:rPr>
                <w:sz w:val="23"/>
                <w:szCs w:val="23"/>
                <w:color w:val="auto"/>
              </w:rPr>
            </w:pPr>
          </w:p>
        </w:tc>
      </w:tr>
      <w:tr>
        <w:trPr>
          <w:trHeight w:val="270"/>
        </w:trPr>
        <w:tc>
          <w:tcPr>
            <w:tcW w:w="2940" w:type="dxa"/>
            <w:vAlign w:val="bottom"/>
            <w:shd w:val="clear" w:color="auto" w:fill="CDEAFA"/>
          </w:tcPr>
          <w:p>
            <w:pPr>
              <w:spacing w:after="0"/>
              <w:rPr>
                <w:sz w:val="23"/>
                <w:szCs w:val="23"/>
                <w:color w:val="auto"/>
              </w:rPr>
            </w:pPr>
          </w:p>
        </w:tc>
        <w:tc>
          <w:tcPr>
            <w:tcW w:w="120" w:type="dxa"/>
            <w:vAlign w:val="bottom"/>
            <w:shd w:val="clear" w:color="auto" w:fill="CDEAFA"/>
          </w:tcPr>
          <w:p>
            <w:pPr>
              <w:spacing w:after="0"/>
              <w:rPr>
                <w:sz w:val="23"/>
                <w:szCs w:val="23"/>
                <w:color w:val="auto"/>
              </w:rPr>
            </w:pPr>
          </w:p>
        </w:tc>
        <w:tc>
          <w:tcPr>
            <w:tcW w:w="120" w:type="dxa"/>
            <w:vAlign w:val="bottom"/>
            <w:shd w:val="clear" w:color="auto" w:fill="CDEAFA"/>
          </w:tcPr>
          <w:p>
            <w:pPr>
              <w:spacing w:after="0"/>
              <w:rPr>
                <w:sz w:val="20"/>
                <w:szCs w:val="20"/>
                <w:color w:val="auto"/>
              </w:rPr>
            </w:pPr>
            <w:r>
              <w:rPr>
                <w:rFonts w:ascii="Arial" w:cs="Arial" w:eastAsia="Arial" w:hAnsi="Arial"/>
                <w:sz w:val="18"/>
                <w:szCs w:val="18"/>
                <w:color w:val="auto"/>
              </w:rPr>
              <w:t>-</w:t>
            </w:r>
          </w:p>
        </w:tc>
        <w:tc>
          <w:tcPr>
            <w:tcW w:w="4960" w:type="dxa"/>
            <w:vAlign w:val="bottom"/>
            <w:shd w:val="clear" w:color="auto" w:fill="CDEAFA"/>
          </w:tcPr>
          <w:p>
            <w:pPr>
              <w:spacing w:after="0"/>
              <w:rPr>
                <w:sz w:val="20"/>
                <w:szCs w:val="20"/>
                <w:color w:val="auto"/>
              </w:rPr>
            </w:pPr>
            <w:r>
              <w:rPr>
                <w:rFonts w:ascii="Arial" w:cs="Arial" w:eastAsia="Arial" w:hAnsi="Arial"/>
                <w:sz w:val="18"/>
                <w:szCs w:val="18"/>
                <w:color w:val="auto"/>
              </w:rPr>
              <w:t>Neovascular glaucoma (“NVG”)</w:t>
            </w:r>
          </w:p>
        </w:tc>
        <w:tc>
          <w:tcPr>
            <w:tcW w:w="120" w:type="dxa"/>
            <w:vAlign w:val="bottom"/>
            <w:shd w:val="clear" w:color="auto" w:fill="CDEAFA"/>
          </w:tcPr>
          <w:p>
            <w:pPr>
              <w:spacing w:after="0"/>
              <w:rPr>
                <w:sz w:val="23"/>
                <w:szCs w:val="23"/>
                <w:color w:val="auto"/>
              </w:rPr>
            </w:pPr>
          </w:p>
        </w:tc>
        <w:tc>
          <w:tcPr>
            <w:tcW w:w="680" w:type="dxa"/>
            <w:vAlign w:val="bottom"/>
            <w:shd w:val="clear" w:color="auto" w:fill="CDEAFA"/>
          </w:tcPr>
          <w:p>
            <w:pPr>
              <w:spacing w:after="0"/>
              <w:rPr>
                <w:sz w:val="23"/>
                <w:szCs w:val="23"/>
                <w:color w:val="auto"/>
              </w:rPr>
            </w:pPr>
          </w:p>
        </w:tc>
        <w:tc>
          <w:tcPr>
            <w:tcW w:w="100" w:type="dxa"/>
            <w:vAlign w:val="bottom"/>
            <w:shd w:val="clear" w:color="auto" w:fill="CDEAFA"/>
          </w:tcPr>
          <w:p>
            <w:pPr>
              <w:spacing w:after="0"/>
              <w:rPr>
                <w:sz w:val="23"/>
                <w:szCs w:val="23"/>
                <w:color w:val="auto"/>
              </w:rPr>
            </w:pPr>
          </w:p>
        </w:tc>
        <w:tc>
          <w:tcPr>
            <w:tcW w:w="660" w:type="dxa"/>
            <w:vAlign w:val="bottom"/>
            <w:shd w:val="clear" w:color="auto" w:fill="CDEAFA"/>
          </w:tcPr>
          <w:p>
            <w:pPr>
              <w:spacing w:after="0"/>
              <w:rPr>
                <w:sz w:val="23"/>
                <w:szCs w:val="23"/>
                <w:color w:val="auto"/>
              </w:rPr>
            </w:pPr>
          </w:p>
        </w:tc>
        <w:tc>
          <w:tcPr>
            <w:tcW w:w="100" w:type="dxa"/>
            <w:vAlign w:val="bottom"/>
            <w:shd w:val="clear" w:color="auto" w:fill="CDEAFA"/>
          </w:tcPr>
          <w:p>
            <w:pPr>
              <w:spacing w:after="0"/>
              <w:rPr>
                <w:sz w:val="23"/>
                <w:szCs w:val="23"/>
                <w:color w:val="auto"/>
              </w:rPr>
            </w:pPr>
          </w:p>
        </w:tc>
        <w:tc>
          <w:tcPr>
            <w:tcW w:w="78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79"/>
              </w:rPr>
              <w:t>ü</w:t>
            </w:r>
          </w:p>
        </w:tc>
        <w:tc>
          <w:tcPr>
            <w:tcW w:w="660" w:type="dxa"/>
            <w:vAlign w:val="bottom"/>
            <w:shd w:val="clear" w:color="auto" w:fill="CDEAFA"/>
          </w:tcPr>
          <w:p>
            <w:pPr>
              <w:spacing w:after="0"/>
              <w:rPr>
                <w:sz w:val="23"/>
                <w:szCs w:val="23"/>
                <w:color w:val="auto"/>
              </w:rPr>
            </w:pPr>
          </w:p>
        </w:tc>
      </w:tr>
      <w:tr>
        <w:trPr>
          <w:trHeight w:val="27"/>
        </w:trPr>
        <w:tc>
          <w:tcPr>
            <w:tcW w:w="2940" w:type="dxa"/>
            <w:vAlign w:val="bottom"/>
            <w:shd w:val="clear" w:color="auto" w:fill="CDEAFA"/>
          </w:tcPr>
          <w:p>
            <w:pPr>
              <w:spacing w:after="0"/>
              <w:rPr>
                <w:sz w:val="2"/>
                <w:szCs w:val="2"/>
                <w:color w:val="auto"/>
              </w:rPr>
            </w:pPr>
          </w:p>
        </w:tc>
        <w:tc>
          <w:tcPr>
            <w:tcW w:w="120" w:type="dxa"/>
            <w:vAlign w:val="bottom"/>
            <w:shd w:val="clear" w:color="auto" w:fill="CDEAFA"/>
          </w:tcPr>
          <w:p>
            <w:pPr>
              <w:spacing w:after="0"/>
              <w:rPr>
                <w:sz w:val="2"/>
                <w:szCs w:val="2"/>
                <w:color w:val="auto"/>
              </w:rPr>
            </w:pPr>
          </w:p>
        </w:tc>
        <w:tc>
          <w:tcPr>
            <w:tcW w:w="120" w:type="dxa"/>
            <w:vAlign w:val="bottom"/>
            <w:shd w:val="clear" w:color="auto" w:fill="CDEAFA"/>
          </w:tcPr>
          <w:p>
            <w:pPr>
              <w:spacing w:after="0"/>
              <w:rPr>
                <w:sz w:val="2"/>
                <w:szCs w:val="2"/>
                <w:color w:val="auto"/>
              </w:rPr>
            </w:pPr>
          </w:p>
        </w:tc>
        <w:tc>
          <w:tcPr>
            <w:tcW w:w="4960" w:type="dxa"/>
            <w:vAlign w:val="bottom"/>
            <w:shd w:val="clear" w:color="auto" w:fill="CDEAFA"/>
          </w:tcPr>
          <w:p>
            <w:pPr>
              <w:spacing w:after="0"/>
              <w:rPr>
                <w:sz w:val="2"/>
                <w:szCs w:val="2"/>
                <w:color w:val="auto"/>
              </w:rPr>
            </w:pPr>
          </w:p>
        </w:tc>
        <w:tc>
          <w:tcPr>
            <w:tcW w:w="120" w:type="dxa"/>
            <w:vAlign w:val="bottom"/>
            <w:shd w:val="clear" w:color="auto" w:fill="CDEAFA"/>
          </w:tcPr>
          <w:p>
            <w:pPr>
              <w:spacing w:after="0"/>
              <w:rPr>
                <w:sz w:val="2"/>
                <w:szCs w:val="2"/>
                <w:color w:val="auto"/>
              </w:rPr>
            </w:pPr>
          </w:p>
        </w:tc>
        <w:tc>
          <w:tcPr>
            <w:tcW w:w="680" w:type="dxa"/>
            <w:vAlign w:val="bottom"/>
            <w:shd w:val="clear" w:color="auto" w:fill="CDEAFA"/>
          </w:tcPr>
          <w:p>
            <w:pPr>
              <w:spacing w:after="0"/>
              <w:rPr>
                <w:sz w:val="2"/>
                <w:szCs w:val="2"/>
                <w:color w:val="auto"/>
              </w:rPr>
            </w:pPr>
          </w:p>
        </w:tc>
        <w:tc>
          <w:tcPr>
            <w:tcW w:w="100" w:type="dxa"/>
            <w:vAlign w:val="bottom"/>
            <w:shd w:val="clear" w:color="auto" w:fill="CDEAFA"/>
          </w:tcPr>
          <w:p>
            <w:pPr>
              <w:spacing w:after="0"/>
              <w:rPr>
                <w:sz w:val="2"/>
                <w:szCs w:val="2"/>
                <w:color w:val="auto"/>
              </w:rPr>
            </w:pPr>
          </w:p>
        </w:tc>
        <w:tc>
          <w:tcPr>
            <w:tcW w:w="660" w:type="dxa"/>
            <w:vAlign w:val="bottom"/>
            <w:shd w:val="clear" w:color="auto" w:fill="CDEAFA"/>
          </w:tcPr>
          <w:p>
            <w:pPr>
              <w:spacing w:after="0"/>
              <w:rPr>
                <w:sz w:val="2"/>
                <w:szCs w:val="2"/>
                <w:color w:val="auto"/>
              </w:rPr>
            </w:pPr>
          </w:p>
        </w:tc>
        <w:tc>
          <w:tcPr>
            <w:tcW w:w="100" w:type="dxa"/>
            <w:vAlign w:val="bottom"/>
            <w:shd w:val="clear" w:color="auto" w:fill="CDEAFA"/>
          </w:tcPr>
          <w:p>
            <w:pPr>
              <w:spacing w:after="0"/>
              <w:rPr>
                <w:sz w:val="2"/>
                <w:szCs w:val="2"/>
                <w:color w:val="auto"/>
              </w:rPr>
            </w:pPr>
          </w:p>
        </w:tc>
        <w:tc>
          <w:tcPr>
            <w:tcW w:w="680" w:type="dxa"/>
            <w:vAlign w:val="bottom"/>
            <w:shd w:val="clear" w:color="auto" w:fill="CDEAFA"/>
          </w:tcPr>
          <w:p>
            <w:pPr>
              <w:spacing w:after="0"/>
              <w:rPr>
                <w:sz w:val="2"/>
                <w:szCs w:val="2"/>
                <w:color w:val="auto"/>
              </w:rPr>
            </w:pPr>
          </w:p>
        </w:tc>
        <w:tc>
          <w:tcPr>
            <w:tcW w:w="100" w:type="dxa"/>
            <w:vAlign w:val="bottom"/>
            <w:shd w:val="clear" w:color="auto" w:fill="CDEAFA"/>
          </w:tcPr>
          <w:p>
            <w:pPr>
              <w:spacing w:after="0"/>
              <w:rPr>
                <w:sz w:val="2"/>
                <w:szCs w:val="2"/>
                <w:color w:val="auto"/>
              </w:rPr>
            </w:pPr>
          </w:p>
        </w:tc>
        <w:tc>
          <w:tcPr>
            <w:tcW w:w="660" w:type="dxa"/>
            <w:vAlign w:val="bottom"/>
            <w:shd w:val="clear" w:color="auto" w:fill="CDEAFA"/>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405" w:right="339" w:bottom="1440" w:gutter="0" w:footer="0" w:header="0"/>
        </w:sectPr>
      </w:pPr>
    </w:p>
    <w:p>
      <w:pPr>
        <w:spacing w:after="0"/>
        <w:tabs>
          <w:tab w:leader="none" w:pos="3040" w:val="left"/>
        </w:tabs>
        <w:rPr>
          <w:sz w:val="20"/>
          <w:szCs w:val="20"/>
          <w:color w:val="auto"/>
        </w:rPr>
      </w:pPr>
      <w:r>
        <w:rPr>
          <w:rFonts w:ascii="Arial" w:cs="Arial" w:eastAsia="Arial" w:hAnsi="Arial"/>
          <w:sz w:val="35"/>
          <w:szCs w:val="35"/>
          <w:color w:val="auto"/>
          <w:vertAlign w:val="subscript"/>
        </w:rPr>
        <w:t>Dupixent (dupilumab) Injection</w:t>
      </w:r>
      <w:r>
        <w:rPr>
          <w:rFonts w:ascii="Arial" w:cs="Arial" w:eastAsia="Arial" w:hAnsi="Arial"/>
          <w:sz w:val="29"/>
          <w:szCs w:val="29"/>
          <w:color w:val="auto"/>
          <w:vertAlign w:val="superscript"/>
        </w:rPr>
        <w:t>(2)</w:t>
      </w:r>
      <w:r>
        <w:rPr>
          <w:sz w:val="20"/>
          <w:szCs w:val="20"/>
          <w:color w:val="auto"/>
        </w:rPr>
        <w:tab/>
      </w:r>
      <w:r>
        <w:rPr>
          <w:rFonts w:ascii="Arial" w:cs="Arial" w:eastAsia="Arial" w:hAnsi="Arial"/>
          <w:sz w:val="16"/>
          <w:szCs w:val="16"/>
          <w:color w:val="auto"/>
        </w:rPr>
        <w:t>- Atopic dermatitis (in adults and adolescents)</w:t>
      </w:r>
    </w:p>
    <w:p>
      <w:pPr>
        <w:ind w:left="3180" w:hanging="121"/>
        <w:spacing w:after="0"/>
        <w:tabs>
          <w:tab w:leader="none" w:pos="3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Atopic dermatitis (in pediatrics 6–11 years of age)</w:t>
      </w:r>
    </w:p>
    <w:p>
      <w:pPr>
        <w:spacing w:after="0" w:line="47" w:lineRule="exact"/>
        <w:rPr>
          <w:rFonts w:ascii="Arial" w:cs="Arial" w:eastAsia="Arial" w:hAnsi="Arial"/>
          <w:sz w:val="18"/>
          <w:szCs w:val="18"/>
          <w:color w:val="auto"/>
        </w:rPr>
      </w:pPr>
    </w:p>
    <w:p>
      <w:pPr>
        <w:ind w:left="3180" w:hanging="121"/>
        <w:spacing w:after="0"/>
        <w:tabs>
          <w:tab w:leader="none" w:pos="3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Asthma (in adults and adolescents)</w:t>
      </w:r>
    </w:p>
    <w:p>
      <w:pPr>
        <w:spacing w:after="0" w:line="63" w:lineRule="exact"/>
        <w:rPr>
          <w:rFonts w:ascii="Arial" w:cs="Arial" w:eastAsia="Arial" w:hAnsi="Arial"/>
          <w:sz w:val="18"/>
          <w:szCs w:val="18"/>
          <w:color w:val="auto"/>
        </w:rPr>
      </w:pPr>
    </w:p>
    <w:p>
      <w:pPr>
        <w:ind w:left="3180" w:hanging="121"/>
        <w:spacing w:after="0"/>
        <w:tabs>
          <w:tab w:leader="none" w:pos="3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Asthma (in pediatrics 6–11 years of age)</w:t>
      </w:r>
    </w:p>
    <w:p>
      <w:pPr>
        <w:spacing w:after="0" w:line="63" w:lineRule="exact"/>
        <w:rPr>
          <w:rFonts w:ascii="Arial" w:cs="Arial" w:eastAsia="Arial" w:hAnsi="Arial"/>
          <w:sz w:val="18"/>
          <w:szCs w:val="18"/>
          <w:color w:val="auto"/>
        </w:rPr>
      </w:pPr>
    </w:p>
    <w:p>
      <w:pPr>
        <w:ind w:left="3180" w:hanging="121"/>
        <w:spacing w:after="0"/>
        <w:tabs>
          <w:tab w:leader="none" w:pos="3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Chronic rhinosinusitis with nasal polyposis (“CRSwNP”)</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ü</w:t>
            </w:r>
          </w:p>
        </w:tc>
        <w:tc>
          <w:tcPr>
            <w:tcW w:w="780" w:type="dxa"/>
            <w:vAlign w:val="bottom"/>
          </w:tcPr>
          <w:p>
            <w:pPr>
              <w:ind w:left="340"/>
              <w:spacing w:after="0"/>
              <w:rPr>
                <w:sz w:val="20"/>
                <w:szCs w:val="20"/>
                <w:color w:val="auto"/>
              </w:rPr>
            </w:pPr>
            <w:r>
              <w:rPr>
                <w:rFonts w:ascii="Arial" w:cs="Arial" w:eastAsia="Arial" w:hAnsi="Arial"/>
                <w:sz w:val="18"/>
                <w:szCs w:val="18"/>
                <w:color w:val="auto"/>
              </w:rPr>
              <w:t>ü</w:t>
            </w:r>
          </w:p>
        </w:tc>
        <w:tc>
          <w:tcPr>
            <w:tcW w:w="760" w:type="dxa"/>
            <w:vAlign w:val="bottom"/>
          </w:tcPr>
          <w:p>
            <w:pPr>
              <w:ind w:left="340"/>
              <w:spacing w:after="0"/>
              <w:rPr>
                <w:sz w:val="20"/>
                <w:szCs w:val="20"/>
                <w:color w:val="auto"/>
              </w:rPr>
            </w:pPr>
            <w:r>
              <w:rPr>
                <w:rFonts w:ascii="Arial" w:cs="Arial" w:eastAsia="Arial" w:hAnsi="Arial"/>
                <w:sz w:val="18"/>
                <w:szCs w:val="18"/>
                <w:color w:val="auto"/>
              </w:rPr>
              <w:t>ü</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ü</w:t>
            </w:r>
          </w:p>
        </w:tc>
      </w:tr>
      <w:tr>
        <w:trPr>
          <w:trHeight w:val="310"/>
        </w:trPr>
        <w:tc>
          <w:tcPr>
            <w:tcW w:w="440" w:type="dxa"/>
            <w:vAlign w:val="bottom"/>
          </w:tcPr>
          <w:p>
            <w:pPr>
              <w:spacing w:after="0"/>
              <w:rPr>
                <w:sz w:val="20"/>
                <w:szCs w:val="20"/>
                <w:color w:val="auto"/>
              </w:rPr>
            </w:pPr>
            <w:r>
              <w:rPr>
                <w:rFonts w:ascii="Arial" w:cs="Arial" w:eastAsia="Arial" w:hAnsi="Arial"/>
                <w:sz w:val="18"/>
                <w:szCs w:val="18"/>
                <w:color w:val="auto"/>
              </w:rPr>
              <w:t>ü</w:t>
            </w:r>
          </w:p>
        </w:tc>
        <w:tc>
          <w:tcPr>
            <w:tcW w:w="780" w:type="dxa"/>
            <w:vAlign w:val="bottom"/>
          </w:tcPr>
          <w:p>
            <w:pPr>
              <w:ind w:left="340"/>
              <w:spacing w:after="0"/>
              <w:rPr>
                <w:sz w:val="20"/>
                <w:szCs w:val="20"/>
                <w:color w:val="auto"/>
              </w:rPr>
            </w:pPr>
            <w:r>
              <w:rPr>
                <w:rFonts w:ascii="Arial" w:cs="Arial" w:eastAsia="Arial" w:hAnsi="Arial"/>
                <w:sz w:val="18"/>
                <w:szCs w:val="18"/>
                <w:color w:val="auto"/>
              </w:rPr>
              <w:t>ü</w:t>
            </w:r>
          </w:p>
        </w:tc>
        <w:tc>
          <w:tcPr>
            <w:tcW w:w="760" w:type="dxa"/>
            <w:vAlign w:val="bottom"/>
          </w:tcPr>
          <w:p>
            <w:pPr>
              <w:spacing w:after="0"/>
              <w:rPr>
                <w:sz w:val="24"/>
                <w:szCs w:val="24"/>
                <w:color w:val="auto"/>
              </w:rPr>
            </w:pPr>
          </w:p>
        </w:tc>
        <w:tc>
          <w:tcPr>
            <w:tcW w:w="440" w:type="dxa"/>
            <w:vAlign w:val="bottom"/>
          </w:tcPr>
          <w:p>
            <w:pPr>
              <w:ind w:left="340"/>
              <w:spacing w:after="0"/>
              <w:rPr>
                <w:sz w:val="20"/>
                <w:szCs w:val="20"/>
                <w:color w:val="auto"/>
              </w:rPr>
            </w:pPr>
            <w:r>
              <w:rPr>
                <w:rFonts w:ascii="Arial" w:cs="Arial" w:eastAsia="Arial" w:hAnsi="Arial"/>
                <w:sz w:val="18"/>
                <w:szCs w:val="18"/>
                <w:color w:val="auto"/>
                <w:w w:val="79"/>
              </w:rPr>
              <w:t>ü</w:t>
            </w:r>
          </w:p>
        </w:tc>
      </w:tr>
      <w:tr>
        <w:trPr>
          <w:trHeight w:val="270"/>
        </w:trPr>
        <w:tc>
          <w:tcPr>
            <w:tcW w:w="440" w:type="dxa"/>
            <w:vAlign w:val="bottom"/>
          </w:tcPr>
          <w:p>
            <w:pPr>
              <w:spacing w:after="0"/>
              <w:rPr>
                <w:sz w:val="20"/>
                <w:szCs w:val="20"/>
                <w:color w:val="auto"/>
              </w:rPr>
            </w:pPr>
            <w:r>
              <w:rPr>
                <w:rFonts w:ascii="Arial" w:cs="Arial" w:eastAsia="Arial" w:hAnsi="Arial"/>
                <w:sz w:val="18"/>
                <w:szCs w:val="18"/>
                <w:color w:val="auto"/>
              </w:rPr>
              <w:t>ü</w:t>
            </w:r>
          </w:p>
        </w:tc>
        <w:tc>
          <w:tcPr>
            <w:tcW w:w="780" w:type="dxa"/>
            <w:vAlign w:val="bottom"/>
          </w:tcPr>
          <w:p>
            <w:pPr>
              <w:ind w:left="340"/>
              <w:spacing w:after="0"/>
              <w:rPr>
                <w:sz w:val="20"/>
                <w:szCs w:val="20"/>
                <w:color w:val="auto"/>
              </w:rPr>
            </w:pPr>
            <w:r>
              <w:rPr>
                <w:rFonts w:ascii="Arial" w:cs="Arial" w:eastAsia="Arial" w:hAnsi="Arial"/>
                <w:sz w:val="18"/>
                <w:szCs w:val="18"/>
                <w:color w:val="auto"/>
              </w:rPr>
              <w:t>ü</w:t>
            </w:r>
          </w:p>
        </w:tc>
        <w:tc>
          <w:tcPr>
            <w:tcW w:w="760" w:type="dxa"/>
            <w:vAlign w:val="bottom"/>
          </w:tcPr>
          <w:p>
            <w:pPr>
              <w:ind w:left="340"/>
              <w:spacing w:after="0"/>
              <w:rPr>
                <w:sz w:val="20"/>
                <w:szCs w:val="20"/>
                <w:color w:val="auto"/>
              </w:rPr>
            </w:pPr>
            <w:r>
              <w:rPr>
                <w:rFonts w:ascii="Arial" w:cs="Arial" w:eastAsia="Arial" w:hAnsi="Arial"/>
                <w:sz w:val="18"/>
                <w:szCs w:val="18"/>
                <w:color w:val="auto"/>
              </w:rPr>
              <w:t>ü</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ü</w:t>
            </w:r>
          </w:p>
        </w:tc>
      </w:tr>
      <w:tr>
        <w:trPr>
          <w:trHeight w:val="270"/>
        </w:trPr>
        <w:tc>
          <w:tcPr>
            <w:tcW w:w="440" w:type="dxa"/>
            <w:vAlign w:val="bottom"/>
          </w:tcPr>
          <w:p>
            <w:pPr>
              <w:spacing w:after="0"/>
              <w:rPr>
                <w:sz w:val="20"/>
                <w:szCs w:val="20"/>
                <w:color w:val="auto"/>
              </w:rPr>
            </w:pPr>
            <w:r>
              <w:rPr>
                <w:rFonts w:ascii="Arial" w:cs="Arial" w:eastAsia="Arial" w:hAnsi="Arial"/>
                <w:sz w:val="18"/>
                <w:szCs w:val="18"/>
                <w:color w:val="auto"/>
              </w:rPr>
              <w:t>ü</w:t>
            </w: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440" w:type="dxa"/>
            <w:vAlign w:val="bottom"/>
          </w:tcPr>
          <w:p>
            <w:pPr>
              <w:spacing w:after="0"/>
              <w:rPr>
                <w:sz w:val="20"/>
                <w:szCs w:val="20"/>
                <w:color w:val="auto"/>
              </w:rPr>
            </w:pPr>
            <w:r>
              <w:rPr>
                <w:rFonts w:ascii="Arial" w:cs="Arial" w:eastAsia="Arial" w:hAnsi="Arial"/>
                <w:sz w:val="18"/>
                <w:szCs w:val="18"/>
                <w:color w:val="auto"/>
              </w:rPr>
              <w:t>ü</w:t>
            </w:r>
          </w:p>
        </w:tc>
        <w:tc>
          <w:tcPr>
            <w:tcW w:w="780" w:type="dxa"/>
            <w:vAlign w:val="bottom"/>
          </w:tcPr>
          <w:p>
            <w:pPr>
              <w:ind w:left="340"/>
              <w:spacing w:after="0"/>
              <w:rPr>
                <w:sz w:val="20"/>
                <w:szCs w:val="20"/>
                <w:color w:val="auto"/>
              </w:rPr>
            </w:pPr>
            <w:r>
              <w:rPr>
                <w:rFonts w:ascii="Arial" w:cs="Arial" w:eastAsia="Arial" w:hAnsi="Arial"/>
                <w:sz w:val="18"/>
                <w:szCs w:val="18"/>
                <w:color w:val="auto"/>
              </w:rPr>
              <w:t>ü</w:t>
            </w:r>
          </w:p>
        </w:tc>
        <w:tc>
          <w:tcPr>
            <w:tcW w:w="760" w:type="dxa"/>
            <w:vAlign w:val="bottom"/>
          </w:tcPr>
          <w:p>
            <w:pPr>
              <w:ind w:left="340"/>
              <w:spacing w:after="0"/>
              <w:rPr>
                <w:sz w:val="20"/>
                <w:szCs w:val="20"/>
                <w:color w:val="auto"/>
              </w:rPr>
            </w:pPr>
            <w:r>
              <w:rPr>
                <w:rFonts w:ascii="Arial" w:cs="Arial" w:eastAsia="Arial" w:hAnsi="Arial"/>
                <w:sz w:val="18"/>
                <w:szCs w:val="18"/>
                <w:color w:val="auto"/>
              </w:rPr>
              <w:t>ü</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ü</w:t>
            </w:r>
          </w:p>
        </w:tc>
      </w:tr>
    </w:tbl>
    <w:p>
      <w:pPr>
        <w:sectPr>
          <w:pgSz w:w="11900" w:h="16838" w:orient="portrait"/>
          <w:cols w:equalWidth="0" w:num="2">
            <w:col w:w="7820" w:space="720"/>
            <w:col w:w="2700"/>
          </w:cols>
          <w:pgMar w:left="320" w:top="405" w:right="339" w:bottom="144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Territory</w:t>
            </w:r>
          </w:p>
        </w:tc>
        <w:tc>
          <w:tcPr>
            <w:tcW w:w="660" w:type="dxa"/>
            <w:vAlign w:val="bottom"/>
            <w:tcBorders>
              <w:bottom w:val="single" w:sz="8" w:color="auto"/>
            </w:tcBorders>
          </w:tcPr>
          <w:p>
            <w:pPr>
              <w:spacing w:after="0"/>
              <w:rPr>
                <w:sz w:val="20"/>
                <w:szCs w:val="20"/>
                <w:color w:val="auto"/>
              </w:rPr>
            </w:pPr>
          </w:p>
        </w:tc>
      </w:tr>
      <w:tr>
        <w:trPr>
          <w:trHeight w:val="250"/>
        </w:trPr>
        <w:tc>
          <w:tcPr>
            <w:tcW w:w="29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b w:val="1"/>
                <w:bCs w:val="1"/>
                <w:i w:val="1"/>
                <w:iCs w:val="1"/>
                <w:color w:val="auto"/>
              </w:rPr>
              <w:t>(continued)</w:t>
            </w:r>
          </w:p>
        </w:tc>
        <w:tc>
          <w:tcPr>
            <w:tcW w:w="120" w:type="dxa"/>
            <w:vAlign w:val="bottom"/>
            <w:tcBorders>
              <w:bottom w:val="single" w:sz="8" w:color="CDEAFA"/>
            </w:tcBorders>
          </w:tcPr>
          <w:p>
            <w:pPr>
              <w:spacing w:after="0"/>
              <w:rPr>
                <w:sz w:val="21"/>
                <w:szCs w:val="21"/>
                <w:color w:val="auto"/>
              </w:rPr>
            </w:pPr>
          </w:p>
        </w:tc>
        <w:tc>
          <w:tcPr>
            <w:tcW w:w="120" w:type="dxa"/>
            <w:vAlign w:val="bottom"/>
            <w:tcBorders>
              <w:bottom w:val="single" w:sz="8" w:color="CDEAFA"/>
            </w:tcBorders>
          </w:tcPr>
          <w:p>
            <w:pPr>
              <w:spacing w:after="0"/>
              <w:rPr>
                <w:sz w:val="21"/>
                <w:szCs w:val="21"/>
                <w:color w:val="auto"/>
              </w:rPr>
            </w:pPr>
          </w:p>
        </w:tc>
        <w:tc>
          <w:tcPr>
            <w:tcW w:w="49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Disease</w:t>
            </w:r>
          </w:p>
        </w:tc>
        <w:tc>
          <w:tcPr>
            <w:tcW w:w="120" w:type="dxa"/>
            <w:vAlign w:val="bottom"/>
            <w:tcBorders>
              <w:bottom w:val="single" w:sz="8" w:color="CDEAFA"/>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DEAFA"/>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EU</w:t>
            </w:r>
          </w:p>
        </w:tc>
        <w:tc>
          <w:tcPr>
            <w:tcW w:w="100" w:type="dxa"/>
            <w:vAlign w:val="bottom"/>
            <w:tcBorders>
              <w:bottom w:val="single" w:sz="8" w:color="CDEAFA"/>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Japan</w:t>
            </w:r>
          </w:p>
        </w:tc>
        <w:tc>
          <w:tcPr>
            <w:tcW w:w="100" w:type="dxa"/>
            <w:vAlign w:val="bottom"/>
            <w:tcBorders>
              <w:bottom w:val="single" w:sz="8" w:color="CDEAFA"/>
            </w:tcBorders>
          </w:tcPr>
          <w:p>
            <w:pPr>
              <w:spacing w:after="0"/>
              <w:rPr>
                <w:sz w:val="21"/>
                <w:szCs w:val="21"/>
                <w:color w:val="auto"/>
              </w:rPr>
            </w:pPr>
          </w:p>
        </w:tc>
        <w:tc>
          <w:tcPr>
            <w:tcW w:w="6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b w:val="1"/>
                <w:bCs w:val="1"/>
                <w:color w:val="auto"/>
                <w:vertAlign w:val="subscript"/>
              </w:rPr>
              <w:t>ROW</w:t>
            </w:r>
            <w:r>
              <w:rPr>
                <w:rFonts w:ascii="Arial" w:cs="Arial" w:eastAsia="Arial" w:hAnsi="Arial"/>
                <w:sz w:val="13"/>
                <w:szCs w:val="13"/>
                <w:b w:val="1"/>
                <w:bCs w:val="1"/>
                <w:color w:val="auto"/>
              </w:rPr>
              <w:t>(4)</w:t>
            </w:r>
          </w:p>
        </w:tc>
      </w:tr>
      <w:tr>
        <w:trPr>
          <w:trHeight w:val="223"/>
        </w:trPr>
        <w:tc>
          <w:tcPr>
            <w:tcW w:w="2940" w:type="dxa"/>
            <w:vAlign w:val="bottom"/>
            <w:shd w:val="clear" w:color="auto" w:fill="CDEAFA"/>
          </w:tcPr>
          <w:p>
            <w:pPr>
              <w:spacing w:after="0" w:line="223" w:lineRule="exact"/>
              <w:rPr>
                <w:sz w:val="20"/>
                <w:szCs w:val="20"/>
                <w:color w:val="auto"/>
              </w:rPr>
            </w:pPr>
            <w:r>
              <w:rPr>
                <w:rFonts w:ascii="Arial" w:cs="Arial" w:eastAsia="Arial" w:hAnsi="Arial"/>
                <w:sz w:val="16"/>
                <w:szCs w:val="16"/>
                <w:color w:val="auto"/>
              </w:rPr>
              <w:t>Libtayo (cemiplimab) Injection</w:t>
            </w:r>
            <w:r>
              <w:rPr>
                <w:rFonts w:ascii="Arial" w:cs="Arial" w:eastAsia="Arial" w:hAnsi="Arial"/>
                <w:sz w:val="25"/>
                <w:szCs w:val="25"/>
                <w:color w:val="auto"/>
                <w:vertAlign w:val="superscript"/>
              </w:rPr>
              <w:t>(2)</w:t>
            </w:r>
          </w:p>
        </w:tc>
        <w:tc>
          <w:tcPr>
            <w:tcW w:w="12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20"/>
                <w:szCs w:val="20"/>
                <w:color w:val="auto"/>
              </w:rPr>
            </w:pPr>
            <w:r>
              <w:rPr>
                <w:rFonts w:ascii="Arial" w:cs="Arial" w:eastAsia="Arial" w:hAnsi="Arial"/>
                <w:sz w:val="18"/>
                <w:szCs w:val="18"/>
                <w:color w:val="auto"/>
              </w:rPr>
              <w:t>-</w:t>
            </w:r>
          </w:p>
        </w:tc>
        <w:tc>
          <w:tcPr>
            <w:tcW w:w="4960" w:type="dxa"/>
            <w:vAlign w:val="bottom"/>
            <w:shd w:val="clear" w:color="auto" w:fill="CDEAFA"/>
          </w:tcPr>
          <w:p>
            <w:pPr>
              <w:spacing w:after="0"/>
              <w:rPr>
                <w:sz w:val="20"/>
                <w:szCs w:val="20"/>
                <w:color w:val="auto"/>
              </w:rPr>
            </w:pPr>
            <w:r>
              <w:rPr>
                <w:rFonts w:ascii="Arial" w:cs="Arial" w:eastAsia="Arial" w:hAnsi="Arial"/>
                <w:sz w:val="18"/>
                <w:szCs w:val="18"/>
                <w:color w:val="auto"/>
                <w:w w:val="94"/>
              </w:rPr>
              <w:t>Metastatic or locally advanced first-line non-small cell lung cancer</w:t>
            </w:r>
          </w:p>
        </w:tc>
        <w:tc>
          <w:tcPr>
            <w:tcW w:w="120" w:type="dxa"/>
            <w:vAlign w:val="bottom"/>
            <w:shd w:val="clear" w:color="auto" w:fill="CDEAFA"/>
          </w:tcPr>
          <w:p>
            <w:pPr>
              <w:spacing w:after="0"/>
              <w:rPr>
                <w:sz w:val="19"/>
                <w:szCs w:val="19"/>
                <w:color w:val="auto"/>
              </w:rPr>
            </w:pPr>
          </w:p>
        </w:tc>
        <w:tc>
          <w:tcPr>
            <w:tcW w:w="780" w:type="dxa"/>
            <w:vAlign w:val="bottom"/>
            <w:gridSpan w:val="2"/>
            <w:shd w:val="clear" w:color="auto" w:fill="CDEAFA"/>
          </w:tcPr>
          <w:p>
            <w:pPr>
              <w:jc w:val="center"/>
              <w:ind w:right="120"/>
              <w:spacing w:after="0"/>
              <w:rPr>
                <w:sz w:val="20"/>
                <w:szCs w:val="20"/>
                <w:color w:val="auto"/>
              </w:rPr>
            </w:pPr>
            <w:r>
              <w:rPr>
                <w:rFonts w:ascii="Arial" w:cs="Arial" w:eastAsia="Arial" w:hAnsi="Arial"/>
                <w:sz w:val="18"/>
                <w:szCs w:val="18"/>
                <w:color w:val="auto"/>
                <w:w w:val="99"/>
              </w:rPr>
              <w:t>ü</w:t>
            </w:r>
          </w:p>
        </w:tc>
        <w:tc>
          <w:tcPr>
            <w:tcW w:w="76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99"/>
              </w:rPr>
              <w:t>ü</w:t>
            </w:r>
          </w:p>
        </w:tc>
        <w:tc>
          <w:tcPr>
            <w:tcW w:w="68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660" w:type="dxa"/>
            <w:vAlign w:val="bottom"/>
            <w:shd w:val="clear" w:color="auto" w:fill="CDEAFA"/>
          </w:tcPr>
          <w:p>
            <w:pPr>
              <w:jc w:val="center"/>
              <w:spacing w:after="0"/>
              <w:rPr>
                <w:sz w:val="20"/>
                <w:szCs w:val="20"/>
                <w:color w:val="auto"/>
              </w:rPr>
            </w:pPr>
            <w:r>
              <w:rPr>
                <w:rFonts w:ascii="Arial" w:cs="Arial" w:eastAsia="Arial" w:hAnsi="Arial"/>
                <w:sz w:val="18"/>
                <w:szCs w:val="18"/>
                <w:color w:val="auto"/>
                <w:w w:val="99"/>
              </w:rPr>
              <w:t>ü</w:t>
            </w:r>
          </w:p>
        </w:tc>
      </w:tr>
      <w:tr>
        <w:trPr>
          <w:trHeight w:val="230"/>
        </w:trPr>
        <w:tc>
          <w:tcPr>
            <w:tcW w:w="2940" w:type="dxa"/>
            <w:vAlign w:val="bottom"/>
            <w:shd w:val="clear" w:color="auto" w:fill="CDEAFA"/>
          </w:tcPr>
          <w:p>
            <w:pPr>
              <w:spacing w:after="0"/>
              <w:rPr>
                <w:sz w:val="20"/>
                <w:szCs w:val="20"/>
                <w:color w:val="auto"/>
              </w:rPr>
            </w:pPr>
          </w:p>
        </w:tc>
        <w:tc>
          <w:tcPr>
            <w:tcW w:w="120" w:type="dxa"/>
            <w:vAlign w:val="bottom"/>
            <w:shd w:val="clear" w:color="auto" w:fill="CDEAFA"/>
          </w:tcPr>
          <w:p>
            <w:pPr>
              <w:spacing w:after="0"/>
              <w:rPr>
                <w:sz w:val="20"/>
                <w:szCs w:val="20"/>
                <w:color w:val="auto"/>
              </w:rPr>
            </w:pPr>
          </w:p>
        </w:tc>
        <w:tc>
          <w:tcPr>
            <w:tcW w:w="520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rPr>
              <w:t>(“NSCLC”)</w:t>
            </w:r>
          </w:p>
        </w:tc>
        <w:tc>
          <w:tcPr>
            <w:tcW w:w="680" w:type="dxa"/>
            <w:vAlign w:val="bottom"/>
            <w:shd w:val="clear" w:color="auto" w:fill="CDEAFA"/>
          </w:tcPr>
          <w:p>
            <w:pPr>
              <w:spacing w:after="0"/>
              <w:rPr>
                <w:sz w:val="20"/>
                <w:szCs w:val="20"/>
                <w:color w:val="auto"/>
              </w:rPr>
            </w:pPr>
          </w:p>
        </w:tc>
        <w:tc>
          <w:tcPr>
            <w:tcW w:w="100" w:type="dxa"/>
            <w:vAlign w:val="bottom"/>
            <w:shd w:val="clear" w:color="auto" w:fill="CDEAFA"/>
          </w:tcPr>
          <w:p>
            <w:pPr>
              <w:spacing w:after="0"/>
              <w:rPr>
                <w:sz w:val="20"/>
                <w:szCs w:val="20"/>
                <w:color w:val="auto"/>
              </w:rPr>
            </w:pPr>
          </w:p>
        </w:tc>
        <w:tc>
          <w:tcPr>
            <w:tcW w:w="660" w:type="dxa"/>
            <w:vAlign w:val="bottom"/>
            <w:shd w:val="clear" w:color="auto" w:fill="CDEAFA"/>
          </w:tcPr>
          <w:p>
            <w:pPr>
              <w:spacing w:after="0"/>
              <w:rPr>
                <w:sz w:val="20"/>
                <w:szCs w:val="20"/>
                <w:color w:val="auto"/>
              </w:rPr>
            </w:pPr>
          </w:p>
        </w:tc>
        <w:tc>
          <w:tcPr>
            <w:tcW w:w="100" w:type="dxa"/>
            <w:vAlign w:val="bottom"/>
            <w:shd w:val="clear" w:color="auto" w:fill="CDEAFA"/>
          </w:tcPr>
          <w:p>
            <w:pPr>
              <w:spacing w:after="0"/>
              <w:rPr>
                <w:sz w:val="20"/>
                <w:szCs w:val="20"/>
                <w:color w:val="auto"/>
              </w:rPr>
            </w:pPr>
          </w:p>
        </w:tc>
        <w:tc>
          <w:tcPr>
            <w:tcW w:w="680" w:type="dxa"/>
            <w:vAlign w:val="bottom"/>
            <w:shd w:val="clear" w:color="auto" w:fill="CDEAFA"/>
          </w:tcPr>
          <w:p>
            <w:pPr>
              <w:spacing w:after="0"/>
              <w:rPr>
                <w:sz w:val="20"/>
                <w:szCs w:val="20"/>
                <w:color w:val="auto"/>
              </w:rPr>
            </w:pPr>
          </w:p>
        </w:tc>
        <w:tc>
          <w:tcPr>
            <w:tcW w:w="100" w:type="dxa"/>
            <w:vAlign w:val="bottom"/>
            <w:shd w:val="clear" w:color="auto" w:fill="CDEAFA"/>
          </w:tcPr>
          <w:p>
            <w:pPr>
              <w:spacing w:after="0"/>
              <w:rPr>
                <w:sz w:val="20"/>
                <w:szCs w:val="20"/>
                <w:color w:val="auto"/>
              </w:rPr>
            </w:pPr>
          </w:p>
        </w:tc>
        <w:tc>
          <w:tcPr>
            <w:tcW w:w="660" w:type="dxa"/>
            <w:vAlign w:val="bottom"/>
            <w:shd w:val="clear" w:color="auto" w:fill="CDEAFA"/>
          </w:tcPr>
          <w:p>
            <w:pPr>
              <w:spacing w:after="0"/>
              <w:rPr>
                <w:sz w:val="20"/>
                <w:szCs w:val="20"/>
                <w:color w:val="auto"/>
              </w:rPr>
            </w:pPr>
          </w:p>
        </w:tc>
      </w:tr>
      <w:tr>
        <w:trPr>
          <w:trHeight w:val="269"/>
        </w:trPr>
        <w:tc>
          <w:tcPr>
            <w:tcW w:w="2940" w:type="dxa"/>
            <w:vAlign w:val="bottom"/>
            <w:shd w:val="clear" w:color="auto" w:fill="CDEAFA"/>
          </w:tcPr>
          <w:p>
            <w:pPr>
              <w:spacing w:after="0"/>
              <w:rPr>
                <w:sz w:val="23"/>
                <w:szCs w:val="23"/>
                <w:color w:val="auto"/>
              </w:rPr>
            </w:pPr>
          </w:p>
        </w:tc>
        <w:tc>
          <w:tcPr>
            <w:tcW w:w="120" w:type="dxa"/>
            <w:vAlign w:val="bottom"/>
            <w:shd w:val="clear" w:color="auto" w:fill="CDEAFA"/>
          </w:tcPr>
          <w:p>
            <w:pPr>
              <w:spacing w:after="0"/>
              <w:rPr>
                <w:sz w:val="23"/>
                <w:szCs w:val="23"/>
                <w:color w:val="auto"/>
              </w:rPr>
            </w:pPr>
          </w:p>
        </w:tc>
        <w:tc>
          <w:tcPr>
            <w:tcW w:w="5200" w:type="dxa"/>
            <w:vAlign w:val="bottom"/>
            <w:gridSpan w:val="3"/>
            <w:shd w:val="clear" w:color="auto" w:fill="CDEAFA"/>
          </w:tcPr>
          <w:p>
            <w:pPr>
              <w:spacing w:after="0"/>
              <w:rPr>
                <w:sz w:val="20"/>
                <w:szCs w:val="20"/>
                <w:color w:val="auto"/>
              </w:rPr>
            </w:pPr>
            <w:r>
              <w:rPr>
                <w:rFonts w:ascii="Arial" w:cs="Arial" w:eastAsia="Arial" w:hAnsi="Arial"/>
                <w:sz w:val="18"/>
                <w:szCs w:val="18"/>
                <w:color w:val="auto"/>
              </w:rPr>
              <w:t>- Metastatic or locally advanced basal cell carcinoma (“BCC”)</w:t>
            </w:r>
          </w:p>
        </w:tc>
        <w:tc>
          <w:tcPr>
            <w:tcW w:w="780" w:type="dxa"/>
            <w:vAlign w:val="bottom"/>
            <w:gridSpan w:val="2"/>
            <w:shd w:val="clear" w:color="auto" w:fill="CDEAFA"/>
          </w:tcPr>
          <w:p>
            <w:pPr>
              <w:jc w:val="center"/>
              <w:ind w:right="120"/>
              <w:spacing w:after="0"/>
              <w:rPr>
                <w:sz w:val="20"/>
                <w:szCs w:val="20"/>
                <w:color w:val="auto"/>
              </w:rPr>
            </w:pPr>
            <w:r>
              <w:rPr>
                <w:rFonts w:ascii="Arial" w:cs="Arial" w:eastAsia="Arial" w:hAnsi="Arial"/>
                <w:sz w:val="18"/>
                <w:szCs w:val="18"/>
                <w:color w:val="auto"/>
                <w:w w:val="99"/>
              </w:rPr>
              <w:t>ü</w:t>
            </w:r>
          </w:p>
        </w:tc>
        <w:tc>
          <w:tcPr>
            <w:tcW w:w="76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99"/>
              </w:rPr>
              <w:t>ü</w:t>
            </w:r>
          </w:p>
        </w:tc>
        <w:tc>
          <w:tcPr>
            <w:tcW w:w="680" w:type="dxa"/>
            <w:vAlign w:val="bottom"/>
            <w:shd w:val="clear" w:color="auto" w:fill="CDEAFA"/>
          </w:tcPr>
          <w:p>
            <w:pPr>
              <w:spacing w:after="0"/>
              <w:rPr>
                <w:sz w:val="23"/>
                <w:szCs w:val="23"/>
                <w:color w:val="auto"/>
              </w:rPr>
            </w:pPr>
          </w:p>
        </w:tc>
        <w:tc>
          <w:tcPr>
            <w:tcW w:w="100" w:type="dxa"/>
            <w:vAlign w:val="bottom"/>
            <w:shd w:val="clear" w:color="auto" w:fill="CDEAFA"/>
          </w:tcPr>
          <w:p>
            <w:pPr>
              <w:spacing w:after="0"/>
              <w:rPr>
                <w:sz w:val="23"/>
                <w:szCs w:val="23"/>
                <w:color w:val="auto"/>
              </w:rPr>
            </w:pPr>
          </w:p>
        </w:tc>
        <w:tc>
          <w:tcPr>
            <w:tcW w:w="660" w:type="dxa"/>
            <w:vAlign w:val="bottom"/>
            <w:shd w:val="clear" w:color="auto" w:fill="CDEAFA"/>
          </w:tcPr>
          <w:p>
            <w:pPr>
              <w:jc w:val="center"/>
              <w:spacing w:after="0"/>
              <w:rPr>
                <w:sz w:val="20"/>
                <w:szCs w:val="20"/>
                <w:color w:val="auto"/>
              </w:rPr>
            </w:pPr>
            <w:r>
              <w:rPr>
                <w:rFonts w:ascii="Arial" w:cs="Arial" w:eastAsia="Arial" w:hAnsi="Arial"/>
                <w:sz w:val="18"/>
                <w:szCs w:val="18"/>
                <w:color w:val="auto"/>
                <w:w w:val="99"/>
              </w:rPr>
              <w:t>ü</w:t>
            </w:r>
          </w:p>
        </w:tc>
      </w:tr>
      <w:tr>
        <w:trPr>
          <w:trHeight w:val="256"/>
        </w:trPr>
        <w:tc>
          <w:tcPr>
            <w:tcW w:w="2940" w:type="dxa"/>
            <w:vAlign w:val="bottom"/>
            <w:shd w:val="clear" w:color="auto" w:fill="CDEAFA"/>
          </w:tcPr>
          <w:p>
            <w:pPr>
              <w:spacing w:after="0"/>
              <w:rPr>
                <w:sz w:val="22"/>
                <w:szCs w:val="22"/>
                <w:color w:val="auto"/>
              </w:rPr>
            </w:pPr>
          </w:p>
        </w:tc>
        <w:tc>
          <w:tcPr>
            <w:tcW w:w="120" w:type="dxa"/>
            <w:vAlign w:val="bottom"/>
            <w:shd w:val="clear" w:color="auto" w:fill="CDEAFA"/>
          </w:tcPr>
          <w:p>
            <w:pPr>
              <w:spacing w:after="0"/>
              <w:rPr>
                <w:sz w:val="22"/>
                <w:szCs w:val="22"/>
                <w:color w:val="auto"/>
              </w:rPr>
            </w:pPr>
          </w:p>
        </w:tc>
        <w:tc>
          <w:tcPr>
            <w:tcW w:w="5200" w:type="dxa"/>
            <w:vAlign w:val="bottom"/>
            <w:gridSpan w:val="3"/>
            <w:shd w:val="clear" w:color="auto" w:fill="CDEAFA"/>
          </w:tcPr>
          <w:p>
            <w:pPr>
              <w:spacing w:after="0"/>
              <w:rPr>
                <w:sz w:val="20"/>
                <w:szCs w:val="20"/>
                <w:color w:val="auto"/>
              </w:rPr>
            </w:pPr>
            <w:r>
              <w:rPr>
                <w:rFonts w:ascii="Arial" w:cs="Arial" w:eastAsia="Arial" w:hAnsi="Arial"/>
                <w:sz w:val="18"/>
                <w:szCs w:val="18"/>
                <w:color w:val="auto"/>
                <w:w w:val="94"/>
              </w:rPr>
              <w:t>- Metastatic or locally advanced cutaneous squamous cell carcinoma</w:t>
            </w:r>
          </w:p>
        </w:tc>
        <w:tc>
          <w:tcPr>
            <w:tcW w:w="780" w:type="dxa"/>
            <w:vAlign w:val="bottom"/>
            <w:gridSpan w:val="2"/>
            <w:shd w:val="clear" w:color="auto" w:fill="CDEAFA"/>
          </w:tcPr>
          <w:p>
            <w:pPr>
              <w:jc w:val="center"/>
              <w:ind w:right="120"/>
              <w:spacing w:after="0"/>
              <w:rPr>
                <w:sz w:val="20"/>
                <w:szCs w:val="20"/>
                <w:color w:val="auto"/>
              </w:rPr>
            </w:pPr>
            <w:r>
              <w:rPr>
                <w:rFonts w:ascii="Arial" w:cs="Arial" w:eastAsia="Arial" w:hAnsi="Arial"/>
                <w:sz w:val="18"/>
                <w:szCs w:val="18"/>
                <w:color w:val="auto"/>
                <w:w w:val="99"/>
              </w:rPr>
              <w:t>ü</w:t>
            </w:r>
          </w:p>
        </w:tc>
        <w:tc>
          <w:tcPr>
            <w:tcW w:w="76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99"/>
              </w:rPr>
              <w:t>ü</w:t>
            </w:r>
          </w:p>
        </w:tc>
        <w:tc>
          <w:tcPr>
            <w:tcW w:w="680" w:type="dxa"/>
            <w:vAlign w:val="bottom"/>
            <w:shd w:val="clear" w:color="auto" w:fill="CDEAFA"/>
          </w:tcPr>
          <w:p>
            <w:pPr>
              <w:spacing w:after="0"/>
              <w:rPr>
                <w:sz w:val="22"/>
                <w:szCs w:val="22"/>
                <w:color w:val="auto"/>
              </w:rPr>
            </w:pPr>
          </w:p>
        </w:tc>
        <w:tc>
          <w:tcPr>
            <w:tcW w:w="100" w:type="dxa"/>
            <w:vAlign w:val="bottom"/>
            <w:shd w:val="clear" w:color="auto" w:fill="CDEAFA"/>
          </w:tcPr>
          <w:p>
            <w:pPr>
              <w:spacing w:after="0"/>
              <w:rPr>
                <w:sz w:val="22"/>
                <w:szCs w:val="22"/>
                <w:color w:val="auto"/>
              </w:rPr>
            </w:pPr>
          </w:p>
        </w:tc>
        <w:tc>
          <w:tcPr>
            <w:tcW w:w="660" w:type="dxa"/>
            <w:vAlign w:val="bottom"/>
            <w:shd w:val="clear" w:color="auto" w:fill="CDEAFA"/>
          </w:tcPr>
          <w:p>
            <w:pPr>
              <w:jc w:val="center"/>
              <w:spacing w:after="0"/>
              <w:rPr>
                <w:sz w:val="20"/>
                <w:szCs w:val="20"/>
                <w:color w:val="auto"/>
              </w:rPr>
            </w:pPr>
            <w:r>
              <w:rPr>
                <w:rFonts w:ascii="Arial" w:cs="Arial" w:eastAsia="Arial" w:hAnsi="Arial"/>
                <w:sz w:val="18"/>
                <w:szCs w:val="18"/>
                <w:color w:val="auto"/>
                <w:w w:val="99"/>
              </w:rPr>
              <w:t>ü</w:t>
            </w:r>
          </w:p>
        </w:tc>
      </w:tr>
      <w:tr>
        <w:trPr>
          <w:trHeight w:val="237"/>
        </w:trPr>
        <w:tc>
          <w:tcPr>
            <w:tcW w:w="2940" w:type="dxa"/>
            <w:vAlign w:val="bottom"/>
            <w:tcBorders>
              <w:bottom w:val="single" w:sz="8" w:color="CDEAFA"/>
            </w:tcBorders>
            <w:shd w:val="clear" w:color="auto" w:fill="CDEAFA"/>
          </w:tcPr>
          <w:p>
            <w:pPr>
              <w:spacing w:after="0"/>
              <w:rPr>
                <w:sz w:val="20"/>
                <w:szCs w:val="20"/>
                <w:color w:val="auto"/>
              </w:rPr>
            </w:pPr>
          </w:p>
        </w:tc>
        <w:tc>
          <w:tcPr>
            <w:tcW w:w="120" w:type="dxa"/>
            <w:vAlign w:val="bottom"/>
            <w:tcBorders>
              <w:bottom w:val="single" w:sz="8" w:color="CDEAFA"/>
            </w:tcBorders>
            <w:shd w:val="clear" w:color="auto" w:fill="CDEAFA"/>
          </w:tcPr>
          <w:p>
            <w:pPr>
              <w:spacing w:after="0"/>
              <w:rPr>
                <w:sz w:val="20"/>
                <w:szCs w:val="20"/>
                <w:color w:val="auto"/>
              </w:rPr>
            </w:pPr>
          </w:p>
        </w:tc>
        <w:tc>
          <w:tcPr>
            <w:tcW w:w="5200" w:type="dxa"/>
            <w:vAlign w:val="bottom"/>
            <w:tcBorders>
              <w:bottom w:val="single" w:sz="8" w:color="CDEAFA"/>
            </w:tcBorders>
            <w:gridSpan w:val="3"/>
            <w:shd w:val="clear" w:color="auto" w:fill="CDEAFA"/>
          </w:tcPr>
          <w:p>
            <w:pPr>
              <w:ind w:left="120"/>
              <w:spacing w:after="0"/>
              <w:rPr>
                <w:sz w:val="20"/>
                <w:szCs w:val="20"/>
                <w:color w:val="auto"/>
              </w:rPr>
            </w:pPr>
            <w:r>
              <w:rPr>
                <w:rFonts w:ascii="Arial" w:cs="Arial" w:eastAsia="Arial" w:hAnsi="Arial"/>
                <w:sz w:val="18"/>
                <w:szCs w:val="18"/>
                <w:color w:val="auto"/>
              </w:rPr>
              <w:t>(“CSCC”)</w:t>
            </w:r>
          </w:p>
        </w:tc>
        <w:tc>
          <w:tcPr>
            <w:tcW w:w="680" w:type="dxa"/>
            <w:vAlign w:val="bottom"/>
            <w:tcBorders>
              <w:bottom w:val="single" w:sz="8" w:color="CDEAFA"/>
            </w:tcBorders>
            <w:shd w:val="clear" w:color="auto" w:fill="CDEAFA"/>
          </w:tcPr>
          <w:p>
            <w:pPr>
              <w:spacing w:after="0"/>
              <w:rPr>
                <w:sz w:val="20"/>
                <w:szCs w:val="20"/>
                <w:color w:val="auto"/>
              </w:rPr>
            </w:pPr>
          </w:p>
        </w:tc>
        <w:tc>
          <w:tcPr>
            <w:tcW w:w="100" w:type="dxa"/>
            <w:vAlign w:val="bottom"/>
            <w:tcBorders>
              <w:bottom w:val="single" w:sz="8" w:color="CDEAFA"/>
            </w:tcBorders>
            <w:shd w:val="clear" w:color="auto" w:fill="CDEAFA"/>
          </w:tcPr>
          <w:p>
            <w:pPr>
              <w:spacing w:after="0"/>
              <w:rPr>
                <w:sz w:val="20"/>
                <w:szCs w:val="20"/>
                <w:color w:val="auto"/>
              </w:rPr>
            </w:pPr>
          </w:p>
        </w:tc>
        <w:tc>
          <w:tcPr>
            <w:tcW w:w="660" w:type="dxa"/>
            <w:vAlign w:val="bottom"/>
            <w:tcBorders>
              <w:bottom w:val="single" w:sz="8" w:color="CDEAFA"/>
            </w:tcBorders>
            <w:shd w:val="clear" w:color="auto" w:fill="CDEAFA"/>
          </w:tcPr>
          <w:p>
            <w:pPr>
              <w:spacing w:after="0"/>
              <w:rPr>
                <w:sz w:val="20"/>
                <w:szCs w:val="20"/>
                <w:color w:val="auto"/>
              </w:rPr>
            </w:pPr>
          </w:p>
        </w:tc>
        <w:tc>
          <w:tcPr>
            <w:tcW w:w="100" w:type="dxa"/>
            <w:vAlign w:val="bottom"/>
            <w:tcBorders>
              <w:bottom w:val="single" w:sz="8" w:color="CDEAFA"/>
            </w:tcBorders>
            <w:shd w:val="clear" w:color="auto" w:fill="CDEAFA"/>
          </w:tcPr>
          <w:p>
            <w:pPr>
              <w:spacing w:after="0"/>
              <w:rPr>
                <w:sz w:val="20"/>
                <w:szCs w:val="20"/>
                <w:color w:val="auto"/>
              </w:rPr>
            </w:pPr>
          </w:p>
        </w:tc>
        <w:tc>
          <w:tcPr>
            <w:tcW w:w="680" w:type="dxa"/>
            <w:vAlign w:val="bottom"/>
            <w:tcBorders>
              <w:bottom w:val="single" w:sz="8" w:color="CDEAFA"/>
            </w:tcBorders>
            <w:shd w:val="clear" w:color="auto" w:fill="CDEAFA"/>
          </w:tcPr>
          <w:p>
            <w:pPr>
              <w:spacing w:after="0"/>
              <w:rPr>
                <w:sz w:val="20"/>
                <w:szCs w:val="20"/>
                <w:color w:val="auto"/>
              </w:rPr>
            </w:pPr>
          </w:p>
        </w:tc>
        <w:tc>
          <w:tcPr>
            <w:tcW w:w="100" w:type="dxa"/>
            <w:vAlign w:val="bottom"/>
            <w:tcBorders>
              <w:bottom w:val="single" w:sz="8" w:color="CDEAFA"/>
            </w:tcBorders>
            <w:shd w:val="clear" w:color="auto" w:fill="CDEAFA"/>
          </w:tcPr>
          <w:p>
            <w:pPr>
              <w:spacing w:after="0"/>
              <w:rPr>
                <w:sz w:val="20"/>
                <w:szCs w:val="20"/>
                <w:color w:val="auto"/>
              </w:rPr>
            </w:pPr>
          </w:p>
        </w:tc>
        <w:tc>
          <w:tcPr>
            <w:tcW w:w="660" w:type="dxa"/>
            <w:vAlign w:val="bottom"/>
            <w:tcBorders>
              <w:bottom w:val="single" w:sz="8" w:color="CDEAFA"/>
            </w:tcBorders>
            <w:shd w:val="clear" w:color="auto" w:fill="CDEAFA"/>
          </w:tcPr>
          <w:p>
            <w:pPr>
              <w:spacing w:after="0"/>
              <w:rPr>
                <w:sz w:val="20"/>
                <w:szCs w:val="20"/>
                <w:color w:val="auto"/>
              </w:rPr>
            </w:pPr>
          </w:p>
        </w:tc>
      </w:tr>
      <w:tr>
        <w:trPr>
          <w:trHeight w:val="230"/>
        </w:trPr>
        <w:tc>
          <w:tcPr>
            <w:tcW w:w="2940" w:type="dxa"/>
            <w:vAlign w:val="bottom"/>
          </w:tcPr>
          <w:p>
            <w:pPr>
              <w:spacing w:after="0" w:line="230" w:lineRule="exact"/>
              <w:rPr>
                <w:sz w:val="20"/>
                <w:szCs w:val="20"/>
                <w:color w:val="auto"/>
              </w:rPr>
            </w:pPr>
            <w:r>
              <w:rPr>
                <w:rFonts w:ascii="Arial" w:cs="Arial" w:eastAsia="Arial" w:hAnsi="Arial"/>
                <w:sz w:val="16"/>
                <w:szCs w:val="16"/>
                <w:color w:val="auto"/>
              </w:rPr>
              <w:t>Praluent (alirocumab) Injection</w:t>
            </w:r>
            <w:r>
              <w:rPr>
                <w:rFonts w:ascii="Arial" w:cs="Arial" w:eastAsia="Arial" w:hAnsi="Arial"/>
                <w:sz w:val="26"/>
                <w:szCs w:val="26"/>
                <w:color w:val="auto"/>
                <w:vertAlign w:val="superscript"/>
              </w:rPr>
              <w:t>(3)</w:t>
            </w:r>
          </w:p>
        </w:tc>
        <w:tc>
          <w:tcPr>
            <w:tcW w:w="1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 LDL-lowering in heterozygous familial hypercholesterolemia</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ü</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15"/>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(“HeFH”) or clinical atherosclerotic cardiovascular disease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(“ASCVD”)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6"/>
        </w:trPr>
        <w:tc>
          <w:tcPr>
            <w:tcW w:w="2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 Cardiovascular risk reduction in patients with established</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ü</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30"/>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cardiovascular disease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2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 Homozygous familial hypercholesterolemia (“HoFH”)</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10"/>
        </w:trPr>
        <w:tc>
          <w:tcPr>
            <w:tcW w:w="2940" w:type="dxa"/>
            <w:vAlign w:val="bottom"/>
            <w:shd w:val="clear" w:color="auto" w:fill="CDEAFA"/>
          </w:tcPr>
          <w:p>
            <w:pPr>
              <w:spacing w:after="0" w:line="310" w:lineRule="exact"/>
              <w:rPr>
                <w:sz w:val="20"/>
                <w:szCs w:val="20"/>
                <w:color w:val="auto"/>
              </w:rPr>
            </w:pPr>
            <w:r>
              <w:rPr>
                <w:rFonts w:ascii="Arial" w:cs="Arial" w:eastAsia="Arial" w:hAnsi="Arial"/>
                <w:sz w:val="18"/>
                <w:szCs w:val="18"/>
                <w:color w:val="auto"/>
              </w:rPr>
              <w:t>REGEN-COV</w:t>
            </w:r>
            <w:r>
              <w:rPr>
                <w:rFonts w:ascii="Arial" w:cs="Arial" w:eastAsia="Arial" w:hAnsi="Arial"/>
                <w:sz w:val="29"/>
                <w:szCs w:val="29"/>
                <w:color w:val="auto"/>
                <w:vertAlign w:val="superscript"/>
              </w:rPr>
              <w:t>(5)</w:t>
            </w:r>
          </w:p>
        </w:tc>
        <w:tc>
          <w:tcPr>
            <w:tcW w:w="120" w:type="dxa"/>
            <w:vAlign w:val="bottom"/>
            <w:shd w:val="clear" w:color="auto" w:fill="CDEAFA"/>
          </w:tcPr>
          <w:p>
            <w:pPr>
              <w:spacing w:after="0"/>
              <w:rPr>
                <w:sz w:val="24"/>
                <w:szCs w:val="24"/>
                <w:color w:val="auto"/>
              </w:rPr>
            </w:pPr>
          </w:p>
        </w:tc>
        <w:tc>
          <w:tcPr>
            <w:tcW w:w="5200" w:type="dxa"/>
            <w:vAlign w:val="bottom"/>
            <w:gridSpan w:val="3"/>
            <w:shd w:val="clear" w:color="auto" w:fill="CDEAFA"/>
          </w:tcPr>
          <w:p>
            <w:pPr>
              <w:spacing w:after="0"/>
              <w:rPr>
                <w:sz w:val="20"/>
                <w:szCs w:val="20"/>
                <w:color w:val="auto"/>
              </w:rPr>
            </w:pPr>
            <w:r>
              <w:rPr>
                <w:rFonts w:ascii="Arial" w:cs="Arial" w:eastAsia="Arial" w:hAnsi="Arial"/>
                <w:sz w:val="18"/>
                <w:szCs w:val="18"/>
                <w:color w:val="auto"/>
              </w:rPr>
              <w:t>- COVID-19</w:t>
            </w:r>
          </w:p>
        </w:tc>
        <w:tc>
          <w:tcPr>
            <w:tcW w:w="680" w:type="dxa"/>
            <w:vAlign w:val="bottom"/>
            <w:shd w:val="clear" w:color="auto" w:fill="CDEAFA"/>
          </w:tcPr>
          <w:p>
            <w:pPr>
              <w:spacing w:after="0"/>
              <w:rPr>
                <w:sz w:val="24"/>
                <w:szCs w:val="24"/>
                <w:color w:val="auto"/>
              </w:rPr>
            </w:pPr>
          </w:p>
        </w:tc>
        <w:tc>
          <w:tcPr>
            <w:tcW w:w="100" w:type="dxa"/>
            <w:vAlign w:val="bottom"/>
            <w:shd w:val="clear" w:color="auto" w:fill="CDEAFA"/>
          </w:tcPr>
          <w:p>
            <w:pPr>
              <w:spacing w:after="0"/>
              <w:rPr>
                <w:sz w:val="24"/>
                <w:szCs w:val="24"/>
                <w:color w:val="auto"/>
              </w:rPr>
            </w:pPr>
          </w:p>
        </w:tc>
        <w:tc>
          <w:tcPr>
            <w:tcW w:w="76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99"/>
              </w:rPr>
              <w:t>ü</w:t>
            </w:r>
          </w:p>
        </w:tc>
        <w:tc>
          <w:tcPr>
            <w:tcW w:w="78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79"/>
              </w:rPr>
              <w:t>ü</w:t>
            </w:r>
          </w:p>
        </w:tc>
        <w:tc>
          <w:tcPr>
            <w:tcW w:w="660" w:type="dxa"/>
            <w:vAlign w:val="bottom"/>
            <w:shd w:val="clear" w:color="auto" w:fill="CDEAFA"/>
          </w:tcPr>
          <w:p>
            <w:pPr>
              <w:jc w:val="center"/>
              <w:spacing w:after="0"/>
              <w:rPr>
                <w:sz w:val="20"/>
                <w:szCs w:val="20"/>
                <w:color w:val="auto"/>
              </w:rPr>
            </w:pPr>
            <w:r>
              <w:rPr>
                <w:rFonts w:ascii="Arial" w:cs="Arial" w:eastAsia="Arial" w:hAnsi="Arial"/>
                <w:sz w:val="18"/>
                <w:szCs w:val="18"/>
                <w:color w:val="auto"/>
                <w:w w:val="99"/>
              </w:rPr>
              <w:t>ü</w:t>
            </w:r>
          </w:p>
        </w:tc>
      </w:tr>
      <w:tr>
        <w:trPr>
          <w:trHeight w:val="232"/>
        </w:trPr>
        <w:tc>
          <w:tcPr>
            <w:tcW w:w="2940" w:type="dxa"/>
            <w:vAlign w:val="bottom"/>
          </w:tcPr>
          <w:p>
            <w:pPr>
              <w:spacing w:after="0"/>
              <w:rPr>
                <w:sz w:val="20"/>
                <w:szCs w:val="20"/>
                <w:color w:val="auto"/>
              </w:rPr>
            </w:pPr>
            <w:r>
              <w:rPr>
                <w:rFonts w:ascii="Arial" w:cs="Arial" w:eastAsia="Arial" w:hAnsi="Arial"/>
                <w:sz w:val="18"/>
                <w:szCs w:val="18"/>
                <w:color w:val="auto"/>
              </w:rPr>
              <w:t>Kevzara (sarilumab) Solution for</w:t>
            </w:r>
          </w:p>
        </w:tc>
        <w:tc>
          <w:tcPr>
            <w:tcW w:w="120" w:type="dxa"/>
            <w:vAlign w:val="bottom"/>
          </w:tcPr>
          <w:p>
            <w:pPr>
              <w:spacing w:after="0"/>
              <w:rPr>
                <w:sz w:val="20"/>
                <w:szCs w:val="20"/>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 Rheumatoid arthritis (“RA”)</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ü</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ü</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94"/>
        </w:trPr>
        <w:tc>
          <w:tcPr>
            <w:tcW w:w="2940" w:type="dxa"/>
            <w:vAlign w:val="bottom"/>
          </w:tcPr>
          <w:p>
            <w:pPr>
              <w:spacing w:after="0" w:line="294"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9"/>
                <w:szCs w:val="29"/>
                <w:color w:val="auto"/>
                <w:vertAlign w:val="superscript"/>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11"/>
        </w:trPr>
        <w:tc>
          <w:tcPr>
            <w:tcW w:w="2940" w:type="dxa"/>
            <w:vAlign w:val="bottom"/>
            <w:shd w:val="clear" w:color="auto" w:fill="CDEAFA"/>
          </w:tcPr>
          <w:p>
            <w:pPr>
              <w:spacing w:after="0" w:line="310" w:lineRule="exact"/>
              <w:rPr>
                <w:sz w:val="20"/>
                <w:szCs w:val="20"/>
                <w:color w:val="auto"/>
              </w:rPr>
            </w:pPr>
            <w:r>
              <w:rPr>
                <w:rFonts w:ascii="Arial" w:cs="Arial" w:eastAsia="Arial" w:hAnsi="Arial"/>
                <w:sz w:val="18"/>
                <w:szCs w:val="18"/>
                <w:color w:val="auto"/>
              </w:rPr>
              <w:t>Evkeeza (evinacumab) Injection</w:t>
            </w:r>
            <w:r>
              <w:rPr>
                <w:rFonts w:ascii="Arial" w:cs="Arial" w:eastAsia="Arial" w:hAnsi="Arial"/>
                <w:sz w:val="29"/>
                <w:szCs w:val="29"/>
                <w:color w:val="auto"/>
                <w:vertAlign w:val="superscript"/>
              </w:rPr>
              <w:t>(6)</w:t>
            </w:r>
          </w:p>
        </w:tc>
        <w:tc>
          <w:tcPr>
            <w:tcW w:w="120" w:type="dxa"/>
            <w:vAlign w:val="bottom"/>
            <w:shd w:val="clear" w:color="auto" w:fill="CDEAFA"/>
          </w:tcPr>
          <w:p>
            <w:pPr>
              <w:spacing w:after="0"/>
              <w:rPr>
                <w:sz w:val="24"/>
                <w:szCs w:val="24"/>
                <w:color w:val="auto"/>
              </w:rPr>
            </w:pPr>
          </w:p>
        </w:tc>
        <w:tc>
          <w:tcPr>
            <w:tcW w:w="5200" w:type="dxa"/>
            <w:vAlign w:val="bottom"/>
            <w:gridSpan w:val="3"/>
            <w:shd w:val="clear" w:color="auto" w:fill="CDEAFA"/>
          </w:tcPr>
          <w:p>
            <w:pPr>
              <w:spacing w:after="0"/>
              <w:rPr>
                <w:sz w:val="20"/>
                <w:szCs w:val="20"/>
                <w:color w:val="auto"/>
              </w:rPr>
            </w:pPr>
            <w:r>
              <w:rPr>
                <w:rFonts w:ascii="Arial" w:cs="Arial" w:eastAsia="Arial" w:hAnsi="Arial"/>
                <w:sz w:val="18"/>
                <w:szCs w:val="18"/>
                <w:color w:val="auto"/>
              </w:rPr>
              <w:t>- HoFH (in adults and adolescents)</w:t>
            </w:r>
          </w:p>
        </w:tc>
        <w:tc>
          <w:tcPr>
            <w:tcW w:w="780" w:type="dxa"/>
            <w:vAlign w:val="bottom"/>
            <w:gridSpan w:val="2"/>
            <w:shd w:val="clear" w:color="auto" w:fill="CDEAFA"/>
          </w:tcPr>
          <w:p>
            <w:pPr>
              <w:jc w:val="center"/>
              <w:ind w:right="120"/>
              <w:spacing w:after="0"/>
              <w:rPr>
                <w:sz w:val="20"/>
                <w:szCs w:val="20"/>
                <w:color w:val="auto"/>
              </w:rPr>
            </w:pPr>
            <w:r>
              <w:rPr>
                <w:rFonts w:ascii="Arial" w:cs="Arial" w:eastAsia="Arial" w:hAnsi="Arial"/>
                <w:sz w:val="18"/>
                <w:szCs w:val="18"/>
                <w:color w:val="auto"/>
                <w:w w:val="99"/>
              </w:rPr>
              <w:t>ü</w:t>
            </w:r>
          </w:p>
        </w:tc>
        <w:tc>
          <w:tcPr>
            <w:tcW w:w="760" w:type="dxa"/>
            <w:vAlign w:val="bottom"/>
            <w:gridSpan w:val="2"/>
            <w:shd w:val="clear" w:color="auto" w:fill="CDEAFA"/>
          </w:tcPr>
          <w:p>
            <w:pPr>
              <w:jc w:val="center"/>
              <w:ind w:right="100"/>
              <w:spacing w:after="0"/>
              <w:rPr>
                <w:sz w:val="20"/>
                <w:szCs w:val="20"/>
                <w:color w:val="auto"/>
              </w:rPr>
            </w:pPr>
            <w:r>
              <w:rPr>
                <w:rFonts w:ascii="Arial" w:cs="Arial" w:eastAsia="Arial" w:hAnsi="Arial"/>
                <w:sz w:val="18"/>
                <w:szCs w:val="18"/>
                <w:color w:val="auto"/>
                <w:w w:val="99"/>
              </w:rPr>
              <w:t>ü</w:t>
            </w:r>
          </w:p>
        </w:tc>
        <w:tc>
          <w:tcPr>
            <w:tcW w:w="680" w:type="dxa"/>
            <w:vAlign w:val="bottom"/>
            <w:shd w:val="clear" w:color="auto" w:fill="CDEAFA"/>
          </w:tcPr>
          <w:p>
            <w:pPr>
              <w:spacing w:after="0"/>
              <w:rPr>
                <w:sz w:val="24"/>
                <w:szCs w:val="24"/>
                <w:color w:val="auto"/>
              </w:rPr>
            </w:pPr>
          </w:p>
        </w:tc>
        <w:tc>
          <w:tcPr>
            <w:tcW w:w="100" w:type="dxa"/>
            <w:vAlign w:val="bottom"/>
            <w:shd w:val="clear" w:color="auto" w:fill="CDEAFA"/>
          </w:tcPr>
          <w:p>
            <w:pPr>
              <w:spacing w:after="0"/>
              <w:rPr>
                <w:sz w:val="24"/>
                <w:szCs w:val="24"/>
                <w:color w:val="auto"/>
              </w:rPr>
            </w:pPr>
          </w:p>
        </w:tc>
        <w:tc>
          <w:tcPr>
            <w:tcW w:w="660" w:type="dxa"/>
            <w:vAlign w:val="bottom"/>
            <w:shd w:val="clear" w:color="auto" w:fill="CDEAFA"/>
          </w:tcPr>
          <w:p>
            <w:pPr>
              <w:spacing w:after="0"/>
              <w:rPr>
                <w:sz w:val="24"/>
                <w:szCs w:val="24"/>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w w:val="96"/>
              </w:rPr>
              <w:t>Inmazeb (atoltivimab, maftivimab, and</w:t>
            </w:r>
          </w:p>
        </w:tc>
        <w:tc>
          <w:tcPr>
            <w:tcW w:w="1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 xml:space="preserve">- Infection caused by </w:t>
            </w:r>
            <w:r>
              <w:rPr>
                <w:rFonts w:ascii="Arial" w:cs="Arial" w:eastAsia="Arial" w:hAnsi="Arial"/>
                <w:sz w:val="18"/>
                <w:szCs w:val="18"/>
                <w:i w:val="1"/>
                <w:iCs w:val="1"/>
                <w:color w:val="auto"/>
              </w:rPr>
              <w:t>Zaire ebolavirus</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odesivimab-ebgn) Injection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2940" w:type="dxa"/>
            <w:vAlign w:val="bottom"/>
            <w:shd w:val="clear" w:color="auto" w:fill="CDEAFA"/>
          </w:tcPr>
          <w:p>
            <w:pPr>
              <w:spacing w:after="0" w:line="230" w:lineRule="exact"/>
              <w:rPr>
                <w:sz w:val="20"/>
                <w:szCs w:val="20"/>
                <w:color w:val="auto"/>
              </w:rPr>
            </w:pPr>
            <w:r>
              <w:rPr>
                <w:rFonts w:ascii="Arial" w:cs="Arial" w:eastAsia="Arial" w:hAnsi="Arial"/>
                <w:sz w:val="16"/>
                <w:szCs w:val="16"/>
                <w:color w:val="auto"/>
              </w:rPr>
              <w:t>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w:t>
            </w:r>
          </w:p>
        </w:tc>
        <w:tc>
          <w:tcPr>
            <w:tcW w:w="120" w:type="dxa"/>
            <w:vAlign w:val="bottom"/>
            <w:shd w:val="clear" w:color="auto" w:fill="CDEAFA"/>
          </w:tcPr>
          <w:p>
            <w:pPr>
              <w:spacing w:after="0"/>
              <w:rPr>
                <w:sz w:val="19"/>
                <w:szCs w:val="19"/>
                <w:color w:val="auto"/>
              </w:rPr>
            </w:pPr>
          </w:p>
        </w:tc>
        <w:tc>
          <w:tcPr>
            <w:tcW w:w="5200" w:type="dxa"/>
            <w:vAlign w:val="bottom"/>
            <w:gridSpan w:val="3"/>
            <w:shd w:val="clear" w:color="auto" w:fill="CDEAFA"/>
          </w:tcPr>
          <w:p>
            <w:pPr>
              <w:spacing w:after="0"/>
              <w:rPr>
                <w:sz w:val="20"/>
                <w:szCs w:val="20"/>
                <w:color w:val="auto"/>
              </w:rPr>
            </w:pPr>
            <w:r>
              <w:rPr>
                <w:rFonts w:ascii="Arial" w:cs="Arial" w:eastAsia="Arial" w:hAnsi="Arial"/>
                <w:sz w:val="18"/>
                <w:szCs w:val="18"/>
                <w:color w:val="auto"/>
              </w:rPr>
              <w:t>- Cryopyrin-associated periodic syndromes (“CAPS”), including</w:t>
            </w:r>
          </w:p>
        </w:tc>
        <w:tc>
          <w:tcPr>
            <w:tcW w:w="780" w:type="dxa"/>
            <w:vAlign w:val="bottom"/>
            <w:gridSpan w:val="2"/>
            <w:shd w:val="clear" w:color="auto" w:fill="CDEAFA"/>
          </w:tcPr>
          <w:p>
            <w:pPr>
              <w:jc w:val="center"/>
              <w:ind w:right="120"/>
              <w:spacing w:after="0"/>
              <w:rPr>
                <w:sz w:val="20"/>
                <w:szCs w:val="20"/>
                <w:color w:val="auto"/>
              </w:rPr>
            </w:pPr>
            <w:r>
              <w:rPr>
                <w:rFonts w:ascii="Arial" w:cs="Arial" w:eastAsia="Arial" w:hAnsi="Arial"/>
                <w:sz w:val="18"/>
                <w:szCs w:val="18"/>
                <w:color w:val="auto"/>
                <w:w w:val="99"/>
              </w:rPr>
              <w:t>ü</w:t>
            </w:r>
          </w:p>
        </w:tc>
        <w:tc>
          <w:tcPr>
            <w:tcW w:w="66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68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660" w:type="dxa"/>
            <w:vAlign w:val="bottom"/>
            <w:shd w:val="clear" w:color="auto" w:fill="CDEAFA"/>
          </w:tcPr>
          <w:p>
            <w:pPr>
              <w:spacing w:after="0"/>
              <w:rPr>
                <w:sz w:val="19"/>
                <w:szCs w:val="19"/>
                <w:color w:val="auto"/>
              </w:rPr>
            </w:pPr>
          </w:p>
        </w:tc>
      </w:tr>
      <w:tr>
        <w:trPr>
          <w:trHeight w:val="257"/>
        </w:trPr>
        <w:tc>
          <w:tcPr>
            <w:tcW w:w="2940" w:type="dxa"/>
            <w:vAlign w:val="bottom"/>
            <w:shd w:val="clear" w:color="auto" w:fill="CDEAFA"/>
          </w:tcPr>
          <w:p>
            <w:pPr>
              <w:spacing w:after="0" w:line="256" w:lineRule="exact"/>
              <w:rPr>
                <w:sz w:val="20"/>
                <w:szCs w:val="20"/>
                <w:color w:val="auto"/>
              </w:rPr>
            </w:pPr>
            <w:r>
              <w:rPr>
                <w:rFonts w:ascii="Arial" w:cs="Arial" w:eastAsia="Arial" w:hAnsi="Arial"/>
                <w:sz w:val="18"/>
                <w:szCs w:val="18"/>
                <w:color w:val="auto"/>
              </w:rPr>
              <w:t>Subcutaneous Use</w:t>
            </w:r>
            <w:r>
              <w:rPr>
                <w:rFonts w:ascii="Arial" w:cs="Arial" w:eastAsia="Arial" w:hAnsi="Arial"/>
                <w:sz w:val="29"/>
                <w:szCs w:val="29"/>
                <w:color w:val="auto"/>
                <w:vertAlign w:val="superscript"/>
              </w:rPr>
              <w:t>(7)</w:t>
            </w:r>
          </w:p>
        </w:tc>
        <w:tc>
          <w:tcPr>
            <w:tcW w:w="120" w:type="dxa"/>
            <w:vAlign w:val="bottom"/>
            <w:shd w:val="clear" w:color="auto" w:fill="CDEAFA"/>
          </w:tcPr>
          <w:p>
            <w:pPr>
              <w:spacing w:after="0"/>
              <w:rPr>
                <w:sz w:val="22"/>
                <w:szCs w:val="22"/>
                <w:color w:val="auto"/>
              </w:rPr>
            </w:pPr>
          </w:p>
        </w:tc>
        <w:tc>
          <w:tcPr>
            <w:tcW w:w="520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w w:val="99"/>
              </w:rPr>
              <w:t>familial cold auto-inflammatory syndrome (“FCAS”) and Muckle-</w:t>
            </w:r>
          </w:p>
        </w:tc>
        <w:tc>
          <w:tcPr>
            <w:tcW w:w="680" w:type="dxa"/>
            <w:vAlign w:val="bottom"/>
            <w:shd w:val="clear" w:color="auto" w:fill="CDEAFA"/>
          </w:tcPr>
          <w:p>
            <w:pPr>
              <w:spacing w:after="0"/>
              <w:rPr>
                <w:sz w:val="22"/>
                <w:szCs w:val="22"/>
                <w:color w:val="auto"/>
              </w:rPr>
            </w:pPr>
          </w:p>
        </w:tc>
        <w:tc>
          <w:tcPr>
            <w:tcW w:w="100" w:type="dxa"/>
            <w:vAlign w:val="bottom"/>
            <w:shd w:val="clear" w:color="auto" w:fill="CDEAFA"/>
          </w:tcPr>
          <w:p>
            <w:pPr>
              <w:spacing w:after="0"/>
              <w:rPr>
                <w:sz w:val="22"/>
                <w:szCs w:val="22"/>
                <w:color w:val="auto"/>
              </w:rPr>
            </w:pPr>
          </w:p>
        </w:tc>
        <w:tc>
          <w:tcPr>
            <w:tcW w:w="660" w:type="dxa"/>
            <w:vAlign w:val="bottom"/>
            <w:shd w:val="clear" w:color="auto" w:fill="CDEAFA"/>
          </w:tcPr>
          <w:p>
            <w:pPr>
              <w:spacing w:after="0"/>
              <w:rPr>
                <w:sz w:val="22"/>
                <w:szCs w:val="22"/>
                <w:color w:val="auto"/>
              </w:rPr>
            </w:pPr>
          </w:p>
        </w:tc>
        <w:tc>
          <w:tcPr>
            <w:tcW w:w="100" w:type="dxa"/>
            <w:vAlign w:val="bottom"/>
            <w:shd w:val="clear" w:color="auto" w:fill="CDEAFA"/>
          </w:tcPr>
          <w:p>
            <w:pPr>
              <w:spacing w:after="0"/>
              <w:rPr>
                <w:sz w:val="22"/>
                <w:szCs w:val="22"/>
                <w:color w:val="auto"/>
              </w:rPr>
            </w:pPr>
          </w:p>
        </w:tc>
        <w:tc>
          <w:tcPr>
            <w:tcW w:w="680" w:type="dxa"/>
            <w:vAlign w:val="bottom"/>
            <w:shd w:val="clear" w:color="auto" w:fill="CDEAFA"/>
          </w:tcPr>
          <w:p>
            <w:pPr>
              <w:spacing w:after="0"/>
              <w:rPr>
                <w:sz w:val="22"/>
                <w:szCs w:val="22"/>
                <w:color w:val="auto"/>
              </w:rPr>
            </w:pPr>
          </w:p>
        </w:tc>
        <w:tc>
          <w:tcPr>
            <w:tcW w:w="100" w:type="dxa"/>
            <w:vAlign w:val="bottom"/>
            <w:shd w:val="clear" w:color="auto" w:fill="CDEAFA"/>
          </w:tcPr>
          <w:p>
            <w:pPr>
              <w:spacing w:after="0"/>
              <w:rPr>
                <w:sz w:val="22"/>
                <w:szCs w:val="22"/>
                <w:color w:val="auto"/>
              </w:rPr>
            </w:pPr>
          </w:p>
        </w:tc>
        <w:tc>
          <w:tcPr>
            <w:tcW w:w="660" w:type="dxa"/>
            <w:vAlign w:val="bottom"/>
            <w:shd w:val="clear" w:color="auto" w:fill="CDEAFA"/>
          </w:tcPr>
          <w:p>
            <w:pPr>
              <w:spacing w:after="0"/>
              <w:rPr>
                <w:sz w:val="22"/>
                <w:szCs w:val="22"/>
                <w:color w:val="auto"/>
              </w:rPr>
            </w:pPr>
          </w:p>
        </w:tc>
      </w:tr>
      <w:tr>
        <w:trPr>
          <w:trHeight w:val="216"/>
        </w:trPr>
        <w:tc>
          <w:tcPr>
            <w:tcW w:w="29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520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rPr>
              <w:t>Wells syndrome (“MWS”) (in adults and adolescents)</w:t>
            </w:r>
          </w:p>
        </w:tc>
        <w:tc>
          <w:tcPr>
            <w:tcW w:w="6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66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660" w:type="dxa"/>
            <w:vAlign w:val="bottom"/>
            <w:shd w:val="clear" w:color="auto" w:fill="CDEAFA"/>
          </w:tcPr>
          <w:p>
            <w:pPr>
              <w:spacing w:after="0"/>
              <w:rPr>
                <w:sz w:val="18"/>
                <w:szCs w:val="18"/>
                <w:color w:val="auto"/>
              </w:rPr>
            </w:pPr>
          </w:p>
        </w:tc>
      </w:tr>
      <w:tr>
        <w:trPr>
          <w:trHeight w:val="229"/>
        </w:trPr>
        <w:tc>
          <w:tcPr>
            <w:tcW w:w="294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5200" w:type="dxa"/>
            <w:vAlign w:val="bottom"/>
            <w:gridSpan w:val="3"/>
            <w:shd w:val="clear" w:color="auto" w:fill="CDEAFA"/>
          </w:tcPr>
          <w:p>
            <w:pPr>
              <w:spacing w:after="0"/>
              <w:rPr>
                <w:sz w:val="20"/>
                <w:szCs w:val="20"/>
                <w:color w:val="auto"/>
              </w:rPr>
            </w:pPr>
            <w:r>
              <w:rPr>
                <w:rFonts w:ascii="Arial" w:cs="Arial" w:eastAsia="Arial" w:hAnsi="Arial"/>
                <w:sz w:val="18"/>
                <w:szCs w:val="18"/>
                <w:color w:val="auto"/>
                <w:w w:val="98"/>
              </w:rPr>
              <w:t>- Deficiency of interleukin-1 receptor antagonist (“DIRA”) (in adults</w:t>
            </w:r>
          </w:p>
        </w:tc>
        <w:tc>
          <w:tcPr>
            <w:tcW w:w="780" w:type="dxa"/>
            <w:vAlign w:val="bottom"/>
            <w:gridSpan w:val="2"/>
            <w:shd w:val="clear" w:color="auto" w:fill="CDEAFA"/>
          </w:tcPr>
          <w:p>
            <w:pPr>
              <w:jc w:val="center"/>
              <w:ind w:right="120"/>
              <w:spacing w:after="0"/>
              <w:rPr>
                <w:sz w:val="20"/>
                <w:szCs w:val="20"/>
                <w:color w:val="auto"/>
              </w:rPr>
            </w:pPr>
            <w:r>
              <w:rPr>
                <w:rFonts w:ascii="Arial" w:cs="Arial" w:eastAsia="Arial" w:hAnsi="Arial"/>
                <w:sz w:val="18"/>
                <w:szCs w:val="18"/>
                <w:color w:val="auto"/>
                <w:w w:val="99"/>
              </w:rPr>
              <w:t>ü</w:t>
            </w:r>
          </w:p>
        </w:tc>
        <w:tc>
          <w:tcPr>
            <w:tcW w:w="66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68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660" w:type="dxa"/>
            <w:vAlign w:val="bottom"/>
            <w:shd w:val="clear" w:color="auto" w:fill="CDEAFA"/>
          </w:tcPr>
          <w:p>
            <w:pPr>
              <w:spacing w:after="0"/>
              <w:rPr>
                <w:sz w:val="19"/>
                <w:szCs w:val="19"/>
                <w:color w:val="auto"/>
              </w:rPr>
            </w:pPr>
          </w:p>
        </w:tc>
      </w:tr>
      <w:tr>
        <w:trPr>
          <w:trHeight w:val="230"/>
        </w:trPr>
        <w:tc>
          <w:tcPr>
            <w:tcW w:w="2940" w:type="dxa"/>
            <w:vAlign w:val="bottom"/>
            <w:shd w:val="clear" w:color="auto" w:fill="CDEAFA"/>
          </w:tcPr>
          <w:p>
            <w:pPr>
              <w:spacing w:after="0"/>
              <w:rPr>
                <w:sz w:val="20"/>
                <w:szCs w:val="20"/>
                <w:color w:val="auto"/>
              </w:rPr>
            </w:pPr>
          </w:p>
        </w:tc>
        <w:tc>
          <w:tcPr>
            <w:tcW w:w="120" w:type="dxa"/>
            <w:vAlign w:val="bottom"/>
            <w:shd w:val="clear" w:color="auto" w:fill="CDEAFA"/>
          </w:tcPr>
          <w:p>
            <w:pPr>
              <w:spacing w:after="0"/>
              <w:rPr>
                <w:sz w:val="20"/>
                <w:szCs w:val="20"/>
                <w:color w:val="auto"/>
              </w:rPr>
            </w:pPr>
          </w:p>
        </w:tc>
        <w:tc>
          <w:tcPr>
            <w:tcW w:w="520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rPr>
              <w:t>and pediatrics)</w:t>
            </w:r>
          </w:p>
        </w:tc>
        <w:tc>
          <w:tcPr>
            <w:tcW w:w="680" w:type="dxa"/>
            <w:vAlign w:val="bottom"/>
            <w:shd w:val="clear" w:color="auto" w:fill="CDEAFA"/>
          </w:tcPr>
          <w:p>
            <w:pPr>
              <w:spacing w:after="0"/>
              <w:rPr>
                <w:sz w:val="20"/>
                <w:szCs w:val="20"/>
                <w:color w:val="auto"/>
              </w:rPr>
            </w:pPr>
          </w:p>
        </w:tc>
        <w:tc>
          <w:tcPr>
            <w:tcW w:w="100" w:type="dxa"/>
            <w:vAlign w:val="bottom"/>
            <w:shd w:val="clear" w:color="auto" w:fill="CDEAFA"/>
          </w:tcPr>
          <w:p>
            <w:pPr>
              <w:spacing w:after="0"/>
              <w:rPr>
                <w:sz w:val="20"/>
                <w:szCs w:val="20"/>
                <w:color w:val="auto"/>
              </w:rPr>
            </w:pPr>
          </w:p>
        </w:tc>
        <w:tc>
          <w:tcPr>
            <w:tcW w:w="660" w:type="dxa"/>
            <w:vAlign w:val="bottom"/>
            <w:shd w:val="clear" w:color="auto" w:fill="CDEAFA"/>
          </w:tcPr>
          <w:p>
            <w:pPr>
              <w:spacing w:after="0"/>
              <w:rPr>
                <w:sz w:val="20"/>
                <w:szCs w:val="20"/>
                <w:color w:val="auto"/>
              </w:rPr>
            </w:pPr>
          </w:p>
        </w:tc>
        <w:tc>
          <w:tcPr>
            <w:tcW w:w="100" w:type="dxa"/>
            <w:vAlign w:val="bottom"/>
            <w:shd w:val="clear" w:color="auto" w:fill="CDEAFA"/>
          </w:tcPr>
          <w:p>
            <w:pPr>
              <w:spacing w:after="0"/>
              <w:rPr>
                <w:sz w:val="20"/>
                <w:szCs w:val="20"/>
                <w:color w:val="auto"/>
              </w:rPr>
            </w:pPr>
          </w:p>
        </w:tc>
        <w:tc>
          <w:tcPr>
            <w:tcW w:w="680" w:type="dxa"/>
            <w:vAlign w:val="bottom"/>
            <w:shd w:val="clear" w:color="auto" w:fill="CDEAFA"/>
          </w:tcPr>
          <w:p>
            <w:pPr>
              <w:spacing w:after="0"/>
              <w:rPr>
                <w:sz w:val="20"/>
                <w:szCs w:val="20"/>
                <w:color w:val="auto"/>
              </w:rPr>
            </w:pPr>
          </w:p>
        </w:tc>
        <w:tc>
          <w:tcPr>
            <w:tcW w:w="100" w:type="dxa"/>
            <w:vAlign w:val="bottom"/>
            <w:shd w:val="clear" w:color="auto" w:fill="CDEAFA"/>
          </w:tcPr>
          <w:p>
            <w:pPr>
              <w:spacing w:after="0"/>
              <w:rPr>
                <w:sz w:val="20"/>
                <w:szCs w:val="20"/>
                <w:color w:val="auto"/>
              </w:rPr>
            </w:pPr>
          </w:p>
        </w:tc>
        <w:tc>
          <w:tcPr>
            <w:tcW w:w="660" w:type="dxa"/>
            <w:vAlign w:val="bottom"/>
            <w:shd w:val="clear" w:color="auto" w:fill="CDEAFA"/>
          </w:tcPr>
          <w:p>
            <w:pPr>
              <w:spacing w:after="0"/>
              <w:rPr>
                <w:sz w:val="20"/>
                <w:szCs w:val="20"/>
                <w:color w:val="auto"/>
              </w:rPr>
            </w:pPr>
          </w:p>
        </w:tc>
      </w:tr>
      <w:tr>
        <w:trPr>
          <w:trHeight w:val="277"/>
        </w:trPr>
        <w:tc>
          <w:tcPr>
            <w:tcW w:w="2940" w:type="dxa"/>
            <w:vAlign w:val="bottom"/>
            <w:tcBorders>
              <w:bottom w:val="single" w:sz="8" w:color="CDEAFA"/>
            </w:tcBorders>
            <w:shd w:val="clear" w:color="auto" w:fill="CDEAFA"/>
          </w:tcPr>
          <w:p>
            <w:pPr>
              <w:spacing w:after="0"/>
              <w:rPr>
                <w:sz w:val="24"/>
                <w:szCs w:val="24"/>
                <w:color w:val="auto"/>
              </w:rPr>
            </w:pPr>
          </w:p>
        </w:tc>
        <w:tc>
          <w:tcPr>
            <w:tcW w:w="120" w:type="dxa"/>
            <w:vAlign w:val="bottom"/>
            <w:tcBorders>
              <w:bottom w:val="single" w:sz="8" w:color="CDEAFA"/>
            </w:tcBorders>
            <w:shd w:val="clear" w:color="auto" w:fill="CDEAFA"/>
          </w:tcPr>
          <w:p>
            <w:pPr>
              <w:spacing w:after="0"/>
              <w:rPr>
                <w:sz w:val="24"/>
                <w:szCs w:val="24"/>
                <w:color w:val="auto"/>
              </w:rPr>
            </w:pPr>
          </w:p>
        </w:tc>
        <w:tc>
          <w:tcPr>
            <w:tcW w:w="5200" w:type="dxa"/>
            <w:vAlign w:val="bottom"/>
            <w:tcBorders>
              <w:bottom w:val="single" w:sz="8" w:color="CDEAFA"/>
            </w:tcBorders>
            <w:gridSpan w:val="3"/>
            <w:shd w:val="clear" w:color="auto" w:fill="CDEAFA"/>
          </w:tcPr>
          <w:p>
            <w:pPr>
              <w:spacing w:after="0"/>
              <w:rPr>
                <w:sz w:val="20"/>
                <w:szCs w:val="20"/>
                <w:color w:val="auto"/>
              </w:rPr>
            </w:pPr>
            <w:r>
              <w:rPr>
                <w:rFonts w:ascii="Arial" w:cs="Arial" w:eastAsia="Arial" w:hAnsi="Arial"/>
                <w:sz w:val="18"/>
                <w:szCs w:val="18"/>
                <w:color w:val="auto"/>
              </w:rPr>
              <w:t>- Recurrent pericarditis (in adults and adolescents)</w:t>
            </w:r>
          </w:p>
        </w:tc>
        <w:tc>
          <w:tcPr>
            <w:tcW w:w="780" w:type="dxa"/>
            <w:vAlign w:val="bottom"/>
            <w:tcBorders>
              <w:bottom w:val="single" w:sz="8" w:color="CDEAFA"/>
            </w:tcBorders>
            <w:gridSpan w:val="2"/>
            <w:shd w:val="clear" w:color="auto" w:fill="CDEAFA"/>
          </w:tcPr>
          <w:p>
            <w:pPr>
              <w:jc w:val="center"/>
              <w:ind w:right="120"/>
              <w:spacing w:after="0"/>
              <w:rPr>
                <w:sz w:val="20"/>
                <w:szCs w:val="20"/>
                <w:color w:val="auto"/>
              </w:rPr>
            </w:pPr>
            <w:r>
              <w:rPr>
                <w:rFonts w:ascii="Arial" w:cs="Arial" w:eastAsia="Arial" w:hAnsi="Arial"/>
                <w:sz w:val="18"/>
                <w:szCs w:val="18"/>
                <w:color w:val="auto"/>
                <w:w w:val="99"/>
              </w:rPr>
              <w:t>ü</w:t>
            </w:r>
          </w:p>
        </w:tc>
        <w:tc>
          <w:tcPr>
            <w:tcW w:w="660" w:type="dxa"/>
            <w:vAlign w:val="bottom"/>
            <w:tcBorders>
              <w:bottom w:val="single" w:sz="8" w:color="CDEAFA"/>
            </w:tcBorders>
            <w:shd w:val="clear" w:color="auto" w:fill="CDEAFA"/>
          </w:tcPr>
          <w:p>
            <w:pPr>
              <w:spacing w:after="0"/>
              <w:rPr>
                <w:sz w:val="24"/>
                <w:szCs w:val="24"/>
                <w:color w:val="auto"/>
              </w:rPr>
            </w:pPr>
          </w:p>
        </w:tc>
        <w:tc>
          <w:tcPr>
            <w:tcW w:w="100" w:type="dxa"/>
            <w:vAlign w:val="bottom"/>
            <w:tcBorders>
              <w:bottom w:val="single" w:sz="8" w:color="CDEAFA"/>
            </w:tcBorders>
            <w:shd w:val="clear" w:color="auto" w:fill="CDEAFA"/>
          </w:tcPr>
          <w:p>
            <w:pPr>
              <w:spacing w:after="0"/>
              <w:rPr>
                <w:sz w:val="24"/>
                <w:szCs w:val="24"/>
                <w:color w:val="auto"/>
              </w:rPr>
            </w:pPr>
          </w:p>
        </w:tc>
        <w:tc>
          <w:tcPr>
            <w:tcW w:w="680" w:type="dxa"/>
            <w:vAlign w:val="bottom"/>
            <w:tcBorders>
              <w:bottom w:val="single" w:sz="8" w:color="CDEAFA"/>
            </w:tcBorders>
            <w:shd w:val="clear" w:color="auto" w:fill="CDEAFA"/>
          </w:tcPr>
          <w:p>
            <w:pPr>
              <w:spacing w:after="0"/>
              <w:rPr>
                <w:sz w:val="24"/>
                <w:szCs w:val="24"/>
                <w:color w:val="auto"/>
              </w:rPr>
            </w:pPr>
          </w:p>
        </w:tc>
        <w:tc>
          <w:tcPr>
            <w:tcW w:w="100" w:type="dxa"/>
            <w:vAlign w:val="bottom"/>
            <w:tcBorders>
              <w:bottom w:val="single" w:sz="8" w:color="CDEAFA"/>
            </w:tcBorders>
            <w:shd w:val="clear" w:color="auto" w:fill="CDEAFA"/>
          </w:tcPr>
          <w:p>
            <w:pPr>
              <w:spacing w:after="0"/>
              <w:rPr>
                <w:sz w:val="24"/>
                <w:szCs w:val="24"/>
                <w:color w:val="auto"/>
              </w:rPr>
            </w:pPr>
          </w:p>
        </w:tc>
        <w:tc>
          <w:tcPr>
            <w:tcW w:w="660" w:type="dxa"/>
            <w:vAlign w:val="bottom"/>
            <w:tcBorders>
              <w:bottom w:val="single" w:sz="8" w:color="CDEAFA"/>
            </w:tcBorders>
            <w:shd w:val="clear" w:color="auto" w:fill="CDEAFA"/>
          </w:tcPr>
          <w:p>
            <w:pPr>
              <w:spacing w:after="0"/>
              <w:rPr>
                <w:sz w:val="24"/>
                <w:szCs w:val="24"/>
                <w:color w:val="auto"/>
              </w:rPr>
            </w:pPr>
          </w:p>
        </w:tc>
      </w:tr>
      <w:tr>
        <w:trPr>
          <w:trHeight w:val="232"/>
        </w:trPr>
        <w:tc>
          <w:tcPr>
            <w:tcW w:w="2940" w:type="dxa"/>
            <w:vAlign w:val="bottom"/>
          </w:tcPr>
          <w:p>
            <w:pPr>
              <w:spacing w:after="0"/>
              <w:rPr>
                <w:sz w:val="20"/>
                <w:szCs w:val="20"/>
                <w:color w:val="auto"/>
              </w:rPr>
            </w:pPr>
            <w:r>
              <w:rPr>
                <w:rFonts w:ascii="Arial" w:cs="Arial" w:eastAsia="Arial" w:hAnsi="Arial"/>
                <w:sz w:val="18"/>
                <w:szCs w:val="18"/>
                <w:color w:val="auto"/>
                <w:w w:val="99"/>
              </w:rPr>
              <w:t>ZALTRAP® (ziv-aflibercept) Injection</w:t>
            </w:r>
          </w:p>
        </w:tc>
        <w:tc>
          <w:tcPr>
            <w:tcW w:w="120" w:type="dxa"/>
            <w:vAlign w:val="bottom"/>
          </w:tcPr>
          <w:p>
            <w:pPr>
              <w:spacing w:after="0"/>
              <w:rPr>
                <w:sz w:val="20"/>
                <w:szCs w:val="20"/>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 Metastatic colorectal cancer (“mCRC”)</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ü</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ü</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390"/>
        </w:trPr>
        <w:tc>
          <w:tcPr>
            <w:tcW w:w="2940" w:type="dxa"/>
            <w:vAlign w:val="bottom"/>
          </w:tcPr>
          <w:p>
            <w:pPr>
              <w:spacing w:after="0"/>
              <w:rPr>
                <w:sz w:val="20"/>
                <w:szCs w:val="20"/>
                <w:color w:val="auto"/>
              </w:rPr>
            </w:pPr>
            <w:r>
              <w:rPr>
                <w:rFonts w:ascii="Arial" w:cs="Arial" w:eastAsia="Arial" w:hAnsi="Arial"/>
                <w:sz w:val="18"/>
                <w:szCs w:val="18"/>
                <w:color w:val="auto"/>
              </w:rPr>
              <w:t>for Intravenous Infusion</w:t>
            </w:r>
            <w:r>
              <w:rPr>
                <w:rFonts w:ascii="Arial" w:cs="Arial" w:eastAsia="Arial" w:hAnsi="Arial"/>
                <w:sz w:val="29"/>
                <w:szCs w:val="29"/>
                <w:color w:val="auto"/>
                <w:vertAlign w:val="superscript"/>
              </w:rPr>
              <w:t>(8)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97" w:lineRule="exact"/>
        <w:rPr>
          <w:sz w:val="20"/>
          <w:szCs w:val="20"/>
          <w:color w:val="auto"/>
        </w:rPr>
      </w:pPr>
    </w:p>
    <w:p>
      <w:pPr>
        <w:ind w:left="340" w:right="220"/>
        <w:spacing w:after="0" w:line="318" w:lineRule="auto"/>
        <w:rPr>
          <w:sz w:val="20"/>
          <w:szCs w:val="20"/>
          <w:color w:val="auto"/>
        </w:rPr>
      </w:pPr>
      <w:r>
        <w:rPr>
          <w:rFonts w:ascii="Arial" w:cs="Arial" w:eastAsia="Arial" w:hAnsi="Arial"/>
          <w:sz w:val="15"/>
          <w:szCs w:val="15"/>
          <w:color w:val="auto"/>
        </w:rPr>
        <w:t>Note: Refer to “Net Product Sales of Regeneron-Discovered Products” section below for information regarding whether net product sales for a particular product are recorded by us or others. In addition, unless otherwise noted, products in the table above are approved for use in adults in the above-referenced diseases.</w:t>
      </w:r>
    </w:p>
    <w:p>
      <w:pPr>
        <w:ind w:left="520" w:hanging="188"/>
        <w:spacing w:after="0" w:line="225" w:lineRule="auto"/>
        <w:tabs>
          <w:tab w:leader="none" w:pos="520"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In collaboration with Bayer outside the United States</w:t>
      </w:r>
    </w:p>
    <w:p>
      <w:pPr>
        <w:spacing w:after="0" w:line="105" w:lineRule="exact"/>
        <w:rPr>
          <w:rFonts w:ascii="Arial" w:cs="Arial" w:eastAsia="Arial" w:hAnsi="Arial"/>
          <w:sz w:val="23"/>
          <w:szCs w:val="23"/>
          <w:color w:val="auto"/>
          <w:vertAlign w:val="superscript"/>
        </w:rPr>
      </w:pPr>
    </w:p>
    <w:p>
      <w:pPr>
        <w:ind w:left="520" w:hanging="188"/>
        <w:spacing w:after="0" w:line="182" w:lineRule="auto"/>
        <w:tabs>
          <w:tab w:leader="none" w:pos="52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In collaboration with Sanofi</w:t>
      </w:r>
    </w:p>
    <w:p>
      <w:pPr>
        <w:spacing w:after="0" w:line="105" w:lineRule="exact"/>
        <w:rPr>
          <w:rFonts w:ascii="Arial" w:cs="Arial" w:eastAsia="Arial" w:hAnsi="Arial"/>
          <w:sz w:val="22"/>
          <w:szCs w:val="22"/>
          <w:color w:val="auto"/>
          <w:vertAlign w:val="superscript"/>
        </w:rPr>
      </w:pPr>
    </w:p>
    <w:p>
      <w:pPr>
        <w:jc w:val="both"/>
        <w:ind w:left="340" w:right="200" w:hanging="8"/>
        <w:spacing w:after="0" w:line="226" w:lineRule="auto"/>
        <w:tabs>
          <w:tab w:leader="none" w:pos="538"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Pursuant to a 2020 agreement, the Company is solely responsible for the development and commercialization of Praluent in the United States, and Sanofi is solely responsible for the development and commercialization of Praluent outside of the United States (and Sanofi pays us a royalty on net product sales of Praluent outside the United States).</w:t>
      </w:r>
    </w:p>
    <w:p>
      <w:pPr>
        <w:spacing w:after="0" w:line="92" w:lineRule="exact"/>
        <w:rPr>
          <w:rFonts w:ascii="Arial" w:cs="Arial" w:eastAsia="Arial" w:hAnsi="Arial"/>
          <w:sz w:val="25"/>
          <w:szCs w:val="25"/>
          <w:color w:val="auto"/>
          <w:vertAlign w:val="superscript"/>
        </w:rPr>
      </w:pPr>
    </w:p>
    <w:p>
      <w:pPr>
        <w:ind w:left="340" w:right="560" w:hanging="8"/>
        <w:spacing w:after="0" w:line="213" w:lineRule="auto"/>
        <w:tabs>
          <w:tab w:leader="none" w:pos="538"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Rest of world (“ROW”). A checkmark in this column indicates that the product has received marketing approval in at least one country outside of the United States, European Union (“EU”), or Japan.</w:t>
      </w:r>
    </w:p>
    <w:p>
      <w:pPr>
        <w:spacing w:after="0" w:line="33" w:lineRule="exact"/>
        <w:rPr>
          <w:rFonts w:ascii="Arial" w:cs="Arial" w:eastAsia="Arial" w:hAnsi="Arial"/>
          <w:sz w:val="25"/>
          <w:szCs w:val="25"/>
          <w:color w:val="auto"/>
          <w:vertAlign w:val="superscript"/>
        </w:rPr>
      </w:pPr>
    </w:p>
    <w:p>
      <w:pPr>
        <w:ind w:left="520" w:hanging="188"/>
        <w:spacing w:after="0"/>
        <w:tabs>
          <w:tab w:leader="none" w:pos="520"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Known as REGEN-COV in the United States and Ronapreve in other countries</w:t>
      </w:r>
    </w:p>
    <w:p>
      <w:pPr>
        <w:spacing w:after="0" w:line="104" w:lineRule="exact"/>
        <w:rPr>
          <w:rFonts w:ascii="Arial" w:cs="Arial" w:eastAsia="Arial" w:hAnsi="Arial"/>
          <w:sz w:val="23"/>
          <w:szCs w:val="23"/>
          <w:color w:val="auto"/>
          <w:vertAlign w:val="superscript"/>
        </w:rPr>
      </w:pPr>
    </w:p>
    <w:p>
      <w:pPr>
        <w:jc w:val="both"/>
        <w:ind w:left="340" w:right="440" w:hanging="8"/>
        <w:spacing w:after="0" w:line="226" w:lineRule="auto"/>
        <w:tabs>
          <w:tab w:leader="none" w:pos="538"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In January 2022, the Company entered into a license and collaboration agreement for Ultragenyx to develop and commercialize Evkeeza outside of the United States. Ultragenyx pays us a percentage of net product sales of Evkeeza outside the United States and the Company is also eligible to receive regulatory and sales milestone payments.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 w:name="page10"/>
    <w:bookmarkEnd w:id="9"/>
    <w:p>
      <w:pPr>
        <w:ind w:left="340" w:right="180" w:hanging="8"/>
        <w:spacing w:after="0" w:line="231" w:lineRule="auto"/>
        <w:tabs>
          <w:tab w:leader="none" w:pos="538"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Pursuant to a 2017 license agreement with Kiniksa, we granted Kiniksa the right to develop and commercialize certain new indications for ARCALYST. In March 2021, Kiniksa received marketing approval for its first new indication of ARCALYST in the United States; consequently we granted U.S. commercial rights to ARCALYST for all previously approved indications and Kiniksa pays us a share of ARCALYST profits.</w:t>
      </w:r>
    </w:p>
    <w:p>
      <w:pPr>
        <w:spacing w:after="0" w:line="35" w:lineRule="exact"/>
        <w:rPr>
          <w:rFonts w:ascii="Arial" w:cs="Arial" w:eastAsia="Arial" w:hAnsi="Arial"/>
          <w:sz w:val="25"/>
          <w:szCs w:val="25"/>
          <w:color w:val="auto"/>
          <w:vertAlign w:val="superscript"/>
        </w:rPr>
      </w:pPr>
    </w:p>
    <w:p>
      <w:pPr>
        <w:ind w:left="520" w:hanging="188"/>
        <w:spacing w:after="0"/>
        <w:tabs>
          <w:tab w:leader="none" w:pos="520"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Sanofi is solely responsible for the development and commercialization of ZALTRAP, and Sanofi pays us a percentage of aggregate net product sales of</w:t>
      </w:r>
    </w:p>
    <w:p>
      <w:pPr>
        <w:spacing w:after="0" w:line="10" w:lineRule="exact"/>
        <w:rPr>
          <w:rFonts w:ascii="Arial" w:cs="Arial" w:eastAsia="Arial" w:hAnsi="Arial"/>
          <w:sz w:val="23"/>
          <w:szCs w:val="23"/>
          <w:color w:val="auto"/>
          <w:vertAlign w:val="superscript"/>
        </w:rPr>
      </w:pPr>
    </w:p>
    <w:p>
      <w:pPr>
        <w:ind w:left="340"/>
        <w:spacing w:after="0"/>
        <w:rPr>
          <w:rFonts w:ascii="Arial" w:cs="Arial" w:eastAsia="Arial" w:hAnsi="Arial"/>
          <w:sz w:val="23"/>
          <w:szCs w:val="23"/>
          <w:color w:val="auto"/>
          <w:vertAlign w:val="superscript"/>
        </w:rPr>
      </w:pPr>
      <w:r>
        <w:rPr>
          <w:rFonts w:ascii="Arial" w:cs="Arial" w:eastAsia="Arial" w:hAnsi="Arial"/>
          <w:sz w:val="16"/>
          <w:szCs w:val="16"/>
          <w:color w:val="auto"/>
        </w:rPr>
        <w:t>ZALTRAP.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 - Emergency and Temporary Use Authorizations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2020, the antibody cocktail casirivimab and imdevimab administered together, known as REGEN-COV in the United States, received Emergency Use Authorization (“EUA”) from the U.S. Food and Drug Administration (“FDA”) for the treatment of mild to moderate COVID-19 in adults, as well as in pediatric patients at least 12 years of age and weighing at least 40 kg, who have received positive results of direct SARS-CoV-2 viral testing and are at high risk for progressing to severe COVID-19 and/or hospitalization.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EUA is temporary and does not replace a formal Biologics License Application (“BLA”) submission review and approval process. This use is authorized only for the duration of the declaration that circumstances exist justifying the authorization of the emergency use, unless terminated or revoked sooner.</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2021, the FDA updated the EUA for REGEN-COV, lowering the dose to 1,200 mg (which is half the dose originally authorized) and allowing for subcutaneous injections as an alternative when intravenous (“IV”) infusion is not feasible and would lead to a delay in treatment. In July 2021, the FDA also expanded the EUA to include post-exposure prophylaxis in people at high risk for progression to severe COVID-19, who are not fully vaccinated or are not expected to mount an adequate response to vaccination, and who have been exposed to a SARS-CoV-2 infected individual or are at high risk of exposure to an infected individual because of infection occurring in the same institutional setting (such as in nursing homes or prisons).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Based on laboratory data that showed markedly decreased binding to the Omicron spike protein, REGEN-COV is highly unlikely to be active against the Omicron variant. In January 2022, the FDA revised the EUA for REGEN-COV to exclude its use in geographic regions where, based on available information including variant susceptibility and regional variant frequency, infection or exposure is likely due to a variant such as Omicron (B.1.1.529) that is not susceptible to the treatment. With this EUA revision, REGEN-COV is not currently authorized for use in any U.S. states, territories, or jurisdictions, since Omicron is currently the dominant variant across the United States. If, in the future, patients in certain geographic regions are likely to be infected or exposed to a variant that is susceptible to REGEN-COV, then the limitation on use may be revised in these areas.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Emergency or temporary pandemic use authorizations are also currently in place in numerous other countries outside the United States.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466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Net Product Sales of Regeneron-Discovered Products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0"/>
          </w:tcPr>
          <w:p>
            <w:pPr>
              <w:jc w:val="center"/>
              <w:ind w:right="240"/>
              <w:spacing w:after="0"/>
              <w:rPr>
                <w:sz w:val="20"/>
                <w:szCs w:val="20"/>
                <w:color w:val="auto"/>
              </w:rPr>
            </w:pPr>
            <w:r>
              <w:rPr>
                <w:rFonts w:ascii="Arial" w:cs="Arial" w:eastAsia="Arial" w:hAnsi="Arial"/>
                <w:sz w:val="18"/>
                <w:szCs w:val="18"/>
                <w:b w:val="1"/>
                <w:bCs w:val="1"/>
                <w:color w:val="auto"/>
                <w:w w:val="90"/>
              </w:rPr>
              <w:t>Year Ended December 31,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2021</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2019</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ROW</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U.S.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ROW</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U.S.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ROW</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EYLEA</w:t>
            </w:r>
            <w:r>
              <w:rPr>
                <w:rFonts w:ascii="Arial" w:cs="Arial" w:eastAsia="Arial" w:hAnsi="Arial"/>
                <w:sz w:val="27"/>
                <w:szCs w:val="27"/>
                <w:color w:val="auto"/>
                <w:vertAlign w:val="superscript"/>
              </w:rPr>
              <w:t>(a)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5,792.3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3,592.4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9,384.7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4,947.2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2,961.5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7,908.7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4,644.2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2,897.4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7,541.6</w:t>
            </w:r>
          </w:p>
        </w:tc>
        <w:tc>
          <w:tcPr>
            <w:tcW w:w="0" w:type="dxa"/>
            <w:vAlign w:val="bottom"/>
          </w:tcPr>
          <w:p>
            <w:pPr>
              <w:spacing w:after="0"/>
              <w:rPr>
                <w:sz w:val="1"/>
                <w:szCs w:val="1"/>
                <w:color w:val="auto"/>
              </w:rPr>
            </w:pPr>
          </w:p>
        </w:tc>
      </w:tr>
      <w:tr>
        <w:trPr>
          <w:trHeight w:val="256"/>
        </w:trPr>
        <w:tc>
          <w:tcPr>
            <w:tcW w:w="2060" w:type="dxa"/>
            <w:vAlign w:val="bottom"/>
          </w:tcPr>
          <w:p>
            <w:pPr>
              <w:spacing w:after="0" w:line="256" w:lineRule="exact"/>
              <w:rPr>
                <w:sz w:val="20"/>
                <w:szCs w:val="20"/>
                <w:color w:val="auto"/>
              </w:rPr>
            </w:pPr>
            <w:r>
              <w:rPr>
                <w:rFonts w:ascii="Arial" w:cs="Arial" w:eastAsia="Arial" w:hAnsi="Arial"/>
                <w:sz w:val="18"/>
                <w:szCs w:val="18"/>
                <w:color w:val="auto"/>
              </w:rPr>
              <w:t>Dupixent</w:t>
            </w:r>
            <w:r>
              <w:rPr>
                <w:rFonts w:ascii="Arial" w:cs="Arial" w:eastAsia="Arial" w:hAnsi="Arial"/>
                <w:sz w:val="29"/>
                <w:szCs w:val="29"/>
                <w:color w:val="auto"/>
                <w:vertAlign w:val="superscript"/>
              </w:rPr>
              <w:t>(b)</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4,713.0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1,485.3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6,198.3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3,226.2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818.6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4,044.8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1,871.2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444.4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2,315.6</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Libtayo</w:t>
            </w:r>
            <w:r>
              <w:rPr>
                <w:rFonts w:ascii="Arial" w:cs="Arial" w:eastAsia="Arial" w:hAnsi="Arial"/>
                <w:sz w:val="29"/>
                <w:szCs w:val="29"/>
                <w:color w:val="auto"/>
                <w:vertAlign w:val="superscript"/>
              </w:rPr>
              <w:t>(c)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57"/>
        </w:trPr>
        <w:tc>
          <w:tcPr>
            <w:tcW w:w="2060" w:type="dxa"/>
            <w:vAlign w:val="bottom"/>
          </w:tcPr>
          <w:p>
            <w:pPr>
              <w:spacing w:after="0" w:line="256" w:lineRule="exact"/>
              <w:rPr>
                <w:sz w:val="20"/>
                <w:szCs w:val="20"/>
                <w:color w:val="auto"/>
              </w:rPr>
            </w:pPr>
            <w:r>
              <w:rPr>
                <w:rFonts w:ascii="Arial" w:cs="Arial" w:eastAsia="Arial" w:hAnsi="Arial"/>
                <w:sz w:val="18"/>
                <w:szCs w:val="18"/>
                <w:color w:val="auto"/>
              </w:rPr>
              <w:t>Praluent</w:t>
            </w:r>
            <w:r>
              <w:rPr>
                <w:rFonts w:ascii="Arial" w:cs="Arial" w:eastAsia="Arial" w:hAnsi="Arial"/>
                <w:sz w:val="29"/>
                <w:szCs w:val="29"/>
                <w:color w:val="auto"/>
                <w:vertAlign w:val="superscript"/>
              </w:rPr>
              <w:t>(d)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251.1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421.1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172.8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358.8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162.7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REGEN-COV</w:t>
            </w:r>
            <w:r>
              <w:rPr>
                <w:rFonts w:ascii="Arial" w:cs="Arial" w:eastAsia="Arial" w:hAnsi="Arial"/>
                <w:sz w:val="29"/>
                <w:szCs w:val="29"/>
                <w:color w:val="auto"/>
                <w:vertAlign w:val="superscript"/>
              </w:rPr>
              <w:t>(e)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5,828.0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1,745.9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7,573.9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185.7</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60" w:type="dxa"/>
            <w:vAlign w:val="bottom"/>
          </w:tcPr>
          <w:p>
            <w:pPr>
              <w:spacing w:after="0" w:line="256" w:lineRule="exact"/>
              <w:rPr>
                <w:sz w:val="20"/>
                <w:szCs w:val="20"/>
                <w:color w:val="auto"/>
              </w:rPr>
            </w:pPr>
            <w:r>
              <w:rPr>
                <w:rFonts w:ascii="Arial" w:cs="Arial" w:eastAsia="Arial" w:hAnsi="Arial"/>
                <w:sz w:val="18"/>
                <w:szCs w:val="18"/>
                <w:color w:val="auto"/>
              </w:rPr>
              <w:t>Kevzara</w:t>
            </w:r>
            <w:r>
              <w:rPr>
                <w:rFonts w:ascii="Arial" w:cs="Arial" w:eastAsia="Arial" w:hAnsi="Arial"/>
                <w:sz w:val="29"/>
                <w:szCs w:val="29"/>
                <w:color w:val="auto"/>
                <w:vertAlign w:val="superscript"/>
              </w:rPr>
              <w:t>(b)</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161.9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338.0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141.6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128.3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Evkeeza</w:t>
            </w:r>
            <w:r>
              <w:rPr>
                <w:rFonts w:ascii="Arial" w:cs="Arial" w:eastAsia="Arial" w:hAnsi="Arial"/>
                <w:sz w:val="29"/>
                <w:szCs w:val="29"/>
                <w:color w:val="auto"/>
                <w:vertAlign w:val="superscript"/>
              </w:rPr>
              <w:t>(f)</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60" w:type="dxa"/>
            <w:vAlign w:val="bottom"/>
          </w:tcPr>
          <w:p>
            <w:pPr>
              <w:spacing w:after="0" w:line="256" w:lineRule="exact"/>
              <w:rPr>
                <w:sz w:val="20"/>
                <w:szCs w:val="20"/>
                <w:color w:val="auto"/>
              </w:rPr>
            </w:pPr>
            <w:r>
              <w:rPr>
                <w:rFonts w:ascii="Arial" w:cs="Arial" w:eastAsia="Arial" w:hAnsi="Arial"/>
                <w:sz w:val="18"/>
                <w:szCs w:val="18"/>
                <w:color w:val="auto"/>
              </w:rPr>
              <w:t>ARCALYST</w:t>
            </w:r>
            <w:r>
              <w:rPr>
                <w:rFonts w:ascii="Arial" w:cs="Arial" w:eastAsia="Arial" w:hAnsi="Arial"/>
                <w:sz w:val="29"/>
                <w:szCs w:val="29"/>
                <w:color w:val="auto"/>
                <w:vertAlign w:val="superscript"/>
              </w:rPr>
              <w:t>(g)</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ZALTRAP</w:t>
            </w:r>
            <w:r>
              <w:rPr>
                <w:rFonts w:ascii="Arial" w:cs="Arial" w:eastAsia="Arial" w:hAnsi="Arial"/>
                <w:sz w:val="29"/>
                <w:szCs w:val="29"/>
                <w:color w:val="auto"/>
                <w:vertAlign w:val="superscript"/>
              </w:rPr>
              <w:t>(b)</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40" w:right="280" w:hanging="8"/>
        <w:spacing w:after="0" w:line="218" w:lineRule="auto"/>
        <w:tabs>
          <w:tab w:leader="none" w:pos="53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92" w:lineRule="exact"/>
        <w:rPr>
          <w:rFonts w:ascii="Arial" w:cs="Arial" w:eastAsia="Arial" w:hAnsi="Arial"/>
          <w:sz w:val="24"/>
          <w:szCs w:val="24"/>
          <w:color w:val="auto"/>
          <w:vertAlign w:val="superscript"/>
        </w:rPr>
      </w:pPr>
    </w:p>
    <w:p>
      <w:pPr>
        <w:ind w:left="340" w:right="320" w:hanging="8"/>
        <w:spacing w:after="0" w:line="213" w:lineRule="auto"/>
        <w:tabs>
          <w:tab w:leader="none" w:pos="538"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Sanofi records global net product sales of Dupixent, Kevzara, and ZALTRAP. The Company records its share of profits/losses in connection with global sales of Dupixent and Kevzara, and Sanofi pays the Company a percentage of net sales of ZALTRAP.</w:t>
      </w:r>
    </w:p>
    <w:p>
      <w:pPr>
        <w:spacing w:after="0" w:line="91" w:lineRule="exact"/>
        <w:rPr>
          <w:rFonts w:ascii="Arial" w:cs="Arial" w:eastAsia="Arial" w:hAnsi="Arial"/>
          <w:sz w:val="25"/>
          <w:szCs w:val="25"/>
          <w:color w:val="auto"/>
          <w:vertAlign w:val="superscript"/>
        </w:rPr>
      </w:pPr>
    </w:p>
    <w:p>
      <w:pPr>
        <w:ind w:left="340" w:right="260" w:hanging="8"/>
        <w:spacing w:after="0" w:line="213" w:lineRule="auto"/>
        <w:tabs>
          <w:tab w:leader="none" w:pos="53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Regeneron records net product sales of Libtayo in the United States and Sanofi records net product sales of Libtayo outside the United States. The parties equally share profits/losses in connection with global sales of Libtayo.</w:t>
      </w:r>
    </w:p>
    <w:p>
      <w:pPr>
        <w:spacing w:after="0" w:line="33" w:lineRule="exact"/>
        <w:rPr>
          <w:rFonts w:ascii="Arial" w:cs="Arial" w:eastAsia="Arial" w:hAnsi="Arial"/>
          <w:sz w:val="25"/>
          <w:szCs w:val="25"/>
          <w:color w:val="auto"/>
          <w:vertAlign w:val="superscript"/>
        </w:rPr>
      </w:pPr>
    </w:p>
    <w:p>
      <w:pPr>
        <w:ind w:left="520" w:hanging="188"/>
        <w:spacing w:after="0"/>
        <w:tabs>
          <w:tab w:leader="none" w:pos="520" w:val="left"/>
        </w:tabs>
        <w:numPr>
          <w:ilvl w:val="0"/>
          <w:numId w:val="10"/>
        </w:numPr>
        <w:rPr>
          <w:rFonts w:ascii="Arial" w:cs="Arial" w:eastAsia="Arial" w:hAnsi="Arial"/>
          <w:sz w:val="23"/>
          <w:szCs w:val="23"/>
          <w:color w:val="auto"/>
          <w:vertAlign w:val="superscript"/>
        </w:rPr>
      </w:pPr>
      <w:r>
        <w:rPr>
          <w:rFonts w:ascii="Arial" w:cs="Arial" w:eastAsia="Arial" w:hAnsi="Arial"/>
          <w:sz w:val="14"/>
          <w:szCs w:val="14"/>
          <w:color w:val="auto"/>
        </w:rPr>
        <w:t>Effective April 1, 2020, Regeneron records net product sales of Praluent in the United States. Also effective April 1, 2020, Sanofi records net product sales of</w:t>
      </w:r>
    </w:p>
    <w:p>
      <w:pPr>
        <w:spacing w:after="0" w:line="10" w:lineRule="exact"/>
        <w:rPr>
          <w:rFonts w:ascii="Arial" w:cs="Arial" w:eastAsia="Arial" w:hAnsi="Arial"/>
          <w:sz w:val="23"/>
          <w:szCs w:val="23"/>
          <w:color w:val="auto"/>
          <w:vertAlign w:val="superscript"/>
        </w:rPr>
      </w:pPr>
    </w:p>
    <w:p>
      <w:pPr>
        <w:ind w:left="340" w:right="240"/>
        <w:spacing w:after="0" w:line="330" w:lineRule="auto"/>
        <w:rPr>
          <w:rFonts w:ascii="Arial" w:cs="Arial" w:eastAsia="Arial" w:hAnsi="Arial"/>
          <w:sz w:val="23"/>
          <w:szCs w:val="23"/>
          <w:color w:val="auto"/>
          <w:vertAlign w:val="superscript"/>
        </w:rPr>
      </w:pPr>
      <w:r>
        <w:rPr>
          <w:rFonts w:ascii="Arial" w:cs="Arial" w:eastAsia="Arial" w:hAnsi="Arial"/>
          <w:sz w:val="14"/>
          <w:szCs w:val="14"/>
          <w:color w:val="auto"/>
        </w:rPr>
        <w:t>Praluent outside the United States and pays the Company a royalty on such sales. Previously, Sanofi recorded global net product sales of Praluent and the Company recorded its share of profits/losses in connection with such sales. Refer to “Collaboration, License, and Other Agreements - Sanofi” section below for further details.</w:t>
      </w:r>
    </w:p>
    <w:p>
      <w:pPr>
        <w:spacing w:after="0" w:line="42" w:lineRule="exact"/>
        <w:rPr>
          <w:rFonts w:ascii="Arial" w:cs="Arial" w:eastAsia="Arial" w:hAnsi="Arial"/>
          <w:sz w:val="23"/>
          <w:szCs w:val="23"/>
          <w:color w:val="auto"/>
          <w:vertAlign w:val="superscript"/>
        </w:rPr>
      </w:pPr>
    </w:p>
    <w:p>
      <w:pPr>
        <w:ind w:left="340" w:right="400" w:hanging="8"/>
        <w:spacing w:after="0" w:line="236" w:lineRule="auto"/>
        <w:tabs>
          <w:tab w:leader="none" w:pos="53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Regeneron records net product sales of REGEN-COV in connection with its agreements with the U.S. government. Roche records net product sales of the antibody cocktail outside the United States and the parties share gross profits from global sales based on a pre-specified formula. Refer to “Agreements Related to COVID-19” below for further details.</w:t>
      </w:r>
    </w:p>
    <w:p>
      <w:pPr>
        <w:spacing w:after="0" w:line="91" w:lineRule="exact"/>
        <w:rPr>
          <w:rFonts w:ascii="Arial" w:cs="Arial" w:eastAsia="Arial" w:hAnsi="Arial"/>
          <w:sz w:val="24"/>
          <w:szCs w:val="24"/>
          <w:color w:val="auto"/>
          <w:vertAlign w:val="superscript"/>
        </w:rPr>
      </w:pPr>
    </w:p>
    <w:p>
      <w:pPr>
        <w:ind w:left="340" w:right="180" w:hanging="8"/>
        <w:spacing w:after="0" w:line="216" w:lineRule="auto"/>
        <w:tabs>
          <w:tab w:leader="none" w:pos="515" w:val="left"/>
        </w:tabs>
        <w:numPr>
          <w:ilvl w:val="0"/>
          <w:numId w:val="10"/>
        </w:numPr>
        <w:rPr>
          <w:rFonts w:ascii="Arial" w:cs="Arial" w:eastAsia="Arial" w:hAnsi="Arial"/>
          <w:sz w:val="27"/>
          <w:szCs w:val="27"/>
          <w:color w:val="auto"/>
          <w:vertAlign w:val="superscript"/>
        </w:rPr>
      </w:pPr>
      <w:r>
        <w:rPr>
          <w:rFonts w:ascii="Arial" w:cs="Arial" w:eastAsia="Arial" w:hAnsi="Arial"/>
          <w:sz w:val="16"/>
          <w:szCs w:val="16"/>
          <w:color w:val="auto"/>
        </w:rPr>
        <w:t>Regeneron records net product sales of Evkeeza in the United States. Pursuant to the January 2022 agreement, Ultragenyx will record net product sales of Evkeeza outside of the United States and will pay the Company a percentage of such sales. Refer to “Products” section above and “Collaboration, License, and Other Agreements - Ultragenyx” section below for further details.</w:t>
      </w:r>
    </w:p>
    <w:p>
      <w:pPr>
        <w:spacing w:after="0" w:line="91" w:lineRule="exact"/>
        <w:rPr>
          <w:rFonts w:ascii="Arial" w:cs="Arial" w:eastAsia="Arial" w:hAnsi="Arial"/>
          <w:sz w:val="27"/>
          <w:szCs w:val="27"/>
          <w:color w:val="auto"/>
          <w:vertAlign w:val="superscript"/>
        </w:rPr>
      </w:pPr>
    </w:p>
    <w:p>
      <w:pPr>
        <w:ind w:left="340" w:right="620" w:hanging="8"/>
        <w:spacing w:after="0" w:line="231" w:lineRule="auto"/>
        <w:tabs>
          <w:tab w:leader="none" w:pos="538"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Amounts reflected in the table above represent net product sales recorded by Regeneron. Effective April 1, 2021, Kiniksa records net product sales of ARCALYST in the United States and pays us a share of ARCALYST profits, if any. Refer to “Products” section above and “Collaboration, License, and Other Agreements - Kiniksa” section below for further details.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 in Clinical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Product candidates in clinical development, which are being developed by us and/or our collaborators, are summarized in the table below.</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and our collaborators conduct clinical trials in multiple countries across the world. The COVID-19 pandemic and the restrictions adopted around the globe to reduce the spread of the disease have impacted and may continue to impact our clinical development programs. We continue to evaluate the impact of the COVID-19 pandemic on an individual trial basis and oversee trial management while also working to ensure patient safety and provide sufficient supply of product candidates for the studies. The ultimate impact (including possible delays in recruiting and/or obtaining data) resulting from the COVID-19 pandemic will depend, among other factors, on the extent of the pandemic in the areas with study sites and patient populations. It is possible that the COVID-19 pandemic may cause clinical disruptions beyond those we have described. In addition, there may be delays in the timing of regulatory review and other projected milestones discussed in the table below.</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Part I, Item 1A. “Risk Factors” for a description of these and other risks and uncertainties that may affect our clinical programs, including those related to the COVID-19 pandemic.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1"/>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780" w:type="dxa"/>
            <w:vAlign w:val="bottom"/>
            <w:gridSpan w:val="2"/>
          </w:tcPr>
          <w:p>
            <w:pPr>
              <w:ind w:left="300"/>
              <w:spacing w:after="0"/>
              <w:rPr>
                <w:sz w:val="20"/>
                <w:szCs w:val="20"/>
                <w:color w:val="auto"/>
              </w:rPr>
            </w:pPr>
            <w:r>
              <w:rPr>
                <w:rFonts w:ascii="Arial" w:cs="Arial" w:eastAsia="Arial" w:hAnsi="Arial"/>
                <w:sz w:val="18"/>
                <w:szCs w:val="18"/>
                <w:b w:val="1"/>
                <w:bCs w:val="1"/>
                <w:color w:val="auto"/>
              </w:rPr>
              <w:t>2021 and 2022</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Select Upcoming</w:t>
            </w:r>
          </w:p>
        </w:tc>
      </w:tr>
      <w:tr>
        <w:trPr>
          <w:trHeight w:val="270"/>
        </w:trPr>
        <w:tc>
          <w:tcPr>
            <w:tcW w:w="2380" w:type="dxa"/>
            <w:vAlign w:val="bottom"/>
            <w:gridSpan w:val="2"/>
          </w:tcPr>
          <w:p>
            <w:pPr>
              <w:ind w:left="460"/>
              <w:spacing w:after="0"/>
              <w:rPr>
                <w:sz w:val="20"/>
                <w:szCs w:val="20"/>
                <w:color w:val="auto"/>
              </w:rPr>
            </w:pPr>
            <w:r>
              <w:rPr>
                <w:rFonts w:ascii="Arial" w:cs="Arial" w:eastAsia="Arial" w:hAnsi="Arial"/>
                <w:sz w:val="18"/>
                <w:szCs w:val="18"/>
                <w:b w:val="1"/>
                <w:bCs w:val="1"/>
                <w:color w:val="auto"/>
              </w:rPr>
              <w:t>Clinical Program</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Phase 1</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Phase 2</w:t>
            </w: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Phase 3</w:t>
            </w:r>
          </w:p>
        </w:tc>
        <w:tc>
          <w:tcPr>
            <w:tcW w:w="1440" w:type="dxa"/>
            <w:vAlign w:val="bottom"/>
            <w:gridSpan w:val="2"/>
          </w:tcPr>
          <w:p>
            <w:pPr>
              <w:jc w:val="center"/>
              <w:ind w:right="60"/>
              <w:spacing w:after="0" w:line="270"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9"/>
                <w:szCs w:val="29"/>
                <w:b w:val="1"/>
                <w:bCs w:val="1"/>
                <w:color w:val="auto"/>
                <w:w w:val="85"/>
                <w:vertAlign w:val="superscript"/>
              </w:rPr>
              <w:t>(h)</w:t>
            </w:r>
          </w:p>
        </w:tc>
        <w:tc>
          <w:tcPr>
            <w:tcW w:w="1780" w:type="dxa"/>
            <w:vAlign w:val="bottom"/>
            <w:gridSpan w:val="2"/>
          </w:tcPr>
          <w:p>
            <w:pPr>
              <w:ind w:left="300"/>
              <w:spacing w:after="0"/>
              <w:rPr>
                <w:sz w:val="20"/>
                <w:szCs w:val="20"/>
                <w:color w:val="auto"/>
              </w:rPr>
            </w:pPr>
            <w:r>
              <w:rPr>
                <w:rFonts w:ascii="Arial" w:cs="Arial" w:eastAsia="Arial" w:hAnsi="Arial"/>
                <w:sz w:val="18"/>
                <w:szCs w:val="18"/>
                <w:b w:val="1"/>
                <w:bCs w:val="1"/>
                <w:color w:val="auto"/>
              </w:rPr>
              <w:t>Events to Date</w:t>
            </w:r>
          </w:p>
        </w:tc>
        <w:tc>
          <w:tcPr>
            <w:tcW w:w="168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6"/>
              </w:rPr>
              <w:t>Milestones</w:t>
            </w:r>
            <w:r>
              <w:rPr>
                <w:rFonts w:ascii="Arial" w:cs="Arial" w:eastAsia="Arial" w:hAnsi="Arial"/>
                <w:sz w:val="29"/>
                <w:szCs w:val="29"/>
                <w:b w:val="1"/>
                <w:bCs w:val="1"/>
                <w:color w:val="auto"/>
                <w:w w:val="86"/>
                <w:vertAlign w:val="superscript"/>
              </w:rPr>
              <w:t>(i)</w:t>
            </w:r>
          </w:p>
        </w:tc>
      </w:tr>
      <w:tr>
        <w:trPr>
          <w:trHeight w:val="88"/>
        </w:trPr>
        <w:tc>
          <w:tcPr>
            <w:tcW w:w="22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Borders>
              <w:top w:val="single" w:sz="8" w:color="auto"/>
            </w:tcBorders>
          </w:tcPr>
          <w:p>
            <w:pPr>
              <w:spacing w:after="0"/>
              <w:rPr>
                <w:sz w:val="7"/>
                <w:szCs w:val="7"/>
                <w:color w:val="auto"/>
              </w:rPr>
            </w:pPr>
          </w:p>
        </w:tc>
      </w:tr>
      <w:tr>
        <w:trPr>
          <w:trHeight w:val="243"/>
        </w:trPr>
        <w:tc>
          <w:tcPr>
            <w:tcW w:w="226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14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14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440" w:type="dxa"/>
            <w:vAlign w:val="bottom"/>
            <w:gridSpan w:val="2"/>
            <w:shd w:val="clear" w:color="auto" w:fill="ACACAC"/>
          </w:tcPr>
          <w:p>
            <w:pPr>
              <w:ind w:left="140"/>
              <w:spacing w:after="0"/>
              <w:rPr>
                <w:sz w:val="20"/>
                <w:szCs w:val="20"/>
                <w:color w:val="auto"/>
              </w:rPr>
            </w:pPr>
            <w:r>
              <w:rPr>
                <w:rFonts w:ascii="Arial" w:cs="Arial" w:eastAsia="Arial" w:hAnsi="Arial"/>
                <w:sz w:val="18"/>
                <w:szCs w:val="18"/>
                <w:b w:val="1"/>
                <w:bCs w:val="1"/>
                <w:color w:val="auto"/>
                <w:w w:val="96"/>
              </w:rPr>
              <w:t>Ophthalmology</w:t>
            </w:r>
          </w:p>
        </w:tc>
        <w:tc>
          <w:tcPr>
            <w:tcW w:w="1340" w:type="dxa"/>
            <w:vAlign w:val="bottom"/>
            <w:shd w:val="clear" w:color="auto" w:fill="ACACAC"/>
          </w:tcPr>
          <w:p>
            <w:pPr>
              <w:spacing w:after="0"/>
              <w:rPr>
                <w:sz w:val="21"/>
                <w:szCs w:val="21"/>
                <w:color w:val="auto"/>
              </w:rPr>
            </w:pPr>
          </w:p>
        </w:tc>
        <w:tc>
          <w:tcPr>
            <w:tcW w:w="100" w:type="dxa"/>
            <w:vAlign w:val="bottom"/>
            <w:shd w:val="clear" w:color="auto" w:fill="ACACAC"/>
          </w:tcPr>
          <w:p>
            <w:pPr>
              <w:spacing w:after="0"/>
              <w:rPr>
                <w:sz w:val="21"/>
                <w:szCs w:val="21"/>
                <w:color w:val="auto"/>
              </w:rPr>
            </w:pPr>
          </w:p>
        </w:tc>
        <w:tc>
          <w:tcPr>
            <w:tcW w:w="1680" w:type="dxa"/>
            <w:vAlign w:val="bottom"/>
            <w:shd w:val="clear" w:color="auto" w:fill="ACACAC"/>
          </w:tcPr>
          <w:p>
            <w:pPr>
              <w:spacing w:after="0"/>
              <w:rPr>
                <w:sz w:val="21"/>
                <w:szCs w:val="21"/>
                <w:color w:val="auto"/>
              </w:rPr>
            </w:pPr>
          </w:p>
        </w:tc>
        <w:tc>
          <w:tcPr>
            <w:tcW w:w="100" w:type="dxa"/>
            <w:vAlign w:val="bottom"/>
            <w:shd w:val="clear" w:color="auto" w:fill="ACACAC"/>
          </w:tcPr>
          <w:p>
            <w:pPr>
              <w:spacing w:after="0"/>
              <w:rPr>
                <w:sz w:val="21"/>
                <w:szCs w:val="21"/>
                <w:color w:val="auto"/>
              </w:rPr>
            </w:pPr>
          </w:p>
        </w:tc>
        <w:tc>
          <w:tcPr>
            <w:tcW w:w="1680" w:type="dxa"/>
            <w:vAlign w:val="bottom"/>
            <w:shd w:val="clear" w:color="auto" w:fill="ACACAC"/>
          </w:tcPr>
          <w:p>
            <w:pPr>
              <w:spacing w:after="0"/>
              <w:rPr>
                <w:sz w:val="21"/>
                <w:szCs w:val="21"/>
                <w:color w:val="auto"/>
              </w:rPr>
            </w:pPr>
          </w:p>
        </w:tc>
      </w:tr>
    </w:tbl>
    <w:p>
      <w:pPr>
        <w:spacing w:after="0" w:line="93" w:lineRule="exact"/>
        <w:rPr>
          <w:sz w:val="20"/>
          <w:szCs w:val="20"/>
          <w:color w:val="auto"/>
        </w:rPr>
      </w:pPr>
    </w:p>
    <w:p>
      <w:pPr>
        <w:sectPr>
          <w:pgSz w:w="11900" w:h="16838" w:orient="portrait"/>
          <w:cols w:equalWidth="0" w:num="1">
            <w:col w:w="11240"/>
          </w:cols>
          <w:pgMar w:left="320" w:top="405" w:right="3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EYLEA (aflibercept)</w:t>
      </w:r>
      <w:r>
        <w:rPr>
          <w:rFonts w:ascii="Arial" w:cs="Arial" w:eastAsia="Arial" w:hAnsi="Arial"/>
          <w:sz w:val="26"/>
          <w:szCs w:val="26"/>
          <w:b w:val="1"/>
          <w:bCs w:val="1"/>
          <w:color w:val="auto"/>
          <w:vertAlign w:val="superscript"/>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Aflibercept 8 mg</w:t>
      </w:r>
      <w:r>
        <w:rPr>
          <w:rFonts w:ascii="Arial" w:cs="Arial" w:eastAsia="Arial" w:hAnsi="Arial"/>
          <w:sz w:val="29"/>
          <w:szCs w:val="29"/>
          <w:b w:val="1"/>
          <w:bCs w:val="1"/>
          <w:color w:val="auto"/>
          <w:vertAlign w:val="superscript"/>
        </w:rPr>
        <w:t>(b)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520" w:type="dxa"/>
            <w:vAlign w:val="bottom"/>
          </w:tcPr>
          <w:p>
            <w:pPr>
              <w:ind w:left="220"/>
              <w:spacing w:after="0"/>
              <w:rPr>
                <w:sz w:val="20"/>
                <w:szCs w:val="20"/>
                <w:color w:val="auto"/>
              </w:rPr>
            </w:pPr>
            <w:r>
              <w:rPr>
                <w:rFonts w:ascii="Arial" w:cs="Arial" w:eastAsia="Arial" w:hAnsi="Arial"/>
                <w:sz w:val="18"/>
                <w:szCs w:val="18"/>
                <w:color w:val="auto"/>
              </w:rPr>
              <w:t>–Retinopathy of</w:t>
            </w:r>
          </w:p>
        </w:tc>
        <w:tc>
          <w:tcPr>
            <w:tcW w:w="1400" w:type="dxa"/>
            <w:vAlign w:val="bottom"/>
          </w:tcPr>
          <w:p>
            <w:pPr>
              <w:ind w:left="140"/>
              <w:spacing w:after="0"/>
              <w:rPr>
                <w:sz w:val="20"/>
                <w:szCs w:val="20"/>
                <w:color w:val="auto"/>
              </w:rPr>
            </w:pPr>
            <w:r>
              <w:rPr>
                <w:rFonts w:ascii="Arial" w:cs="Arial" w:eastAsia="Arial" w:hAnsi="Arial"/>
                <w:sz w:val="18"/>
                <w:szCs w:val="18"/>
                <w:color w:val="auto"/>
              </w:rPr>
              <w:t>–ROP (EU and</w:t>
            </w:r>
          </w:p>
        </w:tc>
        <w:tc>
          <w:tcPr>
            <w:tcW w:w="1860" w:type="dxa"/>
            <w:vAlign w:val="bottom"/>
          </w:tcPr>
          <w:p>
            <w:pPr>
              <w:ind w:left="180"/>
              <w:spacing w:after="0"/>
              <w:rPr>
                <w:sz w:val="20"/>
                <w:szCs w:val="20"/>
                <w:color w:val="auto"/>
              </w:rPr>
            </w:pPr>
            <w:r>
              <w:rPr>
                <w:rFonts w:ascii="Arial" w:cs="Arial" w:eastAsia="Arial" w:hAnsi="Arial"/>
                <w:sz w:val="18"/>
                <w:szCs w:val="18"/>
                <w:color w:val="auto"/>
              </w:rPr>
              <w:t>–Initial results from</w:t>
            </w:r>
          </w:p>
        </w:tc>
      </w:tr>
      <w:tr>
        <w:trPr>
          <w:trHeight w:val="216"/>
        </w:trPr>
        <w:tc>
          <w:tcPr>
            <w:tcW w:w="1040" w:type="dxa"/>
            <w:vAlign w:val="bottom"/>
          </w:tcPr>
          <w:p>
            <w:pPr>
              <w:spacing w:after="0"/>
              <w:rPr>
                <w:sz w:val="18"/>
                <w:szCs w:val="18"/>
                <w:color w:val="auto"/>
              </w:rPr>
            </w:pPr>
          </w:p>
        </w:tc>
        <w:tc>
          <w:tcPr>
            <w:tcW w:w="1520" w:type="dxa"/>
            <w:vAlign w:val="bottom"/>
          </w:tcPr>
          <w:p>
            <w:pPr>
              <w:ind w:left="220"/>
              <w:spacing w:after="0"/>
              <w:rPr>
                <w:sz w:val="20"/>
                <w:szCs w:val="20"/>
                <w:color w:val="auto"/>
              </w:rPr>
            </w:pPr>
            <w:r>
              <w:rPr>
                <w:rFonts w:ascii="Arial" w:cs="Arial" w:eastAsia="Arial" w:hAnsi="Arial"/>
                <w:sz w:val="18"/>
                <w:szCs w:val="18"/>
                <w:color w:val="auto"/>
              </w:rPr>
              <w:t>prematurity</w:t>
            </w:r>
          </w:p>
        </w:tc>
        <w:tc>
          <w:tcPr>
            <w:tcW w:w="1400" w:type="dxa"/>
            <w:vAlign w:val="bottom"/>
          </w:tcPr>
          <w:p>
            <w:pPr>
              <w:ind w:left="140"/>
              <w:spacing w:after="0"/>
              <w:rPr>
                <w:sz w:val="20"/>
                <w:szCs w:val="20"/>
                <w:color w:val="auto"/>
              </w:rPr>
            </w:pPr>
            <w:r>
              <w:rPr>
                <w:rFonts w:ascii="Arial" w:cs="Arial" w:eastAsia="Arial" w:hAnsi="Arial"/>
                <w:sz w:val="18"/>
                <w:szCs w:val="18"/>
                <w:color w:val="auto"/>
              </w:rPr>
              <w:t>Japan)</w:t>
            </w:r>
          </w:p>
        </w:tc>
        <w:tc>
          <w:tcPr>
            <w:tcW w:w="1860" w:type="dxa"/>
            <w:vAlign w:val="bottom"/>
          </w:tcPr>
          <w:p>
            <w:pPr>
              <w:ind w:left="180"/>
              <w:spacing w:after="0"/>
              <w:rPr>
                <w:sz w:val="20"/>
                <w:szCs w:val="20"/>
                <w:color w:val="auto"/>
              </w:rPr>
            </w:pPr>
            <w:r>
              <w:rPr>
                <w:rFonts w:ascii="Arial" w:cs="Arial" w:eastAsia="Arial" w:hAnsi="Arial"/>
                <w:sz w:val="18"/>
                <w:szCs w:val="18"/>
                <w:color w:val="auto"/>
              </w:rPr>
              <w:t>National Institutes of</w:t>
            </w:r>
          </w:p>
        </w:tc>
      </w:tr>
      <w:tr>
        <w:trPr>
          <w:trHeight w:val="217"/>
        </w:trPr>
        <w:tc>
          <w:tcPr>
            <w:tcW w:w="1040" w:type="dxa"/>
            <w:vAlign w:val="bottom"/>
          </w:tcPr>
          <w:p>
            <w:pPr>
              <w:spacing w:after="0"/>
              <w:rPr>
                <w:sz w:val="18"/>
                <w:szCs w:val="18"/>
                <w:color w:val="auto"/>
              </w:rPr>
            </w:pPr>
          </w:p>
        </w:tc>
        <w:tc>
          <w:tcPr>
            <w:tcW w:w="1520" w:type="dxa"/>
            <w:vAlign w:val="bottom"/>
          </w:tcPr>
          <w:p>
            <w:pPr>
              <w:ind w:left="220"/>
              <w:spacing w:after="0" w:line="217" w:lineRule="exact"/>
              <w:rPr>
                <w:sz w:val="20"/>
                <w:szCs w:val="20"/>
                <w:color w:val="auto"/>
              </w:rPr>
            </w:pPr>
            <w:r>
              <w:rPr>
                <w:rFonts w:ascii="Arial" w:cs="Arial" w:eastAsia="Arial" w:hAnsi="Arial"/>
                <w:sz w:val="16"/>
                <w:szCs w:val="16"/>
                <w:color w:val="auto"/>
              </w:rPr>
              <w:t>(“ROP”)</w:t>
            </w:r>
            <w:r>
              <w:rPr>
                <w:rFonts w:ascii="Arial" w:cs="Arial" w:eastAsia="Arial" w:hAnsi="Arial"/>
                <w:sz w:val="25"/>
                <w:szCs w:val="25"/>
                <w:color w:val="auto"/>
                <w:vertAlign w:val="superscript"/>
              </w:rPr>
              <w:t>(c)</w:t>
            </w: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Health (“NIH”)-</w:t>
            </w:r>
          </w:p>
        </w:tc>
      </w:tr>
      <w:tr>
        <w:trPr>
          <w:trHeight w:val="215"/>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w w:val="93"/>
              </w:rPr>
              <w:t>sponsored Protocol W</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trial in non-</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proliferative diabetic</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w w:val="98"/>
              </w:rPr>
              <w:t>retinopathy (“NPDR”)</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w w:val="93"/>
              </w:rPr>
              <w:t>were announced; data</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w w:val="93"/>
              </w:rPr>
              <w:t>confirmed results from</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w w:val="99"/>
              </w:rPr>
              <w:t>Company-sponsored</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w w:val="96"/>
              </w:rPr>
              <w:t>PANORAMA trial and</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w w:val="92"/>
              </w:rPr>
              <w:t>demonstrated reduced</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risk of developing</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vision-threatening</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complications with</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w w:val="89"/>
              </w:rPr>
              <w:t>every-16-weeks dosing</w:t>
            </w:r>
          </w:p>
        </w:tc>
      </w:tr>
      <w:tr>
        <w:trPr>
          <w:trHeight w:val="230"/>
        </w:trPr>
        <w:tc>
          <w:tcPr>
            <w:tcW w:w="1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regimen</w:t>
            </w:r>
          </w:p>
        </w:tc>
      </w:tr>
      <w:tr>
        <w:trPr>
          <w:trHeight w:val="418"/>
        </w:trPr>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–Completed</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w w:val="95"/>
              </w:rPr>
              <w:t>enrollment in Phase 3</w:t>
            </w:r>
          </w:p>
        </w:tc>
      </w:tr>
      <w:tr>
        <w:trPr>
          <w:trHeight w:val="230"/>
        </w:trPr>
        <w:tc>
          <w:tcPr>
            <w:tcW w:w="1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study for ROP</w:t>
            </w:r>
          </w:p>
        </w:tc>
      </w:tr>
      <w:tr>
        <w:trPr>
          <w:trHeight w:val="229"/>
        </w:trPr>
        <w:tc>
          <w:tcPr>
            <w:tcW w:w="1040" w:type="dxa"/>
            <w:vAlign w:val="bottom"/>
          </w:tcPr>
          <w:p>
            <w:pPr>
              <w:spacing w:after="0"/>
              <w:rPr>
                <w:sz w:val="20"/>
                <w:szCs w:val="20"/>
                <w:color w:val="auto"/>
              </w:rPr>
            </w:pPr>
            <w:r>
              <w:rPr>
                <w:rFonts w:ascii="Arial" w:cs="Arial" w:eastAsia="Arial" w:hAnsi="Arial"/>
                <w:sz w:val="18"/>
                <w:szCs w:val="18"/>
                <w:color w:val="auto"/>
              </w:rPr>
              <w:t>–Wet AMD</w:t>
            </w:r>
          </w:p>
        </w:tc>
        <w:tc>
          <w:tcPr>
            <w:tcW w:w="1520" w:type="dxa"/>
            <w:vAlign w:val="bottom"/>
          </w:tcPr>
          <w:p>
            <w:pPr>
              <w:ind w:left="220"/>
              <w:spacing w:after="0"/>
              <w:rPr>
                <w:sz w:val="20"/>
                <w:szCs w:val="20"/>
                <w:color w:val="auto"/>
              </w:rPr>
            </w:pPr>
            <w:r>
              <w:rPr>
                <w:rFonts w:ascii="Arial" w:cs="Arial" w:eastAsia="Arial" w:hAnsi="Arial"/>
                <w:sz w:val="18"/>
                <w:szCs w:val="18"/>
                <w:color w:val="auto"/>
              </w:rPr>
              <w:t>–Wet AMD</w:t>
            </w:r>
          </w:p>
        </w:tc>
        <w:tc>
          <w:tcPr>
            <w:tcW w:w="1400" w:type="dxa"/>
            <w:vAlign w:val="bottom"/>
          </w:tcPr>
          <w:p>
            <w:pPr>
              <w:spacing w:after="0"/>
              <w:rPr>
                <w:sz w:val="19"/>
                <w:szCs w:val="19"/>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–Completed</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w w:val="95"/>
              </w:rPr>
              <w:t>enrollment in Phase 3</w:t>
            </w:r>
          </w:p>
        </w:tc>
      </w:tr>
      <w:tr>
        <w:trPr>
          <w:trHeight w:val="216"/>
        </w:trPr>
        <w:tc>
          <w:tcPr>
            <w:tcW w:w="1040" w:type="dxa"/>
            <w:vAlign w:val="bottom"/>
          </w:tcPr>
          <w:p>
            <w:pPr>
              <w:spacing w:after="0"/>
              <w:rPr>
                <w:sz w:val="18"/>
                <w:szCs w:val="18"/>
                <w:color w:val="auto"/>
              </w:rPr>
            </w:pPr>
          </w:p>
        </w:tc>
        <w:tc>
          <w:tcPr>
            <w:tcW w:w="1520" w:type="dxa"/>
            <w:vAlign w:val="bottom"/>
          </w:tcPr>
          <w:p>
            <w:pPr>
              <w:ind w:left="220"/>
              <w:spacing w:after="0"/>
              <w:rPr>
                <w:sz w:val="20"/>
                <w:szCs w:val="20"/>
                <w:color w:val="auto"/>
              </w:rPr>
            </w:pPr>
            <w:r>
              <w:rPr>
                <w:rFonts w:ascii="Arial" w:cs="Arial" w:eastAsia="Arial" w:hAnsi="Arial"/>
                <w:sz w:val="18"/>
                <w:szCs w:val="18"/>
                <w:color w:val="auto"/>
              </w:rPr>
              <w:t>–DME</w:t>
            </w: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studies in wet AMD</w:t>
            </w:r>
          </w:p>
        </w:tc>
      </w:tr>
      <w:tr>
        <w:trPr>
          <w:trHeight w:val="230"/>
        </w:trPr>
        <w:tc>
          <w:tcPr>
            <w:tcW w:w="1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and DME</w:t>
            </w:r>
          </w:p>
        </w:tc>
      </w:tr>
      <w:tr>
        <w:trPr>
          <w:trHeight w:val="418"/>
        </w:trPr>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w w:val="97"/>
              </w:rPr>
              <w:t>–Reported initial data</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from Phase 2 trial in</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wet AMD and that</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trial met its primary</w:t>
            </w:r>
          </w:p>
        </w:tc>
      </w:tr>
      <w:tr>
        <w:trPr>
          <w:trHeight w:val="216"/>
        </w:trPr>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safety and efficacy</w:t>
            </w:r>
          </w:p>
        </w:tc>
      </w:tr>
      <w:tr>
        <w:trPr>
          <w:trHeight w:val="230"/>
        </w:trPr>
        <w:tc>
          <w:tcPr>
            <w:tcW w:w="1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endpoints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-4413885</wp:posOffset>
            </wp:positionV>
            <wp:extent cx="7132320" cy="28975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93" w:lineRule="auto"/>
        <w:rPr>
          <w:sz w:val="20"/>
          <w:szCs w:val="20"/>
          <w:color w:val="auto"/>
        </w:rPr>
      </w:pPr>
      <w:r>
        <w:rPr>
          <w:rFonts w:ascii="Arial" w:cs="Arial" w:eastAsia="Arial" w:hAnsi="Arial"/>
          <w:sz w:val="16"/>
          <w:szCs w:val="16"/>
          <w:color w:val="auto"/>
        </w:rPr>
        <w:t>–Submit supplemental BLA (“sBLA”) for every-16-weeks dosing regimen in patients with NPDR (first half 2022)</w:t>
      </w:r>
    </w:p>
    <w:p>
      <w:pPr>
        <w:spacing w:after="0" w:line="16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–Report results from Phase 3 study in ROP (second half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–Report detailed results from Phase 2 trial in wet AMD (first quarter 2022)</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–Report results from Phase 3 studies in wet AMD and DME (second half 2022)</w:t>
      </w:r>
    </w:p>
    <w:p>
      <w:pPr>
        <w:spacing w:after="0" w:line="504" w:lineRule="exact"/>
        <w:rPr>
          <w:sz w:val="20"/>
          <w:szCs w:val="20"/>
          <w:color w:val="auto"/>
        </w:rPr>
      </w:pPr>
    </w:p>
    <w:p>
      <w:pPr>
        <w:sectPr>
          <w:pgSz w:w="11900" w:h="16838" w:orient="portrait"/>
          <w:cols w:equalWidth="0" w:num="3">
            <w:col w:w="2920" w:space="720"/>
            <w:col w:w="5820" w:space="100"/>
            <w:col w:w="1680"/>
          </w:cols>
          <w:pgMar w:left="320" w:top="405" w:right="33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Immunology &amp;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33"/>
        </w:trPr>
        <w:tc>
          <w:tcPr>
            <w:tcW w:w="2780" w:type="dxa"/>
            <w:vAlign w:val="bottom"/>
            <w:shd w:val="clear" w:color="auto" w:fill="CDEAFA"/>
          </w:tcPr>
          <w:p>
            <w:pPr>
              <w:ind w:left="40"/>
              <w:spacing w:after="0"/>
              <w:rPr>
                <w:sz w:val="20"/>
                <w:szCs w:val="20"/>
                <w:color w:val="auto"/>
              </w:rPr>
            </w:pPr>
            <w:r>
              <w:rPr>
                <w:rFonts w:ascii="Arial" w:cs="Arial" w:eastAsia="Arial" w:hAnsi="Arial"/>
                <w:sz w:val="18"/>
                <w:szCs w:val="18"/>
                <w:b w:val="1"/>
                <w:bCs w:val="1"/>
                <w:color w:val="auto"/>
              </w:rPr>
              <w:t>Dupixent (dupilumab)</w:t>
            </w:r>
            <w:r>
              <w:rPr>
                <w:rFonts w:ascii="Arial" w:cs="Arial" w:eastAsia="Arial" w:hAnsi="Arial"/>
                <w:sz w:val="29"/>
                <w:szCs w:val="29"/>
                <w:b w:val="1"/>
                <w:bCs w:val="1"/>
                <w:color w:val="auto"/>
                <w:vertAlign w:val="superscript"/>
              </w:rPr>
              <w:t>(a)</w:t>
            </w:r>
          </w:p>
        </w:tc>
        <w:tc>
          <w:tcPr>
            <w:tcW w:w="2040" w:type="dxa"/>
            <w:vAlign w:val="bottom"/>
            <w:shd w:val="clear" w:color="auto" w:fill="CDEAFA"/>
          </w:tcPr>
          <w:p>
            <w:pPr>
              <w:ind w:left="860"/>
              <w:spacing w:after="0"/>
              <w:rPr>
                <w:sz w:val="20"/>
                <w:szCs w:val="20"/>
                <w:color w:val="auto"/>
              </w:rPr>
            </w:pPr>
            <w:r>
              <w:rPr>
                <w:rFonts w:ascii="Arial" w:cs="Arial" w:eastAsia="Arial" w:hAnsi="Arial"/>
                <w:sz w:val="18"/>
                <w:szCs w:val="18"/>
                <w:color w:val="auto"/>
                <w:w w:val="92"/>
              </w:rPr>
              <w:t>–Peanut allergy</w:t>
            </w:r>
          </w:p>
        </w:tc>
        <w:tc>
          <w:tcPr>
            <w:tcW w:w="1460" w:type="dxa"/>
            <w:vAlign w:val="bottom"/>
            <w:shd w:val="clear" w:color="auto" w:fill="CDEAFA"/>
          </w:tcPr>
          <w:p>
            <w:pPr>
              <w:ind w:left="80"/>
              <w:spacing w:after="0"/>
              <w:rPr>
                <w:sz w:val="20"/>
                <w:szCs w:val="20"/>
                <w:color w:val="auto"/>
              </w:rPr>
            </w:pPr>
            <w:r>
              <w:rPr>
                <w:rFonts w:ascii="Arial" w:cs="Arial" w:eastAsia="Arial" w:hAnsi="Arial"/>
                <w:sz w:val="18"/>
                <w:szCs w:val="18"/>
                <w:color w:val="auto"/>
              </w:rPr>
              <w:t>–Atopic</w:t>
            </w:r>
          </w:p>
        </w:tc>
        <w:tc>
          <w:tcPr>
            <w:tcW w:w="1440" w:type="dxa"/>
            <w:vAlign w:val="bottom"/>
            <w:shd w:val="clear" w:color="auto" w:fill="CDEAFA"/>
          </w:tcPr>
          <w:p>
            <w:pPr>
              <w:ind w:left="60"/>
              <w:spacing w:after="0"/>
              <w:rPr>
                <w:sz w:val="20"/>
                <w:szCs w:val="20"/>
                <w:color w:val="auto"/>
              </w:rPr>
            </w:pPr>
            <w:r>
              <w:rPr>
                <w:rFonts w:ascii="Arial" w:cs="Arial" w:eastAsia="Arial" w:hAnsi="Arial"/>
                <w:sz w:val="18"/>
                <w:szCs w:val="18"/>
                <w:color w:val="auto"/>
              </w:rPr>
              <w:t>–Atopic</w:t>
            </w:r>
          </w:p>
        </w:tc>
        <w:tc>
          <w:tcPr>
            <w:tcW w:w="1780" w:type="dxa"/>
            <w:vAlign w:val="bottom"/>
            <w:shd w:val="clear" w:color="auto" w:fill="CDEAFA"/>
          </w:tcPr>
          <w:p>
            <w:pPr>
              <w:ind w:left="60"/>
              <w:spacing w:after="0"/>
              <w:rPr>
                <w:sz w:val="20"/>
                <w:szCs w:val="20"/>
                <w:color w:val="auto"/>
              </w:rPr>
            </w:pPr>
            <w:r>
              <w:rPr>
                <w:rFonts w:ascii="Arial" w:cs="Arial" w:eastAsia="Arial" w:hAnsi="Arial"/>
                <w:sz w:val="18"/>
                <w:szCs w:val="18"/>
                <w:color w:val="auto"/>
                <w:w w:val="89"/>
              </w:rPr>
              <w:t>–Reported that Phase 3</w:t>
            </w:r>
          </w:p>
        </w:tc>
        <w:tc>
          <w:tcPr>
            <w:tcW w:w="1740" w:type="dxa"/>
            <w:vAlign w:val="bottom"/>
            <w:shd w:val="clear" w:color="auto" w:fill="CDEAFA"/>
          </w:tcPr>
          <w:p>
            <w:pPr>
              <w:ind w:left="60"/>
              <w:spacing w:after="0"/>
              <w:rPr>
                <w:sz w:val="20"/>
                <w:szCs w:val="20"/>
                <w:color w:val="auto"/>
              </w:rPr>
            </w:pPr>
            <w:r>
              <w:rPr>
                <w:rFonts w:ascii="Arial" w:cs="Arial" w:eastAsia="Arial" w:hAnsi="Arial"/>
                <w:sz w:val="18"/>
                <w:szCs w:val="18"/>
                <w:color w:val="auto"/>
              </w:rPr>
              <w:t>–FDA decision on</w:t>
            </w:r>
          </w:p>
        </w:tc>
        <w:tc>
          <w:tcPr>
            <w:tcW w:w="0" w:type="dxa"/>
            <w:vAlign w:val="bottom"/>
          </w:tcPr>
          <w:p>
            <w:pPr>
              <w:spacing w:after="0"/>
              <w:rPr>
                <w:sz w:val="1"/>
                <w:szCs w:val="1"/>
                <w:color w:val="auto"/>
              </w:rPr>
            </w:pPr>
          </w:p>
        </w:tc>
      </w:tr>
      <w:tr>
        <w:trPr>
          <w:trHeight w:val="216"/>
        </w:trPr>
        <w:tc>
          <w:tcPr>
            <w:tcW w:w="2780" w:type="dxa"/>
            <w:vAlign w:val="bottom"/>
            <w:shd w:val="clear" w:color="auto" w:fill="CDEAFA"/>
          </w:tcPr>
          <w:p>
            <w:pPr>
              <w:ind w:left="40"/>
              <w:spacing w:after="0"/>
              <w:rPr>
                <w:sz w:val="20"/>
                <w:szCs w:val="20"/>
                <w:color w:val="auto"/>
              </w:rPr>
            </w:pPr>
            <w:r>
              <w:rPr>
                <w:rFonts w:ascii="Arial" w:cs="Arial" w:eastAsia="Arial" w:hAnsi="Arial"/>
                <w:sz w:val="18"/>
                <w:szCs w:val="18"/>
                <w:i w:val="1"/>
                <w:iCs w:val="1"/>
                <w:color w:val="auto"/>
              </w:rPr>
              <w:t>Antibody to IL-4R alpha</w:t>
            </w:r>
          </w:p>
        </w:tc>
        <w:tc>
          <w:tcPr>
            <w:tcW w:w="2040" w:type="dxa"/>
            <w:vAlign w:val="bottom"/>
            <w:shd w:val="clear" w:color="auto" w:fill="CDEAFA"/>
          </w:tcPr>
          <w:p>
            <w:pPr>
              <w:spacing w:after="0"/>
              <w:rPr>
                <w:sz w:val="18"/>
                <w:szCs w:val="18"/>
                <w:color w:val="auto"/>
              </w:rPr>
            </w:pPr>
          </w:p>
        </w:tc>
        <w:tc>
          <w:tcPr>
            <w:tcW w:w="1460" w:type="dxa"/>
            <w:vAlign w:val="bottom"/>
            <w:shd w:val="clear" w:color="auto" w:fill="CDEAFA"/>
          </w:tcPr>
          <w:p>
            <w:pPr>
              <w:ind w:left="80"/>
              <w:spacing w:after="0"/>
              <w:rPr>
                <w:sz w:val="20"/>
                <w:szCs w:val="20"/>
                <w:color w:val="auto"/>
              </w:rPr>
            </w:pPr>
            <w:r>
              <w:rPr>
                <w:rFonts w:ascii="Arial" w:cs="Arial" w:eastAsia="Arial" w:hAnsi="Arial"/>
                <w:sz w:val="18"/>
                <w:szCs w:val="18"/>
                <w:color w:val="auto"/>
              </w:rPr>
              <w:t>dermatitis in</w:t>
            </w:r>
          </w:p>
        </w:tc>
        <w:tc>
          <w:tcPr>
            <w:tcW w:w="1440" w:type="dxa"/>
            <w:vAlign w:val="bottom"/>
            <w:shd w:val="clear" w:color="auto" w:fill="CDEAFA"/>
          </w:tcPr>
          <w:p>
            <w:pPr>
              <w:ind w:left="60"/>
              <w:spacing w:after="0"/>
              <w:rPr>
                <w:sz w:val="20"/>
                <w:szCs w:val="20"/>
                <w:color w:val="auto"/>
              </w:rPr>
            </w:pPr>
            <w:r>
              <w:rPr>
                <w:rFonts w:ascii="Arial" w:cs="Arial" w:eastAsia="Arial" w:hAnsi="Arial"/>
                <w:sz w:val="18"/>
                <w:szCs w:val="18"/>
                <w:color w:val="auto"/>
              </w:rPr>
              <w:t>dermatitis in</w:t>
            </w:r>
          </w:p>
        </w:tc>
        <w:tc>
          <w:tcPr>
            <w:tcW w:w="1780" w:type="dxa"/>
            <w:vAlign w:val="bottom"/>
            <w:shd w:val="clear" w:color="auto" w:fill="CDEAFA"/>
          </w:tcPr>
          <w:p>
            <w:pPr>
              <w:ind w:left="60"/>
              <w:spacing w:after="0"/>
              <w:rPr>
                <w:sz w:val="20"/>
                <w:szCs w:val="20"/>
                <w:color w:val="auto"/>
              </w:rPr>
            </w:pPr>
            <w:r>
              <w:rPr>
                <w:rFonts w:ascii="Arial" w:cs="Arial" w:eastAsia="Arial" w:hAnsi="Arial"/>
                <w:sz w:val="18"/>
                <w:szCs w:val="18"/>
                <w:color w:val="auto"/>
              </w:rPr>
              <w:t>trial for atopic</w:t>
            </w:r>
          </w:p>
        </w:tc>
        <w:tc>
          <w:tcPr>
            <w:tcW w:w="1740" w:type="dxa"/>
            <w:vAlign w:val="bottom"/>
            <w:shd w:val="clear" w:color="auto" w:fill="CDEAFA"/>
          </w:tcPr>
          <w:p>
            <w:pPr>
              <w:ind w:left="60"/>
              <w:spacing w:after="0"/>
              <w:rPr>
                <w:sz w:val="20"/>
                <w:szCs w:val="20"/>
                <w:color w:val="auto"/>
              </w:rPr>
            </w:pPr>
            <w:r>
              <w:rPr>
                <w:rFonts w:ascii="Arial" w:cs="Arial" w:eastAsia="Arial" w:hAnsi="Arial"/>
                <w:sz w:val="18"/>
                <w:szCs w:val="18"/>
                <w:color w:val="auto"/>
              </w:rPr>
              <w:t>sBLA for atopic</w:t>
            </w:r>
          </w:p>
        </w:tc>
        <w:tc>
          <w:tcPr>
            <w:tcW w:w="0" w:type="dxa"/>
            <w:vAlign w:val="bottom"/>
          </w:tcPr>
          <w:p>
            <w:pPr>
              <w:spacing w:after="0"/>
              <w:rPr>
                <w:sz w:val="1"/>
                <w:szCs w:val="1"/>
                <w:color w:val="auto"/>
              </w:rPr>
            </w:pPr>
          </w:p>
        </w:tc>
      </w:tr>
      <w:tr>
        <w:trPr>
          <w:trHeight w:val="216"/>
        </w:trPr>
        <w:tc>
          <w:tcPr>
            <w:tcW w:w="2780" w:type="dxa"/>
            <w:vAlign w:val="bottom"/>
            <w:shd w:val="clear" w:color="auto" w:fill="CDEAFA"/>
          </w:tcPr>
          <w:p>
            <w:pPr>
              <w:ind w:left="40"/>
              <w:spacing w:after="0"/>
              <w:rPr>
                <w:sz w:val="20"/>
                <w:szCs w:val="20"/>
                <w:color w:val="auto"/>
              </w:rPr>
            </w:pPr>
            <w:r>
              <w:rPr>
                <w:rFonts w:ascii="Arial" w:cs="Arial" w:eastAsia="Arial" w:hAnsi="Arial"/>
                <w:sz w:val="18"/>
                <w:szCs w:val="18"/>
                <w:i w:val="1"/>
                <w:iCs w:val="1"/>
                <w:color w:val="auto"/>
              </w:rPr>
              <w:t>subunit</w:t>
            </w:r>
          </w:p>
        </w:tc>
        <w:tc>
          <w:tcPr>
            <w:tcW w:w="2040" w:type="dxa"/>
            <w:vAlign w:val="bottom"/>
            <w:shd w:val="clear" w:color="auto" w:fill="CDEAFA"/>
          </w:tcPr>
          <w:p>
            <w:pPr>
              <w:ind w:left="860"/>
              <w:spacing w:after="0"/>
              <w:rPr>
                <w:sz w:val="20"/>
                <w:szCs w:val="20"/>
                <w:color w:val="auto"/>
              </w:rPr>
            </w:pPr>
            <w:r>
              <w:rPr>
                <w:rFonts w:ascii="Arial" w:cs="Arial" w:eastAsia="Arial" w:hAnsi="Arial"/>
                <w:sz w:val="18"/>
                <w:szCs w:val="18"/>
                <w:color w:val="auto"/>
                <w:w w:val="99"/>
              </w:rPr>
              <w:t>–Grass allergy</w:t>
            </w:r>
          </w:p>
        </w:tc>
        <w:tc>
          <w:tcPr>
            <w:tcW w:w="1460" w:type="dxa"/>
            <w:vAlign w:val="bottom"/>
            <w:shd w:val="clear" w:color="auto" w:fill="CDEAFA"/>
          </w:tcPr>
          <w:p>
            <w:pPr>
              <w:ind w:left="80"/>
              <w:spacing w:after="0"/>
              <w:rPr>
                <w:sz w:val="20"/>
                <w:szCs w:val="20"/>
                <w:color w:val="auto"/>
              </w:rPr>
            </w:pPr>
            <w:r>
              <w:rPr>
                <w:rFonts w:ascii="Arial" w:cs="Arial" w:eastAsia="Arial" w:hAnsi="Arial"/>
                <w:sz w:val="18"/>
                <w:szCs w:val="18"/>
                <w:color w:val="auto"/>
              </w:rPr>
              <w:t>pediatrics (6</w:t>
            </w:r>
          </w:p>
        </w:tc>
        <w:tc>
          <w:tcPr>
            <w:tcW w:w="1440" w:type="dxa"/>
            <w:vAlign w:val="bottom"/>
            <w:shd w:val="clear" w:color="auto" w:fill="CDEAFA"/>
          </w:tcPr>
          <w:p>
            <w:pPr>
              <w:ind w:left="60"/>
              <w:spacing w:after="0"/>
              <w:rPr>
                <w:sz w:val="20"/>
                <w:szCs w:val="20"/>
                <w:color w:val="auto"/>
              </w:rPr>
            </w:pPr>
            <w:r>
              <w:rPr>
                <w:rFonts w:ascii="Arial" w:cs="Arial" w:eastAsia="Arial" w:hAnsi="Arial"/>
                <w:sz w:val="18"/>
                <w:szCs w:val="18"/>
                <w:color w:val="auto"/>
              </w:rPr>
              <w:t>pediatrics (6</w:t>
            </w:r>
          </w:p>
        </w:tc>
        <w:tc>
          <w:tcPr>
            <w:tcW w:w="1780" w:type="dxa"/>
            <w:vAlign w:val="bottom"/>
            <w:shd w:val="clear" w:color="auto" w:fill="CDEAFA"/>
          </w:tcPr>
          <w:p>
            <w:pPr>
              <w:ind w:left="60"/>
              <w:spacing w:after="0"/>
              <w:rPr>
                <w:sz w:val="20"/>
                <w:szCs w:val="20"/>
                <w:color w:val="auto"/>
              </w:rPr>
            </w:pPr>
            <w:r>
              <w:rPr>
                <w:rFonts w:ascii="Arial" w:cs="Arial" w:eastAsia="Arial" w:hAnsi="Arial"/>
                <w:sz w:val="18"/>
                <w:szCs w:val="18"/>
                <w:color w:val="auto"/>
                <w:w w:val="94"/>
              </w:rPr>
              <w:t>dermatitis in pediatrics</w:t>
            </w:r>
          </w:p>
        </w:tc>
        <w:tc>
          <w:tcPr>
            <w:tcW w:w="1740" w:type="dxa"/>
            <w:vAlign w:val="bottom"/>
            <w:shd w:val="clear" w:color="auto" w:fill="CDEAFA"/>
          </w:tcPr>
          <w:p>
            <w:pPr>
              <w:ind w:left="60"/>
              <w:spacing w:after="0"/>
              <w:rPr>
                <w:sz w:val="20"/>
                <w:szCs w:val="20"/>
                <w:color w:val="auto"/>
              </w:rPr>
            </w:pPr>
            <w:r>
              <w:rPr>
                <w:rFonts w:ascii="Arial" w:cs="Arial" w:eastAsia="Arial" w:hAnsi="Arial"/>
                <w:sz w:val="18"/>
                <w:szCs w:val="18"/>
                <w:color w:val="auto"/>
                <w:w w:val="97"/>
              </w:rPr>
              <w:t>dermatitis in pediatric</w:t>
            </w:r>
          </w:p>
        </w:tc>
        <w:tc>
          <w:tcPr>
            <w:tcW w:w="0" w:type="dxa"/>
            <w:vAlign w:val="bottom"/>
          </w:tcPr>
          <w:p>
            <w:pPr>
              <w:spacing w:after="0"/>
              <w:rPr>
                <w:sz w:val="1"/>
                <w:szCs w:val="1"/>
                <w:color w:val="auto"/>
              </w:rPr>
            </w:pPr>
          </w:p>
        </w:tc>
      </w:tr>
      <w:tr>
        <w:trPr>
          <w:trHeight w:val="215"/>
        </w:trPr>
        <w:tc>
          <w:tcPr>
            <w:tcW w:w="2780" w:type="dxa"/>
            <w:vAlign w:val="bottom"/>
            <w:shd w:val="clear" w:color="auto" w:fill="CDEAFA"/>
          </w:tcPr>
          <w:p>
            <w:pPr>
              <w:spacing w:after="0"/>
              <w:rPr>
                <w:sz w:val="18"/>
                <w:szCs w:val="18"/>
                <w:color w:val="auto"/>
              </w:rPr>
            </w:pPr>
          </w:p>
        </w:tc>
        <w:tc>
          <w:tcPr>
            <w:tcW w:w="2040" w:type="dxa"/>
            <w:vAlign w:val="bottom"/>
            <w:shd w:val="clear" w:color="auto" w:fill="CDEAFA"/>
          </w:tcPr>
          <w:p>
            <w:pPr>
              <w:spacing w:after="0"/>
              <w:rPr>
                <w:sz w:val="18"/>
                <w:szCs w:val="18"/>
                <w:color w:val="auto"/>
              </w:rPr>
            </w:pPr>
          </w:p>
        </w:tc>
        <w:tc>
          <w:tcPr>
            <w:tcW w:w="1460" w:type="dxa"/>
            <w:vAlign w:val="bottom"/>
            <w:shd w:val="clear" w:color="auto" w:fill="CDEAFA"/>
          </w:tcPr>
          <w:p>
            <w:pPr>
              <w:ind w:left="80"/>
              <w:spacing w:after="0"/>
              <w:rPr>
                <w:sz w:val="20"/>
                <w:szCs w:val="20"/>
                <w:color w:val="auto"/>
              </w:rPr>
            </w:pPr>
            <w:r>
              <w:rPr>
                <w:rFonts w:ascii="Arial" w:cs="Arial" w:eastAsia="Arial" w:hAnsi="Arial"/>
                <w:sz w:val="18"/>
                <w:szCs w:val="18"/>
                <w:color w:val="auto"/>
                <w:w w:val="91"/>
              </w:rPr>
              <w:t>months–5 years of</w:t>
            </w:r>
          </w:p>
        </w:tc>
        <w:tc>
          <w:tcPr>
            <w:tcW w:w="1440" w:type="dxa"/>
            <w:vAlign w:val="bottom"/>
            <w:shd w:val="clear" w:color="auto" w:fill="CDEAFA"/>
          </w:tcPr>
          <w:p>
            <w:pPr>
              <w:ind w:left="60"/>
              <w:spacing w:after="0"/>
              <w:rPr>
                <w:sz w:val="20"/>
                <w:szCs w:val="20"/>
                <w:color w:val="auto"/>
              </w:rPr>
            </w:pPr>
            <w:r>
              <w:rPr>
                <w:rFonts w:ascii="Arial" w:cs="Arial" w:eastAsia="Arial" w:hAnsi="Arial"/>
                <w:sz w:val="18"/>
                <w:szCs w:val="18"/>
                <w:color w:val="auto"/>
                <w:w w:val="91"/>
              </w:rPr>
              <w:t>months–5 years of</w:t>
            </w:r>
          </w:p>
        </w:tc>
        <w:tc>
          <w:tcPr>
            <w:tcW w:w="1780" w:type="dxa"/>
            <w:vAlign w:val="bottom"/>
            <w:shd w:val="clear" w:color="auto" w:fill="CDEAFA"/>
          </w:tcPr>
          <w:p>
            <w:pPr>
              <w:ind w:left="60"/>
              <w:spacing w:after="0"/>
              <w:rPr>
                <w:sz w:val="20"/>
                <w:szCs w:val="20"/>
                <w:color w:val="auto"/>
              </w:rPr>
            </w:pPr>
            <w:r>
              <w:rPr>
                <w:rFonts w:ascii="Arial" w:cs="Arial" w:eastAsia="Arial" w:hAnsi="Arial"/>
                <w:sz w:val="18"/>
                <w:szCs w:val="18"/>
                <w:color w:val="auto"/>
              </w:rPr>
              <w:t>(6 months–5 years of</w:t>
            </w:r>
          </w:p>
        </w:tc>
        <w:tc>
          <w:tcPr>
            <w:tcW w:w="1740" w:type="dxa"/>
            <w:vAlign w:val="bottom"/>
            <w:shd w:val="clear" w:color="auto" w:fill="CDEAFA"/>
          </w:tcPr>
          <w:p>
            <w:pPr>
              <w:ind w:left="60"/>
              <w:spacing w:after="0"/>
              <w:rPr>
                <w:sz w:val="20"/>
                <w:szCs w:val="20"/>
                <w:color w:val="auto"/>
              </w:rPr>
            </w:pPr>
            <w:r>
              <w:rPr>
                <w:rFonts w:ascii="Arial" w:cs="Arial" w:eastAsia="Arial" w:hAnsi="Arial"/>
                <w:sz w:val="18"/>
                <w:szCs w:val="18"/>
                <w:color w:val="auto"/>
                <w:w w:val="98"/>
              </w:rPr>
              <w:t>patients (6 months–5</w:t>
            </w:r>
          </w:p>
        </w:tc>
        <w:tc>
          <w:tcPr>
            <w:tcW w:w="0" w:type="dxa"/>
            <w:vAlign w:val="bottom"/>
          </w:tcPr>
          <w:p>
            <w:pPr>
              <w:spacing w:after="0"/>
              <w:rPr>
                <w:sz w:val="1"/>
                <w:szCs w:val="1"/>
                <w:color w:val="auto"/>
              </w:rPr>
            </w:pPr>
          </w:p>
        </w:tc>
      </w:tr>
      <w:tr>
        <w:trPr>
          <w:trHeight w:val="216"/>
        </w:trPr>
        <w:tc>
          <w:tcPr>
            <w:tcW w:w="2780" w:type="dxa"/>
            <w:vAlign w:val="bottom"/>
            <w:shd w:val="clear" w:color="auto" w:fill="CDEAFA"/>
          </w:tcPr>
          <w:p>
            <w:pPr>
              <w:spacing w:after="0"/>
              <w:rPr>
                <w:sz w:val="18"/>
                <w:szCs w:val="18"/>
                <w:color w:val="auto"/>
              </w:rPr>
            </w:pPr>
          </w:p>
        </w:tc>
        <w:tc>
          <w:tcPr>
            <w:tcW w:w="2040" w:type="dxa"/>
            <w:vAlign w:val="bottom"/>
            <w:shd w:val="clear" w:color="auto" w:fill="CDEAFA"/>
          </w:tcPr>
          <w:p>
            <w:pPr>
              <w:spacing w:after="0"/>
              <w:rPr>
                <w:sz w:val="18"/>
                <w:szCs w:val="18"/>
                <w:color w:val="auto"/>
              </w:rPr>
            </w:pPr>
          </w:p>
        </w:tc>
        <w:tc>
          <w:tcPr>
            <w:tcW w:w="1460" w:type="dxa"/>
            <w:vAlign w:val="bottom"/>
            <w:shd w:val="clear" w:color="auto" w:fill="CDEAFA"/>
          </w:tcPr>
          <w:p>
            <w:pPr>
              <w:ind w:left="80"/>
              <w:spacing w:after="0"/>
              <w:rPr>
                <w:sz w:val="20"/>
                <w:szCs w:val="20"/>
                <w:color w:val="auto"/>
              </w:rPr>
            </w:pPr>
            <w:r>
              <w:rPr>
                <w:rFonts w:ascii="Arial" w:cs="Arial" w:eastAsia="Arial" w:hAnsi="Arial"/>
                <w:sz w:val="18"/>
                <w:szCs w:val="18"/>
                <w:color w:val="auto"/>
              </w:rPr>
              <w:t>age) (Phase 2/3)</w:t>
            </w:r>
          </w:p>
        </w:tc>
        <w:tc>
          <w:tcPr>
            <w:tcW w:w="1440" w:type="dxa"/>
            <w:vAlign w:val="bottom"/>
            <w:shd w:val="clear" w:color="auto" w:fill="CDEAFA"/>
          </w:tcPr>
          <w:p>
            <w:pPr>
              <w:ind w:left="60"/>
              <w:spacing w:after="0"/>
              <w:rPr>
                <w:sz w:val="20"/>
                <w:szCs w:val="20"/>
                <w:color w:val="auto"/>
              </w:rPr>
            </w:pPr>
            <w:r>
              <w:rPr>
                <w:rFonts w:ascii="Arial" w:cs="Arial" w:eastAsia="Arial" w:hAnsi="Arial"/>
                <w:sz w:val="18"/>
                <w:szCs w:val="18"/>
                <w:color w:val="auto"/>
              </w:rPr>
              <w:t>age) (U.S.)</w:t>
            </w:r>
          </w:p>
        </w:tc>
        <w:tc>
          <w:tcPr>
            <w:tcW w:w="1780" w:type="dxa"/>
            <w:vAlign w:val="bottom"/>
            <w:shd w:val="clear" w:color="auto" w:fill="CDEAFA"/>
          </w:tcPr>
          <w:p>
            <w:pPr>
              <w:ind w:left="60"/>
              <w:spacing w:after="0"/>
              <w:rPr>
                <w:sz w:val="20"/>
                <w:szCs w:val="20"/>
                <w:color w:val="auto"/>
              </w:rPr>
            </w:pPr>
            <w:r>
              <w:rPr>
                <w:rFonts w:ascii="Arial" w:cs="Arial" w:eastAsia="Arial" w:hAnsi="Arial"/>
                <w:sz w:val="18"/>
                <w:szCs w:val="18"/>
                <w:color w:val="auto"/>
              </w:rPr>
              <w:t>age) met its primary</w:t>
            </w:r>
          </w:p>
        </w:tc>
        <w:tc>
          <w:tcPr>
            <w:tcW w:w="1740" w:type="dxa"/>
            <w:vAlign w:val="bottom"/>
            <w:shd w:val="clear" w:color="auto" w:fill="CDEAFA"/>
          </w:tcPr>
          <w:p>
            <w:pPr>
              <w:ind w:left="60"/>
              <w:spacing w:after="0"/>
              <w:rPr>
                <w:sz w:val="20"/>
                <w:szCs w:val="20"/>
                <w:color w:val="auto"/>
              </w:rPr>
            </w:pPr>
            <w:r>
              <w:rPr>
                <w:rFonts w:ascii="Arial" w:cs="Arial" w:eastAsia="Arial" w:hAnsi="Arial"/>
                <w:sz w:val="18"/>
                <w:szCs w:val="18"/>
                <w:color w:val="auto"/>
              </w:rPr>
              <w:t>years of age) (mid-</w:t>
            </w:r>
          </w:p>
        </w:tc>
        <w:tc>
          <w:tcPr>
            <w:tcW w:w="0" w:type="dxa"/>
            <w:vAlign w:val="bottom"/>
          </w:tcPr>
          <w:p>
            <w:pPr>
              <w:spacing w:after="0"/>
              <w:rPr>
                <w:sz w:val="1"/>
                <w:szCs w:val="1"/>
                <w:color w:val="auto"/>
              </w:rPr>
            </w:pPr>
          </w:p>
        </w:tc>
      </w:tr>
      <w:tr>
        <w:trPr>
          <w:trHeight w:val="216"/>
        </w:trPr>
        <w:tc>
          <w:tcPr>
            <w:tcW w:w="2780" w:type="dxa"/>
            <w:vAlign w:val="bottom"/>
            <w:shd w:val="clear" w:color="auto" w:fill="CDEAFA"/>
          </w:tcPr>
          <w:p>
            <w:pPr>
              <w:spacing w:after="0"/>
              <w:rPr>
                <w:sz w:val="18"/>
                <w:szCs w:val="18"/>
                <w:color w:val="auto"/>
              </w:rPr>
            </w:pPr>
          </w:p>
        </w:tc>
        <w:tc>
          <w:tcPr>
            <w:tcW w:w="2040" w:type="dxa"/>
            <w:vAlign w:val="bottom"/>
            <w:shd w:val="clear" w:color="auto" w:fill="CDEAFA"/>
          </w:tcPr>
          <w:p>
            <w:pPr>
              <w:spacing w:after="0"/>
              <w:rPr>
                <w:sz w:val="18"/>
                <w:szCs w:val="18"/>
                <w:color w:val="auto"/>
              </w:rPr>
            </w:pPr>
          </w:p>
        </w:tc>
        <w:tc>
          <w:tcPr>
            <w:tcW w:w="1460" w:type="dxa"/>
            <w:vAlign w:val="bottom"/>
            <w:shd w:val="clear" w:color="auto" w:fill="CDEAFA"/>
          </w:tcPr>
          <w:p>
            <w:pPr>
              <w:ind w:left="80"/>
              <w:spacing w:after="0"/>
              <w:rPr>
                <w:sz w:val="20"/>
                <w:szCs w:val="20"/>
                <w:color w:val="auto"/>
              </w:rPr>
            </w:pPr>
            <w:r>
              <w:rPr>
                <w:rFonts w:ascii="Arial" w:cs="Arial" w:eastAsia="Arial" w:hAnsi="Arial"/>
                <w:sz w:val="15"/>
                <w:szCs w:val="15"/>
                <w:color w:val="auto"/>
              </w:rPr>
              <w:t>(d)</w:t>
            </w:r>
          </w:p>
        </w:tc>
        <w:tc>
          <w:tcPr>
            <w:tcW w:w="1440" w:type="dxa"/>
            <w:vAlign w:val="bottom"/>
            <w:shd w:val="clear" w:color="auto" w:fill="CDEAFA"/>
          </w:tcPr>
          <w:p>
            <w:pPr>
              <w:spacing w:after="0"/>
              <w:rPr>
                <w:sz w:val="18"/>
                <w:szCs w:val="18"/>
                <w:color w:val="auto"/>
              </w:rPr>
            </w:pPr>
          </w:p>
        </w:tc>
        <w:tc>
          <w:tcPr>
            <w:tcW w:w="1780" w:type="dxa"/>
            <w:vAlign w:val="bottom"/>
            <w:shd w:val="clear" w:color="auto" w:fill="CDEAFA"/>
          </w:tcPr>
          <w:p>
            <w:pPr>
              <w:ind w:left="60"/>
              <w:spacing w:after="0"/>
              <w:rPr>
                <w:sz w:val="20"/>
                <w:szCs w:val="20"/>
                <w:color w:val="auto"/>
              </w:rPr>
            </w:pPr>
            <w:r>
              <w:rPr>
                <w:rFonts w:ascii="Arial" w:cs="Arial" w:eastAsia="Arial" w:hAnsi="Arial"/>
                <w:sz w:val="18"/>
                <w:szCs w:val="18"/>
                <w:color w:val="auto"/>
              </w:rPr>
              <w:t>and key secondary</w:t>
            </w:r>
          </w:p>
        </w:tc>
        <w:tc>
          <w:tcPr>
            <w:tcW w:w="1740" w:type="dxa"/>
            <w:vAlign w:val="bottom"/>
            <w:shd w:val="clear" w:color="auto" w:fill="CDEAFA"/>
          </w:tcPr>
          <w:p>
            <w:pPr>
              <w:ind w:left="6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2780" w:type="dxa"/>
            <w:vAlign w:val="bottom"/>
            <w:shd w:val="clear" w:color="auto" w:fill="CDEAFA"/>
          </w:tcPr>
          <w:p>
            <w:pPr>
              <w:spacing w:after="0"/>
              <w:rPr>
                <w:sz w:val="18"/>
                <w:szCs w:val="18"/>
                <w:color w:val="auto"/>
              </w:rPr>
            </w:pPr>
          </w:p>
        </w:tc>
        <w:tc>
          <w:tcPr>
            <w:tcW w:w="2040" w:type="dxa"/>
            <w:vAlign w:val="bottom"/>
            <w:shd w:val="clear" w:color="auto" w:fill="CDEAFA"/>
          </w:tcPr>
          <w:p>
            <w:pPr>
              <w:spacing w:after="0"/>
              <w:rPr>
                <w:sz w:val="18"/>
                <w:szCs w:val="18"/>
                <w:color w:val="auto"/>
              </w:rPr>
            </w:pPr>
          </w:p>
        </w:tc>
        <w:tc>
          <w:tcPr>
            <w:tcW w:w="1460" w:type="dxa"/>
            <w:vAlign w:val="bottom"/>
            <w:vMerge w:val="restart"/>
            <w:shd w:val="clear" w:color="auto" w:fill="CDEAFA"/>
          </w:tcPr>
          <w:p>
            <w:pPr>
              <w:ind w:left="80"/>
              <w:spacing w:after="0"/>
              <w:rPr>
                <w:sz w:val="20"/>
                <w:szCs w:val="20"/>
                <w:color w:val="auto"/>
              </w:rPr>
            </w:pPr>
            <w:r>
              <w:rPr>
                <w:rFonts w:ascii="Arial" w:cs="Arial" w:eastAsia="Arial" w:hAnsi="Arial"/>
                <w:sz w:val="18"/>
                <w:szCs w:val="18"/>
                <w:color w:val="auto"/>
              </w:rPr>
              <w:t>–Eosinophilic</w:t>
            </w:r>
          </w:p>
        </w:tc>
        <w:tc>
          <w:tcPr>
            <w:tcW w:w="1440" w:type="dxa"/>
            <w:vAlign w:val="bottom"/>
            <w:shd w:val="clear" w:color="auto" w:fill="CDEAFA"/>
          </w:tcPr>
          <w:p>
            <w:pPr>
              <w:ind w:left="60"/>
              <w:spacing w:after="0"/>
              <w:rPr>
                <w:sz w:val="20"/>
                <w:szCs w:val="20"/>
                <w:color w:val="auto"/>
              </w:rPr>
            </w:pPr>
            <w:r>
              <w:rPr>
                <w:rFonts w:ascii="Arial" w:cs="Arial" w:eastAsia="Arial" w:hAnsi="Arial"/>
                <w:sz w:val="18"/>
                <w:szCs w:val="18"/>
                <w:color w:val="auto"/>
              </w:rPr>
              <w:t>–Asthma in</w:t>
            </w:r>
          </w:p>
        </w:tc>
        <w:tc>
          <w:tcPr>
            <w:tcW w:w="1780" w:type="dxa"/>
            <w:vAlign w:val="bottom"/>
            <w:shd w:val="clear" w:color="auto" w:fill="CDEAFA"/>
          </w:tcPr>
          <w:p>
            <w:pPr>
              <w:ind w:left="60"/>
              <w:spacing w:after="0"/>
              <w:rPr>
                <w:sz w:val="20"/>
                <w:szCs w:val="20"/>
                <w:color w:val="auto"/>
              </w:rPr>
            </w:pPr>
            <w:r>
              <w:rPr>
                <w:rFonts w:ascii="Arial" w:cs="Arial" w:eastAsia="Arial" w:hAnsi="Arial"/>
                <w:sz w:val="18"/>
                <w:szCs w:val="18"/>
                <w:color w:val="auto"/>
              </w:rPr>
              <w:t>endpoints</w:t>
            </w:r>
          </w:p>
        </w:tc>
        <w:tc>
          <w:tcPr>
            <w:tcW w:w="174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DEAFA"/>
          </w:tcPr>
          <w:p>
            <w:pPr>
              <w:spacing w:after="0"/>
              <w:rPr>
                <w:sz w:val="17"/>
                <w:szCs w:val="17"/>
                <w:color w:val="auto"/>
              </w:rPr>
            </w:pPr>
          </w:p>
        </w:tc>
        <w:tc>
          <w:tcPr>
            <w:tcW w:w="2040" w:type="dxa"/>
            <w:vAlign w:val="bottom"/>
            <w:shd w:val="clear" w:color="auto" w:fill="CDEAFA"/>
          </w:tcPr>
          <w:p>
            <w:pPr>
              <w:spacing w:after="0"/>
              <w:rPr>
                <w:sz w:val="17"/>
                <w:szCs w:val="17"/>
                <w:color w:val="auto"/>
              </w:rPr>
            </w:pPr>
          </w:p>
        </w:tc>
        <w:tc>
          <w:tcPr>
            <w:tcW w:w="1460" w:type="dxa"/>
            <w:vAlign w:val="bottom"/>
            <w:vMerge w:val="continue"/>
            <w:shd w:val="clear" w:color="auto" w:fill="CDEAFA"/>
          </w:tcPr>
          <w:p>
            <w:pPr>
              <w:spacing w:after="0"/>
              <w:rPr>
                <w:sz w:val="17"/>
                <w:szCs w:val="17"/>
                <w:color w:val="auto"/>
              </w:rPr>
            </w:pPr>
          </w:p>
        </w:tc>
        <w:tc>
          <w:tcPr>
            <w:tcW w:w="1440" w:type="dxa"/>
            <w:vAlign w:val="bottom"/>
            <w:shd w:val="clear" w:color="auto" w:fill="CDEAFA"/>
          </w:tcPr>
          <w:p>
            <w:pPr>
              <w:ind w:left="60"/>
              <w:spacing w:after="0" w:line="202" w:lineRule="exact"/>
              <w:rPr>
                <w:sz w:val="20"/>
                <w:szCs w:val="20"/>
                <w:color w:val="auto"/>
              </w:rPr>
            </w:pPr>
            <w:r>
              <w:rPr>
                <w:rFonts w:ascii="Arial" w:cs="Arial" w:eastAsia="Arial" w:hAnsi="Arial"/>
                <w:sz w:val="18"/>
                <w:szCs w:val="18"/>
                <w:color w:val="auto"/>
              </w:rPr>
              <w:t>pediatrics (6–11</w:t>
            </w:r>
          </w:p>
        </w:tc>
        <w:tc>
          <w:tcPr>
            <w:tcW w:w="1780" w:type="dxa"/>
            <w:vAlign w:val="bottom"/>
            <w:shd w:val="clear" w:color="auto" w:fill="CDEAFA"/>
          </w:tcPr>
          <w:p>
            <w:pPr>
              <w:spacing w:after="0"/>
              <w:rPr>
                <w:sz w:val="17"/>
                <w:szCs w:val="17"/>
                <w:color w:val="auto"/>
              </w:rPr>
            </w:pPr>
          </w:p>
        </w:tc>
        <w:tc>
          <w:tcPr>
            <w:tcW w:w="1740" w:type="dxa"/>
            <w:vAlign w:val="bottom"/>
            <w:shd w:val="clear" w:color="auto" w:fill="CDEAFA"/>
          </w:tcPr>
          <w:p>
            <w:pPr>
              <w:ind w:left="60"/>
              <w:spacing w:after="0" w:line="202" w:lineRule="exact"/>
              <w:rPr>
                <w:sz w:val="20"/>
                <w:szCs w:val="20"/>
                <w:color w:val="auto"/>
              </w:rPr>
            </w:pPr>
            <w:r>
              <w:rPr>
                <w:rFonts w:ascii="Arial" w:cs="Arial" w:eastAsia="Arial" w:hAnsi="Arial"/>
                <w:sz w:val="18"/>
                <w:szCs w:val="18"/>
                <w:color w:val="auto"/>
              </w:rPr>
              <w:t>–Submit regulatory</w:t>
            </w:r>
          </w:p>
        </w:tc>
        <w:tc>
          <w:tcPr>
            <w:tcW w:w="0" w:type="dxa"/>
            <w:vAlign w:val="bottom"/>
          </w:tcPr>
          <w:p>
            <w:pPr>
              <w:spacing w:after="0"/>
              <w:rPr>
                <w:sz w:val="1"/>
                <w:szCs w:val="1"/>
                <w:color w:val="auto"/>
              </w:rPr>
            </w:pPr>
          </w:p>
        </w:tc>
      </w:tr>
      <w:tr>
        <w:trPr>
          <w:trHeight w:val="220"/>
        </w:trPr>
        <w:tc>
          <w:tcPr>
            <w:tcW w:w="2780" w:type="dxa"/>
            <w:vAlign w:val="bottom"/>
            <w:shd w:val="clear" w:color="auto" w:fill="CDEAFA"/>
          </w:tcPr>
          <w:p>
            <w:pPr>
              <w:spacing w:after="0"/>
              <w:rPr>
                <w:sz w:val="19"/>
                <w:szCs w:val="19"/>
                <w:color w:val="auto"/>
              </w:rPr>
            </w:pPr>
          </w:p>
        </w:tc>
        <w:tc>
          <w:tcPr>
            <w:tcW w:w="2040" w:type="dxa"/>
            <w:vAlign w:val="bottom"/>
            <w:shd w:val="clear" w:color="auto" w:fill="CDEAFA"/>
          </w:tcPr>
          <w:p>
            <w:pPr>
              <w:spacing w:after="0"/>
              <w:rPr>
                <w:sz w:val="19"/>
                <w:szCs w:val="19"/>
                <w:color w:val="auto"/>
              </w:rPr>
            </w:pPr>
          </w:p>
        </w:tc>
        <w:tc>
          <w:tcPr>
            <w:tcW w:w="1460" w:type="dxa"/>
            <w:vAlign w:val="bottom"/>
            <w:shd w:val="clear" w:color="auto" w:fill="CDEAFA"/>
          </w:tcPr>
          <w:p>
            <w:pPr>
              <w:ind w:left="80"/>
              <w:spacing w:after="0"/>
              <w:rPr>
                <w:sz w:val="20"/>
                <w:szCs w:val="20"/>
                <w:color w:val="auto"/>
              </w:rPr>
            </w:pPr>
            <w:r>
              <w:rPr>
                <w:rFonts w:ascii="Arial" w:cs="Arial" w:eastAsia="Arial" w:hAnsi="Arial"/>
                <w:sz w:val="18"/>
                <w:szCs w:val="18"/>
                <w:color w:val="auto"/>
              </w:rPr>
              <w:t>esophagitis</w:t>
            </w:r>
          </w:p>
        </w:tc>
        <w:tc>
          <w:tcPr>
            <w:tcW w:w="1440" w:type="dxa"/>
            <w:vAlign w:val="bottom"/>
            <w:shd w:val="clear" w:color="auto" w:fill="CDEAFA"/>
          </w:tcPr>
          <w:p>
            <w:pPr>
              <w:ind w:left="60"/>
              <w:spacing w:after="0"/>
              <w:rPr>
                <w:sz w:val="20"/>
                <w:szCs w:val="20"/>
                <w:color w:val="auto"/>
              </w:rPr>
            </w:pPr>
            <w:r>
              <w:rPr>
                <w:rFonts w:ascii="Arial" w:cs="Arial" w:eastAsia="Arial" w:hAnsi="Arial"/>
                <w:sz w:val="18"/>
                <w:szCs w:val="18"/>
                <w:color w:val="auto"/>
                <w:w w:val="92"/>
              </w:rPr>
              <w:t>years of age) (EU)</w:t>
            </w:r>
          </w:p>
        </w:tc>
        <w:tc>
          <w:tcPr>
            <w:tcW w:w="1780" w:type="dxa"/>
            <w:vAlign w:val="bottom"/>
            <w:shd w:val="clear" w:color="auto" w:fill="CDEAFA"/>
          </w:tcPr>
          <w:p>
            <w:pPr>
              <w:ind w:left="60"/>
              <w:spacing w:after="0"/>
              <w:rPr>
                <w:sz w:val="20"/>
                <w:szCs w:val="20"/>
                <w:color w:val="auto"/>
              </w:rPr>
            </w:pPr>
            <w:r>
              <w:rPr>
                <w:rFonts w:ascii="Arial" w:cs="Arial" w:eastAsia="Arial" w:hAnsi="Arial"/>
                <w:sz w:val="18"/>
                <w:szCs w:val="18"/>
                <w:color w:val="auto"/>
              </w:rPr>
              <w:t>–Initiated Phase 3</w:t>
            </w:r>
          </w:p>
        </w:tc>
        <w:tc>
          <w:tcPr>
            <w:tcW w:w="1740" w:type="dxa"/>
            <w:vAlign w:val="bottom"/>
            <w:shd w:val="clear" w:color="auto" w:fill="CDEAFA"/>
          </w:tcPr>
          <w:p>
            <w:pPr>
              <w:ind w:left="60"/>
              <w:spacing w:after="0"/>
              <w:rPr>
                <w:sz w:val="20"/>
                <w:szCs w:val="20"/>
                <w:color w:val="auto"/>
              </w:rPr>
            </w:pPr>
            <w:r>
              <w:rPr>
                <w:rFonts w:ascii="Arial" w:cs="Arial" w:eastAsia="Arial" w:hAnsi="Arial"/>
                <w:sz w:val="18"/>
                <w:szCs w:val="18"/>
                <w:color w:val="auto"/>
              </w:rPr>
              <w:t>application in the EU</w:t>
            </w:r>
          </w:p>
        </w:tc>
        <w:tc>
          <w:tcPr>
            <w:tcW w:w="0" w:type="dxa"/>
            <w:vAlign w:val="bottom"/>
          </w:tcPr>
          <w:p>
            <w:pPr>
              <w:spacing w:after="0"/>
              <w:rPr>
                <w:sz w:val="1"/>
                <w:szCs w:val="1"/>
                <w:color w:val="auto"/>
              </w:rPr>
            </w:pPr>
          </w:p>
        </w:tc>
      </w:tr>
      <w:tr>
        <w:trPr>
          <w:trHeight w:val="226"/>
        </w:trPr>
        <w:tc>
          <w:tcPr>
            <w:tcW w:w="2780" w:type="dxa"/>
            <w:vAlign w:val="bottom"/>
            <w:shd w:val="clear" w:color="auto" w:fill="CDEAFA"/>
          </w:tcPr>
          <w:p>
            <w:pPr>
              <w:spacing w:after="0"/>
              <w:rPr>
                <w:sz w:val="19"/>
                <w:szCs w:val="19"/>
                <w:color w:val="auto"/>
              </w:rPr>
            </w:pPr>
          </w:p>
        </w:tc>
        <w:tc>
          <w:tcPr>
            <w:tcW w:w="2040" w:type="dxa"/>
            <w:vAlign w:val="bottom"/>
            <w:shd w:val="clear" w:color="auto" w:fill="CDEAFA"/>
          </w:tcPr>
          <w:p>
            <w:pPr>
              <w:spacing w:after="0"/>
              <w:rPr>
                <w:sz w:val="19"/>
                <w:szCs w:val="19"/>
                <w:color w:val="auto"/>
              </w:rPr>
            </w:pPr>
          </w:p>
        </w:tc>
        <w:tc>
          <w:tcPr>
            <w:tcW w:w="1460" w:type="dxa"/>
            <w:vAlign w:val="bottom"/>
            <w:shd w:val="clear" w:color="auto" w:fill="CDEAFA"/>
          </w:tcPr>
          <w:p>
            <w:pPr>
              <w:ind w:left="80"/>
              <w:spacing w:after="0" w:line="226" w:lineRule="exact"/>
              <w:rPr>
                <w:sz w:val="20"/>
                <w:szCs w:val="20"/>
                <w:color w:val="auto"/>
              </w:rPr>
            </w:pPr>
            <w:r>
              <w:rPr>
                <w:rFonts w:ascii="Arial" w:cs="Arial" w:eastAsia="Arial" w:hAnsi="Arial"/>
                <w:sz w:val="16"/>
                <w:szCs w:val="16"/>
                <w:color w:val="auto"/>
              </w:rPr>
              <w:t>(“EoE”)</w:t>
            </w:r>
            <w:r>
              <w:rPr>
                <w:rFonts w:ascii="Arial" w:cs="Arial" w:eastAsia="Arial" w:hAnsi="Arial"/>
                <w:sz w:val="26"/>
                <w:szCs w:val="26"/>
                <w:color w:val="auto"/>
                <w:vertAlign w:val="superscript"/>
              </w:rPr>
              <w:t>(c)</w:t>
            </w:r>
            <w:r>
              <w:rPr>
                <w:rFonts w:ascii="Arial" w:cs="Arial" w:eastAsia="Arial" w:hAnsi="Arial"/>
                <w:sz w:val="16"/>
                <w:szCs w:val="16"/>
                <w:color w:val="auto"/>
              </w:rPr>
              <w:t xml:space="preserve"> in</w:t>
            </w:r>
          </w:p>
        </w:tc>
        <w:tc>
          <w:tcPr>
            <w:tcW w:w="1440" w:type="dxa"/>
            <w:vAlign w:val="bottom"/>
            <w:shd w:val="clear" w:color="auto" w:fill="CDEAFA"/>
          </w:tcPr>
          <w:p>
            <w:pPr>
              <w:spacing w:after="0"/>
              <w:rPr>
                <w:sz w:val="19"/>
                <w:szCs w:val="19"/>
                <w:color w:val="auto"/>
              </w:rPr>
            </w:pPr>
          </w:p>
        </w:tc>
        <w:tc>
          <w:tcPr>
            <w:tcW w:w="1780" w:type="dxa"/>
            <w:vAlign w:val="bottom"/>
            <w:shd w:val="clear" w:color="auto" w:fill="CDEAFA"/>
          </w:tcPr>
          <w:p>
            <w:pPr>
              <w:ind w:left="60"/>
              <w:spacing w:after="0"/>
              <w:rPr>
                <w:sz w:val="20"/>
                <w:szCs w:val="20"/>
                <w:color w:val="auto"/>
              </w:rPr>
            </w:pPr>
            <w:r>
              <w:rPr>
                <w:rFonts w:ascii="Arial" w:cs="Arial" w:eastAsia="Arial" w:hAnsi="Arial"/>
                <w:sz w:val="18"/>
                <w:szCs w:val="18"/>
                <w:color w:val="auto"/>
                <w:w w:val="95"/>
              </w:rPr>
              <w:t>study in hand and foot</w:t>
            </w:r>
          </w:p>
        </w:tc>
        <w:tc>
          <w:tcPr>
            <w:tcW w:w="1740" w:type="dxa"/>
            <w:vAlign w:val="bottom"/>
            <w:shd w:val="clear" w:color="auto" w:fill="CDEAFA"/>
          </w:tcPr>
          <w:p>
            <w:pPr>
              <w:ind w:left="60"/>
              <w:spacing w:after="0"/>
              <w:rPr>
                <w:sz w:val="20"/>
                <w:szCs w:val="20"/>
                <w:color w:val="auto"/>
              </w:rPr>
            </w:pPr>
            <w:r>
              <w:rPr>
                <w:rFonts w:ascii="Arial" w:cs="Arial" w:eastAsia="Arial" w:hAnsi="Arial"/>
                <w:sz w:val="18"/>
                <w:szCs w:val="18"/>
                <w:color w:val="auto"/>
              </w:rPr>
              <w:t>for atopic dermatitis</w:t>
            </w:r>
          </w:p>
        </w:tc>
        <w:tc>
          <w:tcPr>
            <w:tcW w:w="0" w:type="dxa"/>
            <w:vAlign w:val="bottom"/>
          </w:tcPr>
          <w:p>
            <w:pPr>
              <w:spacing w:after="0"/>
              <w:rPr>
                <w:sz w:val="1"/>
                <w:szCs w:val="1"/>
                <w:color w:val="auto"/>
              </w:rPr>
            </w:pPr>
          </w:p>
        </w:tc>
      </w:tr>
      <w:tr>
        <w:trPr>
          <w:trHeight w:val="232"/>
        </w:trPr>
        <w:tc>
          <w:tcPr>
            <w:tcW w:w="2780" w:type="dxa"/>
            <w:vAlign w:val="bottom"/>
            <w:shd w:val="clear" w:color="auto" w:fill="CDEAFA"/>
          </w:tcPr>
          <w:p>
            <w:pPr>
              <w:spacing w:after="0"/>
              <w:rPr>
                <w:sz w:val="20"/>
                <w:szCs w:val="20"/>
                <w:color w:val="auto"/>
              </w:rPr>
            </w:pPr>
          </w:p>
        </w:tc>
        <w:tc>
          <w:tcPr>
            <w:tcW w:w="2040" w:type="dxa"/>
            <w:vAlign w:val="bottom"/>
            <w:shd w:val="clear" w:color="auto" w:fill="CDEAFA"/>
          </w:tcPr>
          <w:p>
            <w:pPr>
              <w:spacing w:after="0"/>
              <w:rPr>
                <w:sz w:val="20"/>
                <w:szCs w:val="20"/>
                <w:color w:val="auto"/>
              </w:rPr>
            </w:pPr>
          </w:p>
        </w:tc>
        <w:tc>
          <w:tcPr>
            <w:tcW w:w="1460" w:type="dxa"/>
            <w:vAlign w:val="bottom"/>
            <w:shd w:val="clear" w:color="auto" w:fill="CDEAFA"/>
          </w:tcPr>
          <w:p>
            <w:pPr>
              <w:ind w:left="80"/>
              <w:spacing w:after="0" w:line="232" w:lineRule="exact"/>
              <w:rPr>
                <w:sz w:val="20"/>
                <w:szCs w:val="20"/>
                <w:color w:val="auto"/>
              </w:rPr>
            </w:pPr>
            <w:r>
              <w:rPr>
                <w:rFonts w:ascii="Arial" w:cs="Arial" w:eastAsia="Arial" w:hAnsi="Arial"/>
                <w:sz w:val="16"/>
                <w:szCs w:val="16"/>
                <w:color w:val="auto"/>
              </w:rPr>
              <w:t>adults</w:t>
            </w:r>
            <w:r>
              <w:rPr>
                <w:rFonts w:ascii="Arial" w:cs="Arial" w:eastAsia="Arial" w:hAnsi="Arial"/>
                <w:sz w:val="26"/>
                <w:szCs w:val="26"/>
                <w:color w:val="auto"/>
                <w:vertAlign w:val="superscript"/>
              </w:rPr>
              <w:t>(d)</w:t>
            </w:r>
            <w:r>
              <w:rPr>
                <w:rFonts w:ascii="Arial" w:cs="Arial" w:eastAsia="Arial" w:hAnsi="Arial"/>
                <w:sz w:val="16"/>
                <w:szCs w:val="16"/>
                <w:color w:val="auto"/>
              </w:rPr>
              <w:t>,</w:t>
            </w:r>
          </w:p>
        </w:tc>
        <w:tc>
          <w:tcPr>
            <w:tcW w:w="1440" w:type="dxa"/>
            <w:vAlign w:val="bottom"/>
            <w:shd w:val="clear" w:color="auto" w:fill="CDEAFA"/>
          </w:tcPr>
          <w:p>
            <w:pPr>
              <w:ind w:left="60"/>
              <w:spacing w:after="0"/>
              <w:rPr>
                <w:sz w:val="20"/>
                <w:szCs w:val="20"/>
                <w:color w:val="auto"/>
              </w:rPr>
            </w:pPr>
            <w:r>
              <w:rPr>
                <w:rFonts w:ascii="Arial" w:cs="Arial" w:eastAsia="Arial" w:hAnsi="Arial"/>
                <w:sz w:val="18"/>
                <w:szCs w:val="18"/>
                <w:color w:val="auto"/>
              </w:rPr>
              <w:t>–EoE in adults</w:t>
            </w:r>
          </w:p>
        </w:tc>
        <w:tc>
          <w:tcPr>
            <w:tcW w:w="1780" w:type="dxa"/>
            <w:vAlign w:val="bottom"/>
            <w:shd w:val="clear" w:color="auto" w:fill="CDEAFA"/>
          </w:tcPr>
          <w:p>
            <w:pPr>
              <w:ind w:left="60"/>
              <w:spacing w:after="0"/>
              <w:rPr>
                <w:sz w:val="20"/>
                <w:szCs w:val="20"/>
                <w:color w:val="auto"/>
              </w:rPr>
            </w:pPr>
            <w:r>
              <w:rPr>
                <w:rFonts w:ascii="Arial" w:cs="Arial" w:eastAsia="Arial" w:hAnsi="Arial"/>
                <w:sz w:val="18"/>
                <w:szCs w:val="18"/>
                <w:color w:val="auto"/>
              </w:rPr>
              <w:t>atopic dermatitis</w:t>
            </w:r>
          </w:p>
        </w:tc>
        <w:tc>
          <w:tcPr>
            <w:tcW w:w="1740" w:type="dxa"/>
            <w:vAlign w:val="bottom"/>
            <w:shd w:val="clear" w:color="auto" w:fill="CDEAFA"/>
          </w:tcPr>
          <w:p>
            <w:pPr>
              <w:ind w:left="60"/>
              <w:spacing w:after="0"/>
              <w:rPr>
                <w:sz w:val="20"/>
                <w:szCs w:val="20"/>
                <w:color w:val="auto"/>
              </w:rPr>
            </w:pPr>
            <w:r>
              <w:rPr>
                <w:rFonts w:ascii="Arial" w:cs="Arial" w:eastAsia="Arial" w:hAnsi="Arial"/>
                <w:sz w:val="18"/>
                <w:szCs w:val="18"/>
                <w:color w:val="auto"/>
                <w:w w:val="94"/>
              </w:rPr>
              <w:t>in pediatric patients (6</w:t>
            </w:r>
          </w:p>
        </w:tc>
        <w:tc>
          <w:tcPr>
            <w:tcW w:w="0" w:type="dxa"/>
            <w:vAlign w:val="bottom"/>
          </w:tcPr>
          <w:p>
            <w:pPr>
              <w:spacing w:after="0"/>
              <w:rPr>
                <w:sz w:val="1"/>
                <w:szCs w:val="1"/>
                <w:color w:val="auto"/>
              </w:rPr>
            </w:pPr>
          </w:p>
        </w:tc>
      </w:tr>
      <w:tr>
        <w:trPr>
          <w:trHeight w:val="200"/>
        </w:trPr>
        <w:tc>
          <w:tcPr>
            <w:tcW w:w="2780" w:type="dxa"/>
            <w:vAlign w:val="bottom"/>
            <w:shd w:val="clear" w:color="auto" w:fill="CDEAFA"/>
          </w:tcPr>
          <w:p>
            <w:pPr>
              <w:spacing w:after="0"/>
              <w:rPr>
                <w:sz w:val="17"/>
                <w:szCs w:val="17"/>
                <w:color w:val="auto"/>
              </w:rPr>
            </w:pPr>
          </w:p>
        </w:tc>
        <w:tc>
          <w:tcPr>
            <w:tcW w:w="2040" w:type="dxa"/>
            <w:vAlign w:val="bottom"/>
            <w:shd w:val="clear" w:color="auto" w:fill="CDEAFA"/>
          </w:tcPr>
          <w:p>
            <w:pPr>
              <w:spacing w:after="0"/>
              <w:rPr>
                <w:sz w:val="17"/>
                <w:szCs w:val="17"/>
                <w:color w:val="auto"/>
              </w:rPr>
            </w:pPr>
          </w:p>
        </w:tc>
        <w:tc>
          <w:tcPr>
            <w:tcW w:w="1460" w:type="dxa"/>
            <w:vAlign w:val="bottom"/>
            <w:vMerge w:val="restart"/>
            <w:shd w:val="clear" w:color="auto" w:fill="CDEAFA"/>
          </w:tcPr>
          <w:p>
            <w:pPr>
              <w:ind w:left="80"/>
              <w:spacing w:after="0" w:line="308" w:lineRule="exact"/>
              <w:rPr>
                <w:sz w:val="20"/>
                <w:szCs w:val="20"/>
                <w:color w:val="auto"/>
              </w:rPr>
            </w:pPr>
            <w:r>
              <w:rPr>
                <w:rFonts w:ascii="Arial" w:cs="Arial" w:eastAsia="Arial" w:hAnsi="Arial"/>
                <w:sz w:val="18"/>
                <w:szCs w:val="18"/>
                <w:color w:val="auto"/>
              </w:rPr>
              <w:t>adolescents</w:t>
            </w:r>
            <w:r>
              <w:rPr>
                <w:rFonts w:ascii="Arial" w:cs="Arial" w:eastAsia="Arial" w:hAnsi="Arial"/>
                <w:sz w:val="29"/>
                <w:szCs w:val="29"/>
                <w:color w:val="auto"/>
                <w:vertAlign w:val="superscript"/>
              </w:rPr>
              <w:t>(d)</w:t>
            </w:r>
            <w:r>
              <w:rPr>
                <w:rFonts w:ascii="Arial" w:cs="Arial" w:eastAsia="Arial" w:hAnsi="Arial"/>
                <w:sz w:val="18"/>
                <w:szCs w:val="18"/>
                <w:color w:val="auto"/>
              </w:rPr>
              <w:t>,</w:t>
            </w:r>
          </w:p>
        </w:tc>
        <w:tc>
          <w:tcPr>
            <w:tcW w:w="1440" w:type="dxa"/>
            <w:vAlign w:val="bottom"/>
            <w:shd w:val="clear" w:color="auto" w:fill="CDEAFA"/>
          </w:tcPr>
          <w:p>
            <w:pPr>
              <w:ind w:left="60"/>
              <w:spacing w:after="0" w:line="200" w:lineRule="exact"/>
              <w:rPr>
                <w:sz w:val="20"/>
                <w:szCs w:val="20"/>
                <w:color w:val="auto"/>
              </w:rPr>
            </w:pPr>
            <w:r>
              <w:rPr>
                <w:rFonts w:ascii="Arial" w:cs="Arial" w:eastAsia="Arial" w:hAnsi="Arial"/>
                <w:sz w:val="18"/>
                <w:szCs w:val="18"/>
                <w:color w:val="auto"/>
              </w:rPr>
              <w:t>and adolescents</w:t>
            </w:r>
          </w:p>
        </w:tc>
        <w:tc>
          <w:tcPr>
            <w:tcW w:w="1780" w:type="dxa"/>
            <w:vAlign w:val="bottom"/>
            <w:shd w:val="clear" w:color="auto" w:fill="CDEAFA"/>
          </w:tcPr>
          <w:p>
            <w:pPr>
              <w:spacing w:after="0"/>
              <w:rPr>
                <w:sz w:val="17"/>
                <w:szCs w:val="17"/>
                <w:color w:val="auto"/>
              </w:rPr>
            </w:pPr>
          </w:p>
        </w:tc>
        <w:tc>
          <w:tcPr>
            <w:tcW w:w="1740" w:type="dxa"/>
            <w:vAlign w:val="bottom"/>
            <w:shd w:val="clear" w:color="auto" w:fill="CDEAFA"/>
          </w:tcPr>
          <w:p>
            <w:pPr>
              <w:ind w:left="60"/>
              <w:spacing w:after="0" w:line="200" w:lineRule="exact"/>
              <w:rPr>
                <w:sz w:val="20"/>
                <w:szCs w:val="20"/>
                <w:color w:val="auto"/>
              </w:rPr>
            </w:pPr>
            <w:r>
              <w:rPr>
                <w:rFonts w:ascii="Arial" w:cs="Arial" w:eastAsia="Arial" w:hAnsi="Arial"/>
                <w:sz w:val="18"/>
                <w:szCs w:val="18"/>
                <w:color w:val="auto"/>
              </w:rPr>
              <w:t>months–5 years of</w:t>
            </w:r>
          </w:p>
        </w:tc>
        <w:tc>
          <w:tcPr>
            <w:tcW w:w="0" w:type="dxa"/>
            <w:vAlign w:val="bottom"/>
          </w:tcPr>
          <w:p>
            <w:pPr>
              <w:spacing w:after="0"/>
              <w:rPr>
                <w:sz w:val="1"/>
                <w:szCs w:val="1"/>
                <w:color w:val="auto"/>
              </w:rPr>
            </w:pPr>
          </w:p>
        </w:tc>
      </w:tr>
      <w:tr>
        <w:trPr>
          <w:trHeight w:val="108"/>
        </w:trPr>
        <w:tc>
          <w:tcPr>
            <w:tcW w:w="2780" w:type="dxa"/>
            <w:vAlign w:val="bottom"/>
            <w:shd w:val="clear" w:color="auto" w:fill="CDEAFA"/>
          </w:tcPr>
          <w:p>
            <w:pPr>
              <w:spacing w:after="0"/>
              <w:rPr>
                <w:sz w:val="9"/>
                <w:szCs w:val="9"/>
                <w:color w:val="auto"/>
              </w:rPr>
            </w:pPr>
          </w:p>
        </w:tc>
        <w:tc>
          <w:tcPr>
            <w:tcW w:w="2040" w:type="dxa"/>
            <w:vAlign w:val="bottom"/>
            <w:shd w:val="clear" w:color="auto" w:fill="CDEAFA"/>
          </w:tcPr>
          <w:p>
            <w:pPr>
              <w:spacing w:after="0"/>
              <w:rPr>
                <w:sz w:val="9"/>
                <w:szCs w:val="9"/>
                <w:color w:val="auto"/>
              </w:rPr>
            </w:pPr>
          </w:p>
        </w:tc>
        <w:tc>
          <w:tcPr>
            <w:tcW w:w="1460" w:type="dxa"/>
            <w:vAlign w:val="bottom"/>
            <w:vMerge w:val="continue"/>
            <w:shd w:val="clear" w:color="auto" w:fill="CDEAFA"/>
          </w:tcPr>
          <w:p>
            <w:pPr>
              <w:spacing w:after="0"/>
              <w:rPr>
                <w:sz w:val="9"/>
                <w:szCs w:val="9"/>
                <w:color w:val="auto"/>
              </w:rPr>
            </w:pPr>
          </w:p>
        </w:tc>
        <w:tc>
          <w:tcPr>
            <w:tcW w:w="1440" w:type="dxa"/>
            <w:vAlign w:val="bottom"/>
            <w:vMerge w:val="restart"/>
            <w:shd w:val="clear" w:color="auto" w:fill="CDEAFA"/>
          </w:tcPr>
          <w:p>
            <w:pPr>
              <w:ind w:left="60"/>
              <w:spacing w:after="0"/>
              <w:rPr>
                <w:sz w:val="20"/>
                <w:szCs w:val="20"/>
                <w:color w:val="auto"/>
              </w:rPr>
            </w:pPr>
            <w:r>
              <w:rPr>
                <w:rFonts w:ascii="Arial" w:cs="Arial" w:eastAsia="Arial" w:hAnsi="Arial"/>
                <w:sz w:val="18"/>
                <w:szCs w:val="18"/>
                <w:color w:val="auto"/>
              </w:rPr>
              <w:t>(U.S.)</w:t>
            </w:r>
          </w:p>
        </w:tc>
        <w:tc>
          <w:tcPr>
            <w:tcW w:w="1780" w:type="dxa"/>
            <w:vAlign w:val="bottom"/>
            <w:vMerge w:val="restart"/>
            <w:shd w:val="clear" w:color="auto" w:fill="CDEAFA"/>
          </w:tcPr>
          <w:p>
            <w:pPr>
              <w:ind w:left="60"/>
              <w:spacing w:after="0"/>
              <w:rPr>
                <w:sz w:val="20"/>
                <w:szCs w:val="20"/>
                <w:color w:val="auto"/>
              </w:rPr>
            </w:pPr>
            <w:r>
              <w:rPr>
                <w:rFonts w:ascii="Arial" w:cs="Arial" w:eastAsia="Arial" w:hAnsi="Arial"/>
                <w:sz w:val="18"/>
                <w:szCs w:val="18"/>
                <w:color w:val="auto"/>
              </w:rPr>
              <w:t>–Approved by FDA</w:t>
            </w:r>
          </w:p>
        </w:tc>
        <w:tc>
          <w:tcPr>
            <w:tcW w:w="1740" w:type="dxa"/>
            <w:vAlign w:val="bottom"/>
            <w:vMerge w:val="restart"/>
            <w:shd w:val="clear" w:color="auto" w:fill="CDEAFA"/>
          </w:tcPr>
          <w:p>
            <w:pPr>
              <w:ind w:left="60"/>
              <w:spacing w:after="0"/>
              <w:rPr>
                <w:sz w:val="20"/>
                <w:szCs w:val="20"/>
                <w:color w:val="auto"/>
              </w:rPr>
            </w:pPr>
            <w:r>
              <w:rPr>
                <w:rFonts w:ascii="Arial" w:cs="Arial" w:eastAsia="Arial" w:hAnsi="Arial"/>
                <w:sz w:val="18"/>
                <w:szCs w:val="18"/>
                <w:color w:val="auto"/>
              </w:rPr>
              <w:t>age) (first half 2022)</w:t>
            </w:r>
          </w:p>
        </w:tc>
        <w:tc>
          <w:tcPr>
            <w:tcW w:w="0" w:type="dxa"/>
            <w:vAlign w:val="bottom"/>
          </w:tcPr>
          <w:p>
            <w:pPr>
              <w:spacing w:after="0"/>
              <w:rPr>
                <w:sz w:val="1"/>
                <w:szCs w:val="1"/>
                <w:color w:val="auto"/>
              </w:rPr>
            </w:pPr>
          </w:p>
        </w:tc>
      </w:tr>
      <w:tr>
        <w:trPr>
          <w:trHeight w:val="108"/>
        </w:trPr>
        <w:tc>
          <w:tcPr>
            <w:tcW w:w="2780" w:type="dxa"/>
            <w:vAlign w:val="bottom"/>
            <w:shd w:val="clear" w:color="auto" w:fill="CDEAFA"/>
          </w:tcPr>
          <w:p>
            <w:pPr>
              <w:spacing w:after="0"/>
              <w:rPr>
                <w:sz w:val="9"/>
                <w:szCs w:val="9"/>
                <w:color w:val="auto"/>
              </w:rPr>
            </w:pPr>
          </w:p>
        </w:tc>
        <w:tc>
          <w:tcPr>
            <w:tcW w:w="2040" w:type="dxa"/>
            <w:vAlign w:val="bottom"/>
            <w:shd w:val="clear" w:color="auto" w:fill="CDEAFA"/>
          </w:tcPr>
          <w:p>
            <w:pPr>
              <w:spacing w:after="0"/>
              <w:rPr>
                <w:sz w:val="9"/>
                <w:szCs w:val="9"/>
                <w:color w:val="auto"/>
              </w:rPr>
            </w:pPr>
          </w:p>
        </w:tc>
        <w:tc>
          <w:tcPr>
            <w:tcW w:w="1460" w:type="dxa"/>
            <w:vAlign w:val="bottom"/>
            <w:vMerge w:val="restart"/>
            <w:shd w:val="clear" w:color="auto" w:fill="CDEAFA"/>
          </w:tcPr>
          <w:p>
            <w:pPr>
              <w:ind w:left="80"/>
              <w:spacing w:after="0"/>
              <w:rPr>
                <w:sz w:val="20"/>
                <w:szCs w:val="20"/>
                <w:color w:val="auto"/>
              </w:rPr>
            </w:pPr>
            <w:r>
              <w:rPr>
                <w:rFonts w:ascii="Arial" w:cs="Arial" w:eastAsia="Arial" w:hAnsi="Arial"/>
                <w:sz w:val="18"/>
                <w:szCs w:val="18"/>
                <w:color w:val="auto"/>
              </w:rPr>
              <w:t>and pediatrics</w:t>
            </w:r>
          </w:p>
        </w:tc>
        <w:tc>
          <w:tcPr>
            <w:tcW w:w="1440" w:type="dxa"/>
            <w:vAlign w:val="bottom"/>
            <w:vMerge w:val="continue"/>
            <w:shd w:val="clear" w:color="auto" w:fill="CDEAFA"/>
          </w:tcPr>
          <w:p>
            <w:pPr>
              <w:spacing w:after="0"/>
              <w:rPr>
                <w:sz w:val="9"/>
                <w:szCs w:val="9"/>
                <w:color w:val="auto"/>
              </w:rPr>
            </w:pPr>
          </w:p>
        </w:tc>
        <w:tc>
          <w:tcPr>
            <w:tcW w:w="1780" w:type="dxa"/>
            <w:vAlign w:val="bottom"/>
            <w:vMerge w:val="continue"/>
            <w:shd w:val="clear" w:color="auto" w:fill="CDEAFA"/>
          </w:tcPr>
          <w:p>
            <w:pPr>
              <w:spacing w:after="0"/>
              <w:rPr>
                <w:sz w:val="9"/>
                <w:szCs w:val="9"/>
                <w:color w:val="auto"/>
              </w:rPr>
            </w:pPr>
          </w:p>
        </w:tc>
        <w:tc>
          <w:tcPr>
            <w:tcW w:w="1740" w:type="dxa"/>
            <w:vAlign w:val="bottom"/>
            <w:vMerge w:val="continue"/>
            <w:shd w:val="clear" w:color="auto" w:fill="CDEAFA"/>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DEAFA"/>
          </w:tcPr>
          <w:p>
            <w:pPr>
              <w:spacing w:after="0"/>
              <w:rPr>
                <w:sz w:val="10"/>
                <w:szCs w:val="10"/>
                <w:color w:val="auto"/>
              </w:rPr>
            </w:pPr>
          </w:p>
        </w:tc>
        <w:tc>
          <w:tcPr>
            <w:tcW w:w="2040" w:type="dxa"/>
            <w:vAlign w:val="bottom"/>
            <w:shd w:val="clear" w:color="auto" w:fill="CDEAFA"/>
          </w:tcPr>
          <w:p>
            <w:pPr>
              <w:spacing w:after="0"/>
              <w:rPr>
                <w:sz w:val="10"/>
                <w:szCs w:val="10"/>
                <w:color w:val="auto"/>
              </w:rPr>
            </w:pPr>
          </w:p>
        </w:tc>
        <w:tc>
          <w:tcPr>
            <w:tcW w:w="1460" w:type="dxa"/>
            <w:vAlign w:val="bottom"/>
            <w:vMerge w:val="continue"/>
            <w:shd w:val="clear" w:color="auto" w:fill="CDEAFA"/>
          </w:tcPr>
          <w:p>
            <w:pPr>
              <w:spacing w:after="0"/>
              <w:rPr>
                <w:sz w:val="10"/>
                <w:szCs w:val="10"/>
                <w:color w:val="auto"/>
              </w:rPr>
            </w:pPr>
          </w:p>
        </w:tc>
        <w:tc>
          <w:tcPr>
            <w:tcW w:w="1440" w:type="dxa"/>
            <w:vAlign w:val="bottom"/>
            <w:shd w:val="clear" w:color="auto" w:fill="CDEAFA"/>
          </w:tcPr>
          <w:p>
            <w:pPr>
              <w:spacing w:after="0"/>
              <w:rPr>
                <w:sz w:val="10"/>
                <w:szCs w:val="10"/>
                <w:color w:val="auto"/>
              </w:rPr>
            </w:pPr>
          </w:p>
        </w:tc>
        <w:tc>
          <w:tcPr>
            <w:tcW w:w="1780" w:type="dxa"/>
            <w:vAlign w:val="bottom"/>
            <w:vMerge w:val="restart"/>
            <w:shd w:val="clear" w:color="auto" w:fill="CDEAFA"/>
          </w:tcPr>
          <w:p>
            <w:pPr>
              <w:ind w:left="60"/>
              <w:spacing w:after="0"/>
              <w:rPr>
                <w:sz w:val="20"/>
                <w:szCs w:val="20"/>
                <w:color w:val="auto"/>
              </w:rPr>
            </w:pPr>
            <w:r>
              <w:rPr>
                <w:rFonts w:ascii="Arial" w:cs="Arial" w:eastAsia="Arial" w:hAnsi="Arial"/>
                <w:sz w:val="18"/>
                <w:szCs w:val="18"/>
                <w:color w:val="auto"/>
              </w:rPr>
              <w:t>for asthma in</w:t>
            </w:r>
          </w:p>
        </w:tc>
        <w:tc>
          <w:tcPr>
            <w:tcW w:w="1740" w:type="dxa"/>
            <w:vAlign w:val="bottom"/>
            <w:shd w:val="clear" w:color="auto" w:fill="CDEAFA"/>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780" w:type="dxa"/>
            <w:vAlign w:val="bottom"/>
            <w:shd w:val="clear" w:color="auto" w:fill="CDEAFA"/>
          </w:tcPr>
          <w:p>
            <w:pPr>
              <w:spacing w:after="0"/>
              <w:rPr>
                <w:sz w:val="8"/>
                <w:szCs w:val="8"/>
                <w:color w:val="auto"/>
              </w:rPr>
            </w:pPr>
          </w:p>
        </w:tc>
        <w:tc>
          <w:tcPr>
            <w:tcW w:w="2040" w:type="dxa"/>
            <w:vAlign w:val="bottom"/>
            <w:shd w:val="clear" w:color="auto" w:fill="CDEAFA"/>
          </w:tcPr>
          <w:p>
            <w:pPr>
              <w:spacing w:after="0"/>
              <w:rPr>
                <w:sz w:val="8"/>
                <w:szCs w:val="8"/>
                <w:color w:val="auto"/>
              </w:rPr>
            </w:pPr>
          </w:p>
        </w:tc>
        <w:tc>
          <w:tcPr>
            <w:tcW w:w="1460" w:type="dxa"/>
            <w:vAlign w:val="bottom"/>
            <w:shd w:val="clear" w:color="auto" w:fill="CDEAFA"/>
          </w:tcPr>
          <w:p>
            <w:pPr>
              <w:spacing w:after="0"/>
              <w:rPr>
                <w:sz w:val="8"/>
                <w:szCs w:val="8"/>
                <w:color w:val="auto"/>
              </w:rPr>
            </w:pPr>
          </w:p>
        </w:tc>
        <w:tc>
          <w:tcPr>
            <w:tcW w:w="1440" w:type="dxa"/>
            <w:vAlign w:val="bottom"/>
            <w:shd w:val="clear" w:color="auto" w:fill="CDEAFA"/>
          </w:tcPr>
          <w:p>
            <w:pPr>
              <w:spacing w:after="0"/>
              <w:rPr>
                <w:sz w:val="8"/>
                <w:szCs w:val="8"/>
                <w:color w:val="auto"/>
              </w:rPr>
            </w:pPr>
          </w:p>
        </w:tc>
        <w:tc>
          <w:tcPr>
            <w:tcW w:w="1780" w:type="dxa"/>
            <w:vAlign w:val="bottom"/>
            <w:vMerge w:val="continue"/>
            <w:shd w:val="clear" w:color="auto" w:fill="CDEAFA"/>
          </w:tcPr>
          <w:p>
            <w:pPr>
              <w:spacing w:after="0"/>
              <w:rPr>
                <w:sz w:val="8"/>
                <w:szCs w:val="8"/>
                <w:color w:val="auto"/>
              </w:rPr>
            </w:pPr>
          </w:p>
        </w:tc>
        <w:tc>
          <w:tcPr>
            <w:tcW w:w="1740" w:type="dxa"/>
            <w:vAlign w:val="bottom"/>
            <w:shd w:val="clear" w:color="auto" w:fill="CDEAFA"/>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DEAFA"/>
          </w:tcPr>
          <w:p>
            <w:pPr>
              <w:spacing w:after="0"/>
              <w:rPr>
                <w:sz w:val="18"/>
                <w:szCs w:val="18"/>
                <w:color w:val="auto"/>
              </w:rPr>
            </w:pPr>
          </w:p>
        </w:tc>
        <w:tc>
          <w:tcPr>
            <w:tcW w:w="2040" w:type="dxa"/>
            <w:vAlign w:val="bottom"/>
            <w:shd w:val="clear" w:color="auto" w:fill="CDEAFA"/>
          </w:tcPr>
          <w:p>
            <w:pPr>
              <w:spacing w:after="0"/>
              <w:rPr>
                <w:sz w:val="18"/>
                <w:szCs w:val="18"/>
                <w:color w:val="auto"/>
              </w:rPr>
            </w:pPr>
          </w:p>
        </w:tc>
        <w:tc>
          <w:tcPr>
            <w:tcW w:w="1460" w:type="dxa"/>
            <w:vAlign w:val="bottom"/>
            <w:shd w:val="clear" w:color="auto" w:fill="CDEAFA"/>
          </w:tcPr>
          <w:p>
            <w:pPr>
              <w:spacing w:after="0"/>
              <w:rPr>
                <w:sz w:val="18"/>
                <w:szCs w:val="18"/>
                <w:color w:val="auto"/>
              </w:rPr>
            </w:pPr>
          </w:p>
        </w:tc>
        <w:tc>
          <w:tcPr>
            <w:tcW w:w="1440" w:type="dxa"/>
            <w:vAlign w:val="bottom"/>
            <w:shd w:val="clear" w:color="auto" w:fill="CDEAFA"/>
          </w:tcPr>
          <w:p>
            <w:pPr>
              <w:spacing w:after="0"/>
              <w:rPr>
                <w:sz w:val="18"/>
                <w:szCs w:val="18"/>
                <w:color w:val="auto"/>
              </w:rPr>
            </w:pPr>
          </w:p>
        </w:tc>
        <w:tc>
          <w:tcPr>
            <w:tcW w:w="1780" w:type="dxa"/>
            <w:vAlign w:val="bottom"/>
            <w:shd w:val="clear" w:color="auto" w:fill="CDEAFA"/>
          </w:tcPr>
          <w:p>
            <w:pPr>
              <w:ind w:left="60"/>
              <w:spacing w:after="0"/>
              <w:rPr>
                <w:sz w:val="20"/>
                <w:szCs w:val="20"/>
                <w:color w:val="auto"/>
              </w:rPr>
            </w:pPr>
            <w:r>
              <w:rPr>
                <w:rFonts w:ascii="Arial" w:cs="Arial" w:eastAsia="Arial" w:hAnsi="Arial"/>
                <w:sz w:val="18"/>
                <w:szCs w:val="18"/>
                <w:color w:val="auto"/>
                <w:w w:val="95"/>
              </w:rPr>
              <w:t>pediatrics (6–11 years</w:t>
            </w:r>
          </w:p>
        </w:tc>
        <w:tc>
          <w:tcPr>
            <w:tcW w:w="174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780" w:type="dxa"/>
            <w:vAlign w:val="bottom"/>
            <w:shd w:val="clear" w:color="auto" w:fill="CDEAFA"/>
          </w:tcPr>
          <w:p>
            <w:pPr>
              <w:spacing w:after="0"/>
              <w:rPr>
                <w:sz w:val="21"/>
                <w:szCs w:val="21"/>
                <w:color w:val="auto"/>
              </w:rPr>
            </w:pPr>
          </w:p>
        </w:tc>
        <w:tc>
          <w:tcPr>
            <w:tcW w:w="2040" w:type="dxa"/>
            <w:vAlign w:val="bottom"/>
            <w:shd w:val="clear" w:color="auto" w:fill="CDEAFA"/>
          </w:tcPr>
          <w:p>
            <w:pPr>
              <w:spacing w:after="0"/>
              <w:rPr>
                <w:sz w:val="21"/>
                <w:szCs w:val="21"/>
                <w:color w:val="auto"/>
              </w:rPr>
            </w:pPr>
          </w:p>
        </w:tc>
        <w:tc>
          <w:tcPr>
            <w:tcW w:w="1460" w:type="dxa"/>
            <w:vAlign w:val="bottom"/>
            <w:shd w:val="clear" w:color="auto" w:fill="CDEAFA"/>
          </w:tcPr>
          <w:p>
            <w:pPr>
              <w:spacing w:after="0"/>
              <w:rPr>
                <w:sz w:val="21"/>
                <w:szCs w:val="21"/>
                <w:color w:val="auto"/>
              </w:rPr>
            </w:pPr>
          </w:p>
        </w:tc>
        <w:tc>
          <w:tcPr>
            <w:tcW w:w="1440" w:type="dxa"/>
            <w:vAlign w:val="bottom"/>
            <w:shd w:val="clear" w:color="auto" w:fill="CDEAFA"/>
          </w:tcPr>
          <w:p>
            <w:pPr>
              <w:spacing w:after="0"/>
              <w:rPr>
                <w:sz w:val="21"/>
                <w:szCs w:val="21"/>
                <w:color w:val="auto"/>
              </w:rPr>
            </w:pPr>
          </w:p>
        </w:tc>
        <w:tc>
          <w:tcPr>
            <w:tcW w:w="1780" w:type="dxa"/>
            <w:vAlign w:val="bottom"/>
            <w:shd w:val="clear" w:color="auto" w:fill="CDEAFA"/>
          </w:tcPr>
          <w:p>
            <w:pPr>
              <w:ind w:left="60"/>
              <w:spacing w:after="0"/>
              <w:rPr>
                <w:sz w:val="20"/>
                <w:szCs w:val="20"/>
                <w:color w:val="auto"/>
              </w:rPr>
            </w:pPr>
            <w:r>
              <w:rPr>
                <w:rFonts w:ascii="Arial" w:cs="Arial" w:eastAsia="Arial" w:hAnsi="Arial"/>
                <w:sz w:val="18"/>
                <w:szCs w:val="18"/>
                <w:color w:val="auto"/>
              </w:rPr>
              <w:t>of age)</w:t>
            </w:r>
          </w:p>
        </w:tc>
        <w:tc>
          <w:tcPr>
            <w:tcW w:w="1740" w:type="dxa"/>
            <w:vAlign w:val="bottom"/>
            <w:shd w:val="clear" w:color="auto" w:fill="CDEAFA"/>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2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60" w:type="dxa"/>
            <w:vAlign w:val="bottom"/>
          </w:tcPr>
          <w:p>
            <w:pPr>
              <w:ind w:left="760"/>
              <w:spacing w:after="0"/>
              <w:rPr>
                <w:sz w:val="20"/>
                <w:szCs w:val="20"/>
                <w:color w:val="auto"/>
              </w:rPr>
            </w:pPr>
            <w:r>
              <w:rPr>
                <w:rFonts w:ascii="Arial" w:cs="Arial" w:eastAsia="Arial" w:hAnsi="Arial"/>
                <w:sz w:val="18"/>
                <w:szCs w:val="18"/>
                <w:color w:val="auto"/>
              </w:rPr>
              <w:t>7</w:t>
            </w:r>
          </w:p>
        </w:tc>
        <w:tc>
          <w:tcPr>
            <w:tcW w:w="1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0C0C0"/>
            </w:tcBorders>
          </w:tcPr>
          <w:p>
            <w:pPr>
              <w:spacing w:after="0"/>
              <w:rPr>
                <w:sz w:val="21"/>
                <w:szCs w:val="21"/>
                <w:color w:val="auto"/>
              </w:rPr>
            </w:pPr>
          </w:p>
        </w:tc>
        <w:tc>
          <w:tcPr>
            <w:tcW w:w="2040" w:type="dxa"/>
            <w:vAlign w:val="bottom"/>
            <w:tcBorders>
              <w:bottom w:val="single" w:sz="8" w:color="C0C0C0"/>
            </w:tcBorders>
          </w:tcPr>
          <w:p>
            <w:pPr>
              <w:spacing w:after="0"/>
              <w:rPr>
                <w:sz w:val="21"/>
                <w:szCs w:val="21"/>
                <w:color w:val="auto"/>
              </w:rPr>
            </w:pPr>
          </w:p>
        </w:tc>
        <w:tc>
          <w:tcPr>
            <w:tcW w:w="1460" w:type="dxa"/>
            <w:vAlign w:val="bottom"/>
            <w:tcBorders>
              <w:bottom w:val="single" w:sz="8" w:color="C0C0C0"/>
            </w:tcBorders>
          </w:tcPr>
          <w:p>
            <w:pPr>
              <w:spacing w:after="0"/>
              <w:rPr>
                <w:sz w:val="21"/>
                <w:szCs w:val="21"/>
                <w:color w:val="auto"/>
              </w:rPr>
            </w:pPr>
          </w:p>
        </w:tc>
        <w:tc>
          <w:tcPr>
            <w:tcW w:w="1440" w:type="dxa"/>
            <w:vAlign w:val="bottom"/>
            <w:tcBorders>
              <w:bottom w:val="single" w:sz="8" w:color="C0C0C0"/>
            </w:tcBorders>
          </w:tcPr>
          <w:p>
            <w:pPr>
              <w:spacing w:after="0"/>
              <w:rPr>
                <w:sz w:val="21"/>
                <w:szCs w:val="21"/>
                <w:color w:val="auto"/>
              </w:rPr>
            </w:pPr>
          </w:p>
        </w:tc>
        <w:tc>
          <w:tcPr>
            <w:tcW w:w="1780" w:type="dxa"/>
            <w:vAlign w:val="bottom"/>
            <w:tcBorders>
              <w:bottom w:val="single" w:sz="8" w:color="C0C0C0"/>
            </w:tcBorders>
          </w:tcPr>
          <w:p>
            <w:pPr>
              <w:spacing w:after="0"/>
              <w:rPr>
                <w:sz w:val="21"/>
                <w:szCs w:val="21"/>
                <w:color w:val="auto"/>
              </w:rPr>
            </w:pPr>
          </w:p>
        </w:tc>
        <w:tc>
          <w:tcPr>
            <w:tcW w:w="17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type w:val="continuous"/>
        </w:sectPr>
      </w:pPr>
    </w:p>
    <w:bookmarkStart w:id="12" w:name="page13"/>
    <w:bookmarkEnd w:id="1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2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2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Regulatory</w:t>
            </w:r>
          </w:p>
        </w:tc>
      </w:tr>
      <w:tr>
        <w:trPr>
          <w:trHeight w:val="271"/>
        </w:trPr>
        <w:tc>
          <w:tcPr>
            <w:tcW w:w="2440" w:type="dxa"/>
            <w:vAlign w:val="bottom"/>
          </w:tcPr>
          <w:p>
            <w:pPr>
              <w:spacing w:after="0"/>
              <w:rPr>
                <w:sz w:val="20"/>
                <w:szCs w:val="20"/>
                <w:color w:val="auto"/>
              </w:rPr>
            </w:pPr>
            <w:r>
              <w:rPr>
                <w:rFonts w:ascii="Arial" w:cs="Arial" w:eastAsia="Arial" w:hAnsi="Arial"/>
                <w:sz w:val="18"/>
                <w:szCs w:val="18"/>
                <w:b w:val="1"/>
                <w:bCs w:val="1"/>
                <w:color w:val="auto"/>
                <w:w w:val="98"/>
              </w:rPr>
              <w:t xml:space="preserve">Clinical Program </w:t>
            </w:r>
            <w:r>
              <w:rPr>
                <w:rFonts w:ascii="Arial" w:cs="Arial" w:eastAsia="Arial" w:hAnsi="Arial"/>
                <w:sz w:val="18"/>
                <w:szCs w:val="18"/>
                <w:b w:val="1"/>
                <w:bCs w:val="1"/>
                <w:i w:val="1"/>
                <w:iCs w:val="1"/>
                <w:color w:val="auto"/>
                <w:w w:val="98"/>
              </w:rPr>
              <w:t>(continued)</w:t>
            </w:r>
          </w:p>
        </w:tc>
        <w:tc>
          <w:tcPr>
            <w:tcW w:w="1100" w:type="dxa"/>
            <w:vAlign w:val="bottom"/>
          </w:tcPr>
          <w:p>
            <w:pPr>
              <w:ind w:left="200"/>
              <w:spacing w:after="0"/>
              <w:rPr>
                <w:sz w:val="20"/>
                <w:szCs w:val="20"/>
                <w:color w:val="auto"/>
              </w:rPr>
            </w:pPr>
            <w:r>
              <w:rPr>
                <w:rFonts w:ascii="Arial" w:cs="Arial" w:eastAsia="Arial" w:hAnsi="Arial"/>
                <w:sz w:val="18"/>
                <w:szCs w:val="18"/>
                <w:b w:val="1"/>
                <w:bCs w:val="1"/>
                <w:color w:val="auto"/>
              </w:rPr>
              <w:t>Phase 1</w:t>
            </w:r>
          </w:p>
        </w:tc>
        <w:tc>
          <w:tcPr>
            <w:tcW w:w="1300" w:type="dxa"/>
            <w:vAlign w:val="bottom"/>
          </w:tcPr>
          <w:p>
            <w:pPr>
              <w:ind w:left="340"/>
              <w:spacing w:after="0"/>
              <w:rPr>
                <w:sz w:val="20"/>
                <w:szCs w:val="20"/>
                <w:color w:val="auto"/>
              </w:rPr>
            </w:pPr>
            <w:r>
              <w:rPr>
                <w:rFonts w:ascii="Arial" w:cs="Arial" w:eastAsia="Arial" w:hAnsi="Arial"/>
                <w:sz w:val="18"/>
                <w:szCs w:val="18"/>
                <w:b w:val="1"/>
                <w:bCs w:val="1"/>
                <w:color w:val="auto"/>
              </w:rPr>
              <w:t>Phase 2</w:t>
            </w:r>
          </w:p>
        </w:tc>
        <w:tc>
          <w:tcPr>
            <w:tcW w:w="1340" w:type="dxa"/>
            <w:vAlign w:val="bottom"/>
          </w:tcPr>
          <w:p>
            <w:pPr>
              <w:ind w:left="400"/>
              <w:spacing w:after="0"/>
              <w:rPr>
                <w:sz w:val="20"/>
                <w:szCs w:val="20"/>
                <w:color w:val="auto"/>
              </w:rPr>
            </w:pPr>
            <w:r>
              <w:rPr>
                <w:rFonts w:ascii="Arial" w:cs="Arial" w:eastAsia="Arial" w:hAnsi="Arial"/>
                <w:sz w:val="18"/>
                <w:szCs w:val="18"/>
                <w:b w:val="1"/>
                <w:bCs w:val="1"/>
                <w:color w:val="auto"/>
              </w:rPr>
              <w:t>Phase 3</w:t>
            </w:r>
          </w:p>
        </w:tc>
        <w:tc>
          <w:tcPr>
            <w:tcW w:w="1220" w:type="dxa"/>
            <w:vAlign w:val="bottom"/>
          </w:tcPr>
          <w:p>
            <w:pPr>
              <w:jc w:val="center"/>
              <w:ind w:left="310"/>
              <w:spacing w:after="0" w:line="271"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9"/>
                <w:szCs w:val="29"/>
                <w:b w:val="1"/>
                <w:bCs w:val="1"/>
                <w:color w:val="auto"/>
                <w:w w:val="85"/>
                <w:vertAlign w:val="superscript"/>
              </w:rPr>
              <w: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7157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7157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420" w:type="dxa"/>
            <w:vAlign w:val="bottom"/>
          </w:tcPr>
          <w:p>
            <w:pPr>
              <w:spacing w:after="0"/>
              <w:rPr>
                <w:sz w:val="20"/>
                <w:szCs w:val="20"/>
                <w:color w:val="auto"/>
              </w:rPr>
            </w:pPr>
            <w:r>
              <w:rPr>
                <w:rFonts w:ascii="Arial" w:cs="Arial" w:eastAsia="Arial" w:hAnsi="Arial"/>
                <w:sz w:val="18"/>
                <w:szCs w:val="18"/>
                <w:b w:val="1"/>
                <w:bCs w:val="1"/>
                <w:color w:val="auto"/>
              </w:rPr>
              <w:t>2021 and 2022</w:t>
            </w:r>
          </w:p>
        </w:tc>
        <w:tc>
          <w:tcPr>
            <w:tcW w:w="1540" w:type="dxa"/>
            <w:vAlign w:val="bottom"/>
          </w:tcPr>
          <w:p>
            <w:pPr>
              <w:ind w:left="260"/>
              <w:spacing w:after="0"/>
              <w:rPr>
                <w:sz w:val="20"/>
                <w:szCs w:val="20"/>
                <w:color w:val="auto"/>
              </w:rPr>
            </w:pPr>
            <w:r>
              <w:rPr>
                <w:rFonts w:ascii="Arial" w:cs="Arial" w:eastAsia="Arial" w:hAnsi="Arial"/>
                <w:sz w:val="18"/>
                <w:szCs w:val="18"/>
                <w:b w:val="1"/>
                <w:bCs w:val="1"/>
                <w:color w:val="auto"/>
                <w:w w:val="86"/>
              </w:rPr>
              <w:t>Select Upcoming</w:t>
            </w:r>
          </w:p>
        </w:tc>
      </w:tr>
      <w:tr>
        <w:trPr>
          <w:trHeight w:val="270"/>
        </w:trPr>
        <w:tc>
          <w:tcPr>
            <w:tcW w:w="1420" w:type="dxa"/>
            <w:vAlign w:val="bottom"/>
          </w:tcPr>
          <w:p>
            <w:pPr>
              <w:ind w:left="20"/>
              <w:spacing w:after="0"/>
              <w:rPr>
                <w:sz w:val="20"/>
                <w:szCs w:val="20"/>
                <w:color w:val="auto"/>
              </w:rPr>
            </w:pPr>
            <w:r>
              <w:rPr>
                <w:rFonts w:ascii="Arial" w:cs="Arial" w:eastAsia="Arial" w:hAnsi="Arial"/>
                <w:sz w:val="18"/>
                <w:szCs w:val="18"/>
                <w:b w:val="1"/>
                <w:bCs w:val="1"/>
                <w:color w:val="auto"/>
              </w:rPr>
              <w:t>Events to Date</w:t>
            </w:r>
          </w:p>
        </w:tc>
        <w:tc>
          <w:tcPr>
            <w:tcW w:w="1540" w:type="dxa"/>
            <w:vAlign w:val="bottom"/>
          </w:tcPr>
          <w:p>
            <w:pPr>
              <w:ind w:left="440"/>
              <w:spacing w:after="0" w:line="270" w:lineRule="exact"/>
              <w:rPr>
                <w:sz w:val="20"/>
                <w:szCs w:val="20"/>
                <w:color w:val="auto"/>
              </w:rPr>
            </w:pPr>
            <w:r>
              <w:rPr>
                <w:rFonts w:ascii="Arial" w:cs="Arial" w:eastAsia="Arial" w:hAnsi="Arial"/>
                <w:sz w:val="18"/>
                <w:szCs w:val="18"/>
                <w:b w:val="1"/>
                <w:bCs w:val="1"/>
                <w:color w:val="auto"/>
                <w:w w:val="97"/>
              </w:rPr>
              <w:t>Milestones</w:t>
            </w:r>
            <w:r>
              <w:rPr>
                <w:rFonts w:ascii="Arial" w:cs="Arial" w:eastAsia="Arial" w:hAnsi="Arial"/>
                <w:sz w:val="29"/>
                <w:szCs w:val="29"/>
                <w:b w:val="1"/>
                <w:bCs w:val="1"/>
                <w:color w:val="auto"/>
                <w:w w:val="97"/>
                <w:vertAlign w:val="superscript"/>
              </w:rPr>
              <w:t>(i)</w:t>
            </w:r>
          </w:p>
        </w:tc>
      </w:tr>
    </w:tbl>
    <w:p>
      <w:pPr>
        <w:spacing w:after="0" w:line="1" w:lineRule="exact"/>
        <w:rPr>
          <w:sz w:val="20"/>
          <w:szCs w:val="20"/>
          <w:color w:val="auto"/>
        </w:rPr>
      </w:pPr>
    </w:p>
    <w:p>
      <w:pPr>
        <w:sectPr>
          <w:pgSz w:w="11900" w:h="16838" w:orient="portrait"/>
          <w:cols w:equalWidth="0" w:num="2">
            <w:col w:w="7420" w:space="620"/>
            <w:col w:w="3160"/>
          </w:cols>
          <w:pgMar w:left="320" w:top="405" w:right="379" w:bottom="1440" w:gutter="0" w:footer="0" w:header="0"/>
        </w:sectPr>
      </w:pPr>
    </w:p>
    <w:tbl>
      <w:tblPr>
        <w:tblLayout w:type="fixed"/>
        <w:tblInd w:w="0" w:type="dxa"/>
        <w:tblCellMar>
          <w:top w:w="0" w:type="dxa"/>
          <w:left w:w="0" w:type="dxa"/>
          <w:bottom w:w="0" w:type="dxa"/>
          <w:right w:w="0" w:type="dxa"/>
        </w:tblCellMar>
      </w:tblPr>
      <w:tr>
        <w:trPr>
          <w:trHeight w:val="209"/>
        </w:trPr>
        <w:tc>
          <w:tcPr>
            <w:tcW w:w="2260" w:type="dxa"/>
            <w:vAlign w:val="bottom"/>
            <w:tcBorders>
              <w:top w:val="single" w:sz="8" w:color="auto"/>
            </w:tcBorders>
          </w:tcPr>
          <w:p>
            <w:pPr>
              <w:ind w:left="40"/>
              <w:spacing w:after="0" w:line="210" w:lineRule="exact"/>
              <w:rPr>
                <w:sz w:val="20"/>
                <w:szCs w:val="20"/>
                <w:color w:val="auto"/>
              </w:rPr>
            </w:pPr>
            <w:r>
              <w:rPr>
                <w:rFonts w:ascii="Arial" w:cs="Arial" w:eastAsia="Arial" w:hAnsi="Arial"/>
                <w:sz w:val="15"/>
                <w:szCs w:val="15"/>
                <w:b w:val="1"/>
                <w:bCs w:val="1"/>
                <w:color w:val="auto"/>
              </w:rPr>
              <w:t>Dupixent (dupilumab)</w:t>
            </w:r>
            <w:r>
              <w:rPr>
                <w:rFonts w:ascii="Arial" w:cs="Arial" w:eastAsia="Arial" w:hAnsi="Arial"/>
                <w:sz w:val="24"/>
                <w:szCs w:val="24"/>
                <w:b w:val="1"/>
                <w:bCs w:val="1"/>
                <w:color w:val="auto"/>
                <w:vertAlign w:val="superscript"/>
              </w:rPr>
              <w:t>(a)</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–Chronic</w:t>
            </w:r>
          </w:p>
        </w:tc>
      </w:tr>
      <w:tr>
        <w:trPr>
          <w:trHeight w:val="216"/>
        </w:trPr>
        <w:tc>
          <w:tcPr>
            <w:tcW w:w="4860" w:type="dxa"/>
            <w:vAlign w:val="bottom"/>
            <w:gridSpan w:val="6"/>
          </w:tcPr>
          <w:p>
            <w:pPr>
              <w:ind w:left="40"/>
              <w:spacing w:after="0"/>
              <w:rPr>
                <w:sz w:val="20"/>
                <w:szCs w:val="20"/>
                <w:color w:val="auto"/>
              </w:rPr>
            </w:pPr>
            <w:r>
              <w:rPr>
                <w:rFonts w:ascii="Arial" w:cs="Arial" w:eastAsia="Arial" w:hAnsi="Arial"/>
                <w:sz w:val="18"/>
                <w:szCs w:val="18"/>
                <w:i w:val="1"/>
                <w:iCs w:val="1"/>
                <w:color w:val="auto"/>
              </w:rPr>
              <w:t>(continued)</w:t>
            </w:r>
          </w:p>
        </w:tc>
        <w:tc>
          <w:tcPr>
            <w:tcW w:w="1380" w:type="dxa"/>
            <w:vAlign w:val="bottom"/>
          </w:tcPr>
          <w:p>
            <w:pPr>
              <w:spacing w:after="0"/>
              <w:rPr>
                <w:sz w:val="20"/>
                <w:szCs w:val="20"/>
                <w:color w:val="auto"/>
              </w:rPr>
            </w:pPr>
            <w:r>
              <w:rPr>
                <w:rFonts w:ascii="Arial" w:cs="Arial" w:eastAsia="Arial" w:hAnsi="Arial"/>
                <w:sz w:val="18"/>
                <w:szCs w:val="18"/>
                <w:color w:val="auto"/>
              </w:rPr>
              <w:t>obstructive</w:t>
            </w:r>
          </w:p>
        </w:tc>
      </w:tr>
      <w:tr>
        <w:trPr>
          <w:trHeight w:val="215"/>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0"/>
              </w:rPr>
              <w:t>pulmonary disease</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(“COPD”)</w:t>
            </w:r>
          </w:p>
        </w:tc>
      </w:tr>
      <w:tr>
        <w:trPr>
          <w:trHeight w:val="418"/>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–Bullous</w:t>
            </w:r>
          </w:p>
        </w:tc>
      </w:tr>
      <w:tr>
        <w:trPr>
          <w:trHeight w:val="220"/>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pemphigoid</w:t>
            </w:r>
          </w:p>
        </w:tc>
      </w:tr>
      <w:tr>
        <w:trPr>
          <w:trHeight w:val="390"/>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(Phase 2/3)</w:t>
            </w:r>
            <w:r>
              <w:rPr>
                <w:rFonts w:ascii="Arial" w:cs="Arial" w:eastAsia="Arial" w:hAnsi="Arial"/>
                <w:sz w:val="29"/>
                <w:szCs w:val="29"/>
                <w:color w:val="auto"/>
                <w:vertAlign w:val="superscript"/>
              </w:rPr>
              <w:t>(c)</w:t>
            </w:r>
          </w:p>
        </w:tc>
      </w:tr>
      <w:tr>
        <w:trPr>
          <w:trHeight w:val="295"/>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–Chronic</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spontaneous</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urticaria (“CSU”)</w:t>
            </w:r>
          </w:p>
        </w:tc>
      </w:tr>
      <w:tr>
        <w:trPr>
          <w:trHeight w:val="43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3"/>
              </w:rPr>
              <w:t>–Prurigo nodularis</w:t>
            </w:r>
          </w:p>
        </w:tc>
      </w:tr>
      <w:tr>
        <w:trPr>
          <w:trHeight w:val="418"/>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–Allergic</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1"/>
              </w:rPr>
              <w:t>bronchopulmonary</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aspergillosis</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(“ABPA”)</w:t>
            </w:r>
          </w:p>
        </w:tc>
      </w:tr>
      <w:tr>
        <w:trPr>
          <w:trHeight w:val="418"/>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–Chronic</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7"/>
              </w:rPr>
              <w:t>inducible urticaria</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 cold</w:t>
            </w:r>
          </w:p>
        </w:tc>
      </w:tr>
      <w:tr>
        <w:trPr>
          <w:trHeight w:val="418"/>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–Chronic</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rhinosinusitis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without nasal</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polyposis</w:t>
            </w:r>
          </w:p>
        </w:tc>
      </w:tr>
      <w:tr>
        <w:trPr>
          <w:trHeight w:val="418"/>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–Allergic fungal</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rhinosinusitis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–European Medicines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Agency’s (“EMA”)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Medicinal Products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Human Use adopted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positive opinion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severe asthma 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pediatrics (6–11 years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 age)</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England Journal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Medicine (“NEJM”) </w:t>
      </w:r>
      <w:r>
        <w:rPr>
          <w:rFonts w:ascii="Arial" w:cs="Arial" w:eastAsia="Arial" w:hAnsi="Arial"/>
          <w:sz w:val="16"/>
          <w:szCs w:val="16"/>
          <w:color w:val="auto"/>
        </w:rPr>
        <w:t>published</w:t>
      </w:r>
      <w:r>
        <w:rPr>
          <w:rFonts w:ascii="Arial" w:cs="Arial" w:eastAsia="Arial" w:hAnsi="Arial"/>
          <w:sz w:val="16"/>
          <w:szCs w:val="16"/>
          <w:i w:val="1"/>
          <w:iCs w:val="1"/>
          <w:color w:val="auto"/>
        </w:rPr>
        <w:t xml:space="preserve"> </w:t>
      </w:r>
      <w:r>
        <w:rPr>
          <w:rFonts w:ascii="Arial" w:cs="Arial" w:eastAsia="Arial" w:hAnsi="Arial"/>
          <w:sz w:val="16"/>
          <w:szCs w:val="16"/>
          <w:color w:val="auto"/>
        </w:rPr>
        <w:t>positive results from Phase 3 trial in pediatrics (6–11 years of age) with moderate-to-severe asthma</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–Reported that Phase 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trial in CSU met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primary and 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secondary endpoints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–Reported that two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Phase 3 trials 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prurigo nodularis met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their respective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primary and 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secondary endpoints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–Reported that Part 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of the Phase 3 trial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adults and adolescents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EoE met its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primary endpoints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–Approved by FDA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200 mg auto-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injector</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–Reported that Phase 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trial of Dupixent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combination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Aimmune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Therapeutics’ AR101,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 oral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immunotherapy, 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pediatric patients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peanut allergy met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primary and 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secondary endpoint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–European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 (“EC”)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decision on regulatory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submission for asthma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pediatrics (6–11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 of age) (first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half 2022)</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–Complete rolling sBLA submission for EoE in adults and adolescents (first quarter 2022)</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–Report results from Phase 2 study in peanut allergy (second half 2022)</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–Report results from additional Phase 3 CSU study (second half 2022)</w:t>
      </w:r>
    </w:p>
    <w:p>
      <w:pPr>
        <w:spacing w:after="0" w:line="17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–Submit sBLA for prurigo nodularis (first half 2022)</w:t>
      </w:r>
    </w:p>
    <w:p>
      <w:pPr>
        <w:spacing w:after="0" w:line="16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–Report results from Phase 3 study in chronic inducible urticaria - cold (second half 2022)</w:t>
      </w:r>
    </w:p>
    <w:p>
      <w:pPr>
        <w:sectPr>
          <w:pgSz w:w="11900" w:h="16838" w:orient="portrait"/>
          <w:cols w:equalWidth="0" w:num="3">
            <w:col w:w="7060" w:space="720"/>
            <w:col w:w="1680" w:space="100"/>
            <w:col w:w="1640"/>
          </w:cols>
          <w:pgMar w:left="320" w:top="405" w:right="37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21"/>
        </w:trPr>
        <w:tc>
          <w:tcPr>
            <w:tcW w:w="2380" w:type="dxa"/>
            <w:vAlign w:val="bottom"/>
            <w:gridSpan w:val="2"/>
          </w:tcPr>
          <w:p>
            <w:pPr>
              <w:ind w:left="480"/>
              <w:spacing w:after="0"/>
              <w:rPr>
                <w:sz w:val="20"/>
                <w:szCs w:val="20"/>
                <w:color w:val="auto"/>
              </w:rPr>
            </w:pPr>
            <w:r>
              <w:rPr>
                <w:rFonts w:ascii="Arial" w:cs="Arial" w:eastAsia="Arial" w:hAnsi="Arial"/>
                <w:sz w:val="18"/>
                <w:szCs w:val="18"/>
                <w:b w:val="1"/>
                <w:bCs w:val="1"/>
                <w:color w:val="auto"/>
              </w:rPr>
              <w:t>Clinical Program</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Regulatory</w:t>
            </w: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2021 and 2022</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Select Upcoming</w:t>
            </w:r>
          </w:p>
        </w:tc>
      </w:tr>
      <w:tr>
        <w:trPr>
          <w:trHeight w:val="270"/>
        </w:trPr>
        <w:tc>
          <w:tcPr>
            <w:tcW w:w="2380" w:type="dxa"/>
            <w:vAlign w:val="bottom"/>
            <w:gridSpan w:val="2"/>
          </w:tcPr>
          <w:p>
            <w:pPr>
              <w:ind w:left="740"/>
              <w:spacing w:after="0"/>
              <w:rPr>
                <w:sz w:val="20"/>
                <w:szCs w:val="20"/>
                <w:color w:val="auto"/>
              </w:rPr>
            </w:pPr>
            <w:r>
              <w:rPr>
                <w:rFonts w:ascii="Arial" w:cs="Arial" w:eastAsia="Arial" w:hAnsi="Arial"/>
                <w:sz w:val="18"/>
                <w:szCs w:val="18"/>
                <w:b w:val="1"/>
                <w:bCs w:val="1"/>
                <w:i w:val="1"/>
                <w:iCs w:val="1"/>
                <w:color w:val="auto"/>
              </w:rPr>
              <w:t>(continued)</w:t>
            </w:r>
          </w:p>
        </w:tc>
        <w:tc>
          <w:tcPr>
            <w:tcW w:w="1140" w:type="dxa"/>
            <w:vAlign w:val="bottom"/>
          </w:tcPr>
          <w:p>
            <w:pPr>
              <w:ind w:left="280"/>
              <w:spacing w:after="0"/>
              <w:rPr>
                <w:sz w:val="20"/>
                <w:szCs w:val="20"/>
                <w:color w:val="auto"/>
              </w:rPr>
            </w:pPr>
            <w:r>
              <w:rPr>
                <w:rFonts w:ascii="Arial" w:cs="Arial" w:eastAsia="Arial" w:hAnsi="Arial"/>
                <w:sz w:val="18"/>
                <w:szCs w:val="18"/>
                <w:b w:val="1"/>
                <w:bCs w:val="1"/>
                <w:color w:val="auto"/>
              </w:rPr>
              <w:t>Phase 1</w:t>
            </w:r>
          </w:p>
        </w:tc>
        <w:tc>
          <w:tcPr>
            <w:tcW w:w="120" w:type="dxa"/>
            <w:vAlign w:val="bottom"/>
          </w:tcPr>
          <w:p>
            <w:pPr>
              <w:spacing w:after="0"/>
              <w:rPr>
                <w:sz w:val="23"/>
                <w:szCs w:val="23"/>
                <w:color w:val="auto"/>
              </w:rPr>
            </w:pPr>
          </w:p>
        </w:tc>
        <w:tc>
          <w:tcPr>
            <w:tcW w:w="1140" w:type="dxa"/>
            <w:vAlign w:val="bottom"/>
          </w:tcPr>
          <w:p>
            <w:pPr>
              <w:ind w:left="280"/>
              <w:spacing w:after="0"/>
              <w:rPr>
                <w:sz w:val="20"/>
                <w:szCs w:val="20"/>
                <w:color w:val="auto"/>
              </w:rPr>
            </w:pPr>
            <w:r>
              <w:rPr>
                <w:rFonts w:ascii="Arial" w:cs="Arial" w:eastAsia="Arial" w:hAnsi="Arial"/>
                <w:sz w:val="18"/>
                <w:szCs w:val="18"/>
                <w:b w:val="1"/>
                <w:bCs w:val="1"/>
                <w:color w:val="auto"/>
              </w:rPr>
              <w:t>Phase 2</w:t>
            </w:r>
          </w:p>
        </w:tc>
        <w:tc>
          <w:tcPr>
            <w:tcW w:w="120" w:type="dxa"/>
            <w:vAlign w:val="bottom"/>
          </w:tcPr>
          <w:p>
            <w:pPr>
              <w:spacing w:after="0"/>
              <w:rPr>
                <w:sz w:val="23"/>
                <w:szCs w:val="23"/>
                <w:color w:val="auto"/>
              </w:rPr>
            </w:pPr>
          </w:p>
        </w:tc>
        <w:tc>
          <w:tcPr>
            <w:tcW w:w="1620" w:type="dxa"/>
            <w:vAlign w:val="bottom"/>
            <w:gridSpan w:val="3"/>
          </w:tcPr>
          <w:p>
            <w:pPr>
              <w:ind w:left="380"/>
              <w:spacing w:after="0"/>
              <w:rPr>
                <w:sz w:val="20"/>
                <w:szCs w:val="20"/>
                <w:color w:val="auto"/>
              </w:rPr>
            </w:pPr>
            <w:r>
              <w:rPr>
                <w:rFonts w:ascii="Arial" w:cs="Arial" w:eastAsia="Arial" w:hAnsi="Arial"/>
                <w:sz w:val="18"/>
                <w:szCs w:val="18"/>
                <w:b w:val="1"/>
                <w:bCs w:val="1"/>
                <w:color w:val="auto"/>
              </w:rPr>
              <w:t>Phase 3</w:t>
            </w:r>
          </w:p>
        </w:tc>
        <w:tc>
          <w:tcPr>
            <w:tcW w:w="1260" w:type="dxa"/>
            <w:vAlign w:val="bottom"/>
            <w:gridSpan w:val="2"/>
          </w:tcPr>
          <w:p>
            <w:pPr>
              <w:jc w:val="center"/>
              <w:ind w:right="280"/>
              <w:spacing w:after="0" w:line="270"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9"/>
                <w:szCs w:val="29"/>
                <w:b w:val="1"/>
                <w:bCs w:val="1"/>
                <w:color w:val="auto"/>
                <w:w w:val="85"/>
                <w:vertAlign w:val="superscript"/>
              </w:rPr>
              <w:t>(h)</w:t>
            </w:r>
          </w:p>
        </w:tc>
        <w:tc>
          <w:tcPr>
            <w:tcW w:w="1780" w:type="dxa"/>
            <w:vAlign w:val="bottom"/>
            <w:gridSpan w:val="2"/>
          </w:tcPr>
          <w:p>
            <w:pPr>
              <w:ind w:left="280"/>
              <w:spacing w:after="0"/>
              <w:rPr>
                <w:sz w:val="20"/>
                <w:szCs w:val="20"/>
                <w:color w:val="auto"/>
              </w:rPr>
            </w:pPr>
            <w:r>
              <w:rPr>
                <w:rFonts w:ascii="Arial" w:cs="Arial" w:eastAsia="Arial" w:hAnsi="Arial"/>
                <w:sz w:val="18"/>
                <w:szCs w:val="18"/>
                <w:b w:val="1"/>
                <w:bCs w:val="1"/>
                <w:color w:val="auto"/>
              </w:rPr>
              <w:t>Events to Date</w:t>
            </w:r>
          </w:p>
        </w:tc>
        <w:tc>
          <w:tcPr>
            <w:tcW w:w="168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6"/>
              </w:rPr>
              <w:t>Milestones</w:t>
            </w:r>
            <w:r>
              <w:rPr>
                <w:rFonts w:ascii="Arial" w:cs="Arial" w:eastAsia="Arial" w:hAnsi="Arial"/>
                <w:sz w:val="29"/>
                <w:szCs w:val="29"/>
                <w:b w:val="1"/>
                <w:bCs w:val="1"/>
                <w:color w:val="auto"/>
                <w:w w:val="86"/>
                <w:vertAlign w:val="superscript"/>
              </w:rPr>
              <w:t>(i)</w:t>
            </w:r>
          </w:p>
        </w:tc>
      </w:tr>
      <w:tr>
        <w:trPr>
          <w:trHeight w:val="209"/>
        </w:trPr>
        <w:tc>
          <w:tcPr>
            <w:tcW w:w="2260" w:type="dxa"/>
            <w:vAlign w:val="bottom"/>
            <w:tcBorders>
              <w:top w:val="single" w:sz="8" w:color="auto"/>
            </w:tcBorders>
          </w:tcPr>
          <w:p>
            <w:pPr>
              <w:ind w:left="40"/>
              <w:spacing w:after="0" w:line="210" w:lineRule="exact"/>
              <w:rPr>
                <w:sz w:val="20"/>
                <w:szCs w:val="20"/>
                <w:color w:val="auto"/>
              </w:rPr>
            </w:pPr>
            <w:r>
              <w:rPr>
                <w:rFonts w:ascii="Arial" w:cs="Arial" w:eastAsia="Arial" w:hAnsi="Arial"/>
                <w:sz w:val="15"/>
                <w:szCs w:val="15"/>
                <w:b w:val="1"/>
                <w:bCs w:val="1"/>
                <w:color w:val="auto"/>
              </w:rPr>
              <w:t>Kevzara (sarilumab)</w:t>
            </w:r>
            <w:r>
              <w:rPr>
                <w:rFonts w:ascii="Arial" w:cs="Arial" w:eastAsia="Arial" w:hAnsi="Arial"/>
                <w:sz w:val="24"/>
                <w:szCs w:val="24"/>
                <w:b w:val="1"/>
                <w:bCs w:val="1"/>
                <w:color w:val="auto"/>
                <w:vertAlign w:val="superscript"/>
              </w:rPr>
              <w:t>(a)</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–Polyarticular-</w:t>
            </w: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16"/>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rPr>
              <w:t>Antibody to IL-6R</w:t>
            </w:r>
          </w:p>
        </w:tc>
        <w:tc>
          <w:tcPr>
            <w:tcW w:w="1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w w:val="93"/>
              </w:rPr>
              <w:t>course juvenile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idiopathic</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arthritis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(“pcJIA”)</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–Systemic</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juvenile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idiopathic</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arthritis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7"/>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(“sJIA”)</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8"/>
        </w:trPr>
        <w:tc>
          <w:tcPr>
            <w:tcW w:w="2380" w:type="dxa"/>
            <w:vAlign w:val="bottom"/>
            <w:gridSpan w:val="2"/>
            <w:shd w:val="clear" w:color="auto" w:fill="CDEAFA"/>
          </w:tcPr>
          <w:p>
            <w:pPr>
              <w:ind w:left="40"/>
              <w:spacing w:after="0" w:line="258" w:lineRule="exact"/>
              <w:rPr>
                <w:sz w:val="20"/>
                <w:szCs w:val="20"/>
                <w:color w:val="auto"/>
              </w:rPr>
            </w:pPr>
            <w:r>
              <w:rPr>
                <w:rFonts w:ascii="Arial" w:cs="Arial" w:eastAsia="Arial" w:hAnsi="Arial"/>
                <w:sz w:val="18"/>
                <w:szCs w:val="18"/>
                <w:b w:val="1"/>
                <w:bCs w:val="1"/>
                <w:color w:val="auto"/>
              </w:rPr>
              <w:t>Itepekimab</w:t>
            </w:r>
            <w:r>
              <w:rPr>
                <w:rFonts w:ascii="Arial" w:cs="Arial" w:eastAsia="Arial" w:hAnsi="Arial"/>
                <w:sz w:val="29"/>
                <w:szCs w:val="29"/>
                <w:b w:val="1"/>
                <w:bCs w:val="1"/>
                <w:color w:val="auto"/>
                <w:vertAlign w:val="superscript"/>
              </w:rPr>
              <w:t>(a)</w:t>
            </w:r>
          </w:p>
        </w:tc>
        <w:tc>
          <w:tcPr>
            <w:tcW w:w="1140" w:type="dxa"/>
            <w:vAlign w:val="bottom"/>
            <w:shd w:val="clear" w:color="auto" w:fill="CDEAFA"/>
          </w:tcPr>
          <w:p>
            <w:pPr>
              <w:spacing w:after="0"/>
              <w:rPr>
                <w:sz w:val="22"/>
                <w:szCs w:val="22"/>
                <w:color w:val="auto"/>
              </w:rPr>
            </w:pPr>
          </w:p>
        </w:tc>
        <w:tc>
          <w:tcPr>
            <w:tcW w:w="120" w:type="dxa"/>
            <w:vAlign w:val="bottom"/>
            <w:shd w:val="clear" w:color="auto" w:fill="CDEAFA"/>
          </w:tcPr>
          <w:p>
            <w:pPr>
              <w:spacing w:after="0"/>
              <w:rPr>
                <w:sz w:val="22"/>
                <w:szCs w:val="22"/>
                <w:color w:val="auto"/>
              </w:rPr>
            </w:pPr>
          </w:p>
        </w:tc>
        <w:tc>
          <w:tcPr>
            <w:tcW w:w="1140" w:type="dxa"/>
            <w:vAlign w:val="bottom"/>
            <w:shd w:val="clear" w:color="auto" w:fill="CDEAFA"/>
          </w:tcPr>
          <w:p>
            <w:pPr>
              <w:spacing w:after="0"/>
              <w:rPr>
                <w:sz w:val="22"/>
                <w:szCs w:val="22"/>
                <w:color w:val="auto"/>
              </w:rPr>
            </w:pPr>
          </w:p>
        </w:tc>
        <w:tc>
          <w:tcPr>
            <w:tcW w:w="120" w:type="dxa"/>
            <w:vAlign w:val="bottom"/>
            <w:shd w:val="clear" w:color="auto" w:fill="CDEAFA"/>
          </w:tcPr>
          <w:p>
            <w:pPr>
              <w:spacing w:after="0"/>
              <w:rPr>
                <w:sz w:val="22"/>
                <w:szCs w:val="22"/>
                <w:color w:val="auto"/>
              </w:rPr>
            </w:pPr>
          </w:p>
        </w:tc>
        <w:tc>
          <w:tcPr>
            <w:tcW w:w="1620" w:type="dxa"/>
            <w:vAlign w:val="bottom"/>
            <w:gridSpan w:val="3"/>
            <w:shd w:val="clear" w:color="auto" w:fill="CDEAFA"/>
          </w:tcPr>
          <w:p>
            <w:pPr>
              <w:spacing w:after="0"/>
              <w:rPr>
                <w:sz w:val="20"/>
                <w:szCs w:val="20"/>
                <w:color w:val="auto"/>
              </w:rPr>
            </w:pPr>
            <w:r>
              <w:rPr>
                <w:rFonts w:ascii="Arial" w:cs="Arial" w:eastAsia="Arial" w:hAnsi="Arial"/>
                <w:sz w:val="18"/>
                <w:szCs w:val="18"/>
                <w:color w:val="auto"/>
              </w:rPr>
              <w:t>–COPD</w:t>
            </w:r>
          </w:p>
        </w:tc>
        <w:tc>
          <w:tcPr>
            <w:tcW w:w="1160" w:type="dxa"/>
            <w:vAlign w:val="bottom"/>
            <w:shd w:val="clear" w:color="auto" w:fill="CDEAFA"/>
          </w:tcPr>
          <w:p>
            <w:pPr>
              <w:spacing w:after="0"/>
              <w:rPr>
                <w:sz w:val="22"/>
                <w:szCs w:val="22"/>
                <w:color w:val="auto"/>
              </w:rPr>
            </w:pPr>
          </w:p>
        </w:tc>
        <w:tc>
          <w:tcPr>
            <w:tcW w:w="100" w:type="dxa"/>
            <w:vAlign w:val="bottom"/>
            <w:shd w:val="clear" w:color="auto" w:fill="CDEAFA"/>
          </w:tcPr>
          <w:p>
            <w:pPr>
              <w:spacing w:after="0"/>
              <w:rPr>
                <w:sz w:val="22"/>
                <w:szCs w:val="22"/>
                <w:color w:val="auto"/>
              </w:rPr>
            </w:pPr>
          </w:p>
        </w:tc>
        <w:tc>
          <w:tcPr>
            <w:tcW w:w="1680" w:type="dxa"/>
            <w:vAlign w:val="bottom"/>
            <w:shd w:val="clear" w:color="auto" w:fill="CDEAFA"/>
          </w:tcPr>
          <w:p>
            <w:pPr>
              <w:spacing w:after="0"/>
              <w:rPr>
                <w:sz w:val="22"/>
                <w:szCs w:val="22"/>
                <w:color w:val="auto"/>
              </w:rPr>
            </w:pPr>
          </w:p>
        </w:tc>
        <w:tc>
          <w:tcPr>
            <w:tcW w:w="100" w:type="dxa"/>
            <w:vAlign w:val="bottom"/>
            <w:shd w:val="clear" w:color="auto" w:fill="CDEAFA"/>
          </w:tcPr>
          <w:p>
            <w:pPr>
              <w:spacing w:after="0"/>
              <w:rPr>
                <w:sz w:val="22"/>
                <w:szCs w:val="22"/>
                <w:color w:val="auto"/>
              </w:rPr>
            </w:pPr>
          </w:p>
        </w:tc>
        <w:tc>
          <w:tcPr>
            <w:tcW w:w="1680" w:type="dxa"/>
            <w:vAlign w:val="bottom"/>
            <w:shd w:val="clear" w:color="auto" w:fill="CDEAFA"/>
          </w:tcPr>
          <w:p>
            <w:pPr>
              <w:spacing w:after="0"/>
              <w:rPr>
                <w:sz w:val="22"/>
                <w:szCs w:val="22"/>
                <w:color w:val="auto"/>
              </w:rPr>
            </w:pPr>
          </w:p>
        </w:tc>
      </w:tr>
      <w:tr>
        <w:trPr>
          <w:trHeight w:val="220"/>
        </w:trPr>
        <w:tc>
          <w:tcPr>
            <w:tcW w:w="2380" w:type="dxa"/>
            <w:vAlign w:val="bottom"/>
            <w:gridSpan w:val="2"/>
            <w:shd w:val="clear" w:color="auto" w:fill="CDEAFA"/>
          </w:tcPr>
          <w:p>
            <w:pPr>
              <w:ind w:left="40"/>
              <w:spacing w:after="0"/>
              <w:rPr>
                <w:sz w:val="20"/>
                <w:szCs w:val="20"/>
                <w:color w:val="auto"/>
              </w:rPr>
            </w:pPr>
            <w:r>
              <w:rPr>
                <w:rFonts w:ascii="Arial" w:cs="Arial" w:eastAsia="Arial" w:hAnsi="Arial"/>
                <w:sz w:val="18"/>
                <w:szCs w:val="18"/>
                <w:b w:val="1"/>
                <w:bCs w:val="1"/>
                <w:color w:val="auto"/>
              </w:rPr>
              <w:t>(REGN3500)</w:t>
            </w:r>
          </w:p>
        </w:tc>
        <w:tc>
          <w:tcPr>
            <w:tcW w:w="114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14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34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180" w:type="dxa"/>
            <w:vAlign w:val="bottom"/>
            <w:shd w:val="clear" w:color="auto" w:fill="CDEAFA"/>
          </w:tcPr>
          <w:p>
            <w:pPr>
              <w:spacing w:after="0"/>
              <w:rPr>
                <w:sz w:val="19"/>
                <w:szCs w:val="19"/>
                <w:color w:val="auto"/>
              </w:rPr>
            </w:pPr>
          </w:p>
        </w:tc>
        <w:tc>
          <w:tcPr>
            <w:tcW w:w="116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168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1680" w:type="dxa"/>
            <w:vAlign w:val="bottom"/>
            <w:shd w:val="clear" w:color="auto" w:fill="CDEAFA"/>
          </w:tcPr>
          <w:p>
            <w:pPr>
              <w:spacing w:after="0"/>
              <w:rPr>
                <w:sz w:val="19"/>
                <w:szCs w:val="19"/>
                <w:color w:val="auto"/>
              </w:rPr>
            </w:pPr>
          </w:p>
        </w:tc>
      </w:tr>
      <w:tr>
        <w:trPr>
          <w:trHeight w:val="244"/>
        </w:trPr>
        <w:tc>
          <w:tcPr>
            <w:tcW w:w="2380" w:type="dxa"/>
            <w:vAlign w:val="bottom"/>
            <w:gridSpan w:val="2"/>
            <w:shd w:val="clear" w:color="auto" w:fill="CDEAFA"/>
          </w:tcPr>
          <w:p>
            <w:pPr>
              <w:ind w:left="40"/>
              <w:spacing w:after="0"/>
              <w:rPr>
                <w:sz w:val="20"/>
                <w:szCs w:val="20"/>
                <w:color w:val="auto"/>
              </w:rPr>
            </w:pPr>
            <w:r>
              <w:rPr>
                <w:rFonts w:ascii="Arial" w:cs="Arial" w:eastAsia="Arial" w:hAnsi="Arial"/>
                <w:sz w:val="18"/>
                <w:szCs w:val="18"/>
                <w:i w:val="1"/>
                <w:iCs w:val="1"/>
                <w:color w:val="auto"/>
              </w:rPr>
              <w:t>Antibody to IL-33</w:t>
            </w:r>
          </w:p>
        </w:tc>
        <w:tc>
          <w:tcPr>
            <w:tcW w:w="114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14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80" w:type="dxa"/>
            <w:vAlign w:val="bottom"/>
            <w:shd w:val="clear" w:color="auto" w:fill="CDEAFA"/>
          </w:tcPr>
          <w:p>
            <w:pPr>
              <w:spacing w:after="0"/>
              <w:rPr>
                <w:sz w:val="21"/>
                <w:szCs w:val="21"/>
                <w:color w:val="auto"/>
              </w:rPr>
            </w:pPr>
          </w:p>
        </w:tc>
        <w:tc>
          <w:tcPr>
            <w:tcW w:w="116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68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680" w:type="dxa"/>
            <w:vAlign w:val="bottom"/>
            <w:shd w:val="clear" w:color="auto" w:fill="CDEAFA"/>
          </w:tcPr>
          <w:p>
            <w:pPr>
              <w:spacing w:after="0"/>
              <w:rPr>
                <w:sz w:val="21"/>
                <w:szCs w:val="21"/>
                <w:color w:val="auto"/>
              </w:rPr>
            </w:pPr>
          </w:p>
        </w:tc>
      </w:tr>
      <w:tr>
        <w:trPr>
          <w:trHeight w:val="216"/>
        </w:trPr>
        <w:tc>
          <w:tcPr>
            <w:tcW w:w="2380" w:type="dxa"/>
            <w:vAlign w:val="bottom"/>
            <w:gridSpan w:val="2"/>
          </w:tcPr>
          <w:p>
            <w:pPr>
              <w:ind w:left="40"/>
              <w:spacing w:after="0" w:line="216" w:lineRule="exact"/>
              <w:rPr>
                <w:sz w:val="20"/>
                <w:szCs w:val="20"/>
                <w:color w:val="auto"/>
              </w:rPr>
            </w:pPr>
            <w:r>
              <w:rPr>
                <w:rFonts w:ascii="Arial" w:cs="Arial" w:eastAsia="Arial" w:hAnsi="Arial"/>
                <w:sz w:val="16"/>
                <w:szCs w:val="16"/>
                <w:b w:val="1"/>
                <w:bCs w:val="1"/>
                <w:color w:val="auto"/>
              </w:rPr>
              <w:t>REGN1908-1909</w:t>
            </w:r>
            <w:r>
              <w:rPr>
                <w:rFonts w:ascii="Arial" w:cs="Arial" w:eastAsia="Arial" w:hAnsi="Arial"/>
                <w:sz w:val="25"/>
                <w:szCs w:val="25"/>
                <w:b w:val="1"/>
                <w:bCs w:val="1"/>
                <w:color w:val="auto"/>
                <w:vertAlign w:val="superscript"/>
              </w:rPr>
              <w:t>(f)</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rPr>
              <w:t>–Cat allergy</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2"/>
              </w:rPr>
              <w:t>–Reported that Phase 2</w:t>
            </w:r>
          </w:p>
        </w:tc>
        <w:tc>
          <w:tcPr>
            <w:tcW w:w="1680" w:type="dxa"/>
            <w:vAlign w:val="bottom"/>
          </w:tcPr>
          <w:p>
            <w:pPr>
              <w:spacing w:after="0"/>
              <w:rPr>
                <w:sz w:val="18"/>
                <w:szCs w:val="18"/>
                <w:color w:val="auto"/>
              </w:rPr>
            </w:pPr>
          </w:p>
        </w:tc>
      </w:tr>
      <w:tr>
        <w:trPr>
          <w:trHeight w:val="216"/>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rPr>
              <w:t>Multi-antibody therapy to</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study in cat allergic</w:t>
            </w:r>
          </w:p>
        </w:tc>
        <w:tc>
          <w:tcPr>
            <w:tcW w:w="1680" w:type="dxa"/>
            <w:vAlign w:val="bottom"/>
          </w:tcPr>
          <w:p>
            <w:pPr>
              <w:spacing w:after="0"/>
              <w:rPr>
                <w:sz w:val="18"/>
                <w:szCs w:val="18"/>
                <w:color w:val="auto"/>
              </w:rPr>
            </w:pPr>
          </w:p>
        </w:tc>
      </w:tr>
      <w:tr>
        <w:trPr>
          <w:trHeight w:val="216"/>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rPr>
              <w:t>Fel d 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patients with mild</w:t>
            </w:r>
          </w:p>
        </w:tc>
        <w:tc>
          <w:tcPr>
            <w:tcW w:w="168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6"/>
              </w:rPr>
              <w:t>asthma met its primary</w:t>
            </w:r>
          </w:p>
        </w:tc>
        <w:tc>
          <w:tcPr>
            <w:tcW w:w="1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and key secondary</w:t>
            </w:r>
          </w:p>
        </w:tc>
        <w:tc>
          <w:tcPr>
            <w:tcW w:w="1680" w:type="dxa"/>
            <w:vAlign w:val="bottom"/>
          </w:tcPr>
          <w:p>
            <w:pPr>
              <w:spacing w:after="0"/>
              <w:rPr>
                <w:sz w:val="18"/>
                <w:szCs w:val="18"/>
                <w:color w:val="auto"/>
              </w:rPr>
            </w:pPr>
          </w:p>
        </w:tc>
      </w:tr>
      <w:tr>
        <w:trPr>
          <w:trHeight w:val="237"/>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endpoints</w:t>
            </w:r>
          </w:p>
        </w:tc>
        <w:tc>
          <w:tcPr>
            <w:tcW w:w="1680" w:type="dxa"/>
            <w:vAlign w:val="bottom"/>
          </w:tcPr>
          <w:p>
            <w:pPr>
              <w:spacing w:after="0"/>
              <w:rPr>
                <w:sz w:val="20"/>
                <w:szCs w:val="20"/>
                <w:color w:val="auto"/>
              </w:rPr>
            </w:pPr>
          </w:p>
        </w:tc>
      </w:tr>
      <w:tr>
        <w:trPr>
          <w:trHeight w:val="222"/>
        </w:trPr>
        <w:tc>
          <w:tcPr>
            <w:tcW w:w="2380" w:type="dxa"/>
            <w:vAlign w:val="bottom"/>
            <w:gridSpan w:val="2"/>
            <w:shd w:val="clear" w:color="auto" w:fill="CDEAFA"/>
          </w:tcPr>
          <w:p>
            <w:pPr>
              <w:ind w:left="40"/>
              <w:spacing w:after="0"/>
              <w:rPr>
                <w:sz w:val="20"/>
                <w:szCs w:val="20"/>
                <w:color w:val="auto"/>
              </w:rPr>
            </w:pPr>
            <w:r>
              <w:rPr>
                <w:rFonts w:ascii="Arial" w:cs="Arial" w:eastAsia="Arial" w:hAnsi="Arial"/>
                <w:sz w:val="18"/>
                <w:szCs w:val="18"/>
                <w:b w:val="1"/>
                <w:bCs w:val="1"/>
                <w:color w:val="auto"/>
              </w:rPr>
              <w:t>REGN5713-5714-5715</w:t>
            </w:r>
          </w:p>
        </w:tc>
        <w:tc>
          <w:tcPr>
            <w:tcW w:w="114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14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620" w:type="dxa"/>
            <w:vAlign w:val="bottom"/>
            <w:gridSpan w:val="3"/>
            <w:shd w:val="clear" w:color="auto" w:fill="CDEAFA"/>
          </w:tcPr>
          <w:p>
            <w:pPr>
              <w:spacing w:after="0"/>
              <w:rPr>
                <w:sz w:val="20"/>
                <w:szCs w:val="20"/>
                <w:color w:val="auto"/>
              </w:rPr>
            </w:pPr>
            <w:r>
              <w:rPr>
                <w:rFonts w:ascii="Arial" w:cs="Arial" w:eastAsia="Arial" w:hAnsi="Arial"/>
                <w:sz w:val="18"/>
                <w:szCs w:val="18"/>
                <w:color w:val="auto"/>
              </w:rPr>
              <w:t>–Birch allergy</w:t>
            </w:r>
          </w:p>
        </w:tc>
        <w:tc>
          <w:tcPr>
            <w:tcW w:w="116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17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–Initial Phase 3 study</w:t>
            </w:r>
          </w:p>
        </w:tc>
        <w:tc>
          <w:tcPr>
            <w:tcW w:w="1680" w:type="dxa"/>
            <w:vAlign w:val="bottom"/>
            <w:shd w:val="clear" w:color="auto" w:fill="CDEAFA"/>
          </w:tcPr>
          <w:p>
            <w:pPr>
              <w:spacing w:after="0"/>
              <w:rPr>
                <w:sz w:val="19"/>
                <w:szCs w:val="19"/>
                <w:color w:val="auto"/>
              </w:rPr>
            </w:pPr>
          </w:p>
        </w:tc>
      </w:tr>
      <w:tr>
        <w:trPr>
          <w:trHeight w:val="216"/>
        </w:trPr>
        <w:tc>
          <w:tcPr>
            <w:tcW w:w="2380" w:type="dxa"/>
            <w:vAlign w:val="bottom"/>
            <w:gridSpan w:val="2"/>
            <w:shd w:val="clear" w:color="auto" w:fill="CDEAFA"/>
          </w:tcPr>
          <w:p>
            <w:pPr>
              <w:ind w:left="40"/>
              <w:spacing w:after="0"/>
              <w:rPr>
                <w:sz w:val="20"/>
                <w:szCs w:val="20"/>
                <w:color w:val="auto"/>
              </w:rPr>
            </w:pPr>
            <w:r>
              <w:rPr>
                <w:rFonts w:ascii="Arial" w:cs="Arial" w:eastAsia="Arial" w:hAnsi="Arial"/>
                <w:sz w:val="18"/>
                <w:szCs w:val="18"/>
                <w:i w:val="1"/>
                <w:iCs w:val="1"/>
                <w:color w:val="auto"/>
              </w:rPr>
              <w:t>Multi-antibody therapy to</w:t>
            </w: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116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7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in birch allergic</w:t>
            </w:r>
          </w:p>
        </w:tc>
        <w:tc>
          <w:tcPr>
            <w:tcW w:w="1680" w:type="dxa"/>
            <w:vAlign w:val="bottom"/>
            <w:shd w:val="clear" w:color="auto" w:fill="CDEAFA"/>
          </w:tcPr>
          <w:p>
            <w:pPr>
              <w:spacing w:after="0"/>
              <w:rPr>
                <w:sz w:val="18"/>
                <w:szCs w:val="18"/>
                <w:color w:val="auto"/>
              </w:rPr>
            </w:pPr>
          </w:p>
        </w:tc>
      </w:tr>
      <w:tr>
        <w:trPr>
          <w:trHeight w:val="216"/>
        </w:trPr>
        <w:tc>
          <w:tcPr>
            <w:tcW w:w="2380" w:type="dxa"/>
            <w:vAlign w:val="bottom"/>
            <w:gridSpan w:val="2"/>
            <w:shd w:val="clear" w:color="auto" w:fill="CDEAFA"/>
          </w:tcPr>
          <w:p>
            <w:pPr>
              <w:ind w:left="40"/>
              <w:spacing w:after="0"/>
              <w:rPr>
                <w:sz w:val="20"/>
                <w:szCs w:val="20"/>
                <w:color w:val="auto"/>
              </w:rPr>
            </w:pPr>
            <w:r>
              <w:rPr>
                <w:rFonts w:ascii="Arial" w:cs="Arial" w:eastAsia="Arial" w:hAnsi="Arial"/>
                <w:sz w:val="18"/>
                <w:szCs w:val="18"/>
                <w:i w:val="1"/>
                <w:iCs w:val="1"/>
                <w:color w:val="auto"/>
              </w:rPr>
              <w:t>Bet v 1</w:t>
            </w: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116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7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patients with allergic</w:t>
            </w:r>
          </w:p>
        </w:tc>
        <w:tc>
          <w:tcPr>
            <w:tcW w:w="1680" w:type="dxa"/>
            <w:vAlign w:val="bottom"/>
            <w:shd w:val="clear" w:color="auto" w:fill="CDEAFA"/>
          </w:tcPr>
          <w:p>
            <w:pPr>
              <w:spacing w:after="0"/>
              <w:rPr>
                <w:sz w:val="18"/>
                <w:szCs w:val="18"/>
                <w:color w:val="auto"/>
              </w:rPr>
            </w:pPr>
          </w:p>
        </w:tc>
      </w:tr>
      <w:tr>
        <w:trPr>
          <w:trHeight w:val="216"/>
        </w:trPr>
        <w:tc>
          <w:tcPr>
            <w:tcW w:w="22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116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780" w:type="dxa"/>
            <w:vAlign w:val="bottom"/>
            <w:gridSpan w:val="2"/>
            <w:shd w:val="clear" w:color="auto" w:fill="CDEAFA"/>
          </w:tcPr>
          <w:p>
            <w:pPr>
              <w:spacing w:after="0"/>
              <w:rPr>
                <w:sz w:val="20"/>
                <w:szCs w:val="20"/>
                <w:color w:val="auto"/>
              </w:rPr>
            </w:pPr>
            <w:r>
              <w:rPr>
                <w:rFonts w:ascii="Arial" w:cs="Arial" w:eastAsia="Arial" w:hAnsi="Arial"/>
                <w:sz w:val="18"/>
                <w:szCs w:val="18"/>
                <w:color w:val="auto"/>
                <w:w w:val="99"/>
              </w:rPr>
              <w:t>rhinoconjunctivitis met</w:t>
            </w:r>
          </w:p>
        </w:tc>
        <w:tc>
          <w:tcPr>
            <w:tcW w:w="1680" w:type="dxa"/>
            <w:vAlign w:val="bottom"/>
            <w:shd w:val="clear" w:color="auto" w:fill="CDEAFA"/>
          </w:tcPr>
          <w:p>
            <w:pPr>
              <w:spacing w:after="0"/>
              <w:rPr>
                <w:sz w:val="18"/>
                <w:szCs w:val="18"/>
                <w:color w:val="auto"/>
              </w:rPr>
            </w:pPr>
          </w:p>
        </w:tc>
      </w:tr>
      <w:tr>
        <w:trPr>
          <w:trHeight w:val="244"/>
        </w:trPr>
        <w:tc>
          <w:tcPr>
            <w:tcW w:w="226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14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14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80" w:type="dxa"/>
            <w:vAlign w:val="bottom"/>
            <w:shd w:val="clear" w:color="auto" w:fill="CDEAFA"/>
          </w:tcPr>
          <w:p>
            <w:pPr>
              <w:spacing w:after="0"/>
              <w:rPr>
                <w:sz w:val="21"/>
                <w:szCs w:val="21"/>
                <w:color w:val="auto"/>
              </w:rPr>
            </w:pPr>
          </w:p>
        </w:tc>
        <w:tc>
          <w:tcPr>
            <w:tcW w:w="116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7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its primary endpoint</w:t>
            </w:r>
          </w:p>
        </w:tc>
        <w:tc>
          <w:tcPr>
            <w:tcW w:w="1680" w:type="dxa"/>
            <w:vAlign w:val="bottom"/>
            <w:shd w:val="clear" w:color="auto" w:fill="CDEAFA"/>
          </w:tcPr>
          <w:p>
            <w:pPr>
              <w:spacing w:after="0"/>
              <w:rPr>
                <w:sz w:val="21"/>
                <w:szCs w:val="21"/>
                <w:color w:val="auto"/>
              </w:rPr>
            </w:pPr>
          </w:p>
        </w:tc>
      </w:tr>
      <w:tr>
        <w:trPr>
          <w:trHeight w:val="215"/>
        </w:trPr>
        <w:tc>
          <w:tcPr>
            <w:tcW w:w="2380" w:type="dxa"/>
            <w:vAlign w:val="bottom"/>
            <w:gridSpan w:val="2"/>
          </w:tcPr>
          <w:p>
            <w:pPr>
              <w:ind w:left="40"/>
              <w:spacing w:after="0"/>
              <w:rPr>
                <w:sz w:val="20"/>
                <w:szCs w:val="20"/>
                <w:color w:val="auto"/>
              </w:rPr>
            </w:pPr>
            <w:r>
              <w:rPr>
                <w:rFonts w:ascii="Arial" w:cs="Arial" w:eastAsia="Arial" w:hAnsi="Arial"/>
                <w:sz w:val="18"/>
                <w:szCs w:val="18"/>
                <w:b w:val="1"/>
                <w:bCs w:val="1"/>
                <w:color w:val="auto"/>
              </w:rPr>
              <w:t>REGN6490</w:t>
            </w:r>
          </w:p>
        </w:tc>
        <w:tc>
          <w:tcPr>
            <w:tcW w:w="1140" w:type="dxa"/>
            <w:vAlign w:val="bottom"/>
          </w:tcPr>
          <w:p>
            <w:pPr>
              <w:spacing w:after="0"/>
              <w:rPr>
                <w:sz w:val="20"/>
                <w:szCs w:val="20"/>
                <w:color w:val="auto"/>
              </w:rPr>
            </w:pPr>
            <w:r>
              <w:rPr>
                <w:rFonts w:ascii="Arial" w:cs="Arial" w:eastAsia="Arial" w:hAnsi="Arial"/>
                <w:sz w:val="18"/>
                <w:szCs w:val="18"/>
                <w:color w:val="auto"/>
                <w:w w:val="91"/>
              </w:rPr>
              <w:t>–Palmo-plantar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rPr>
              <w:t>Antibody to IL-36R</w:t>
            </w:r>
          </w:p>
        </w:tc>
        <w:tc>
          <w:tcPr>
            <w:tcW w:w="1140" w:type="dxa"/>
            <w:vAlign w:val="bottom"/>
          </w:tcPr>
          <w:p>
            <w:pPr>
              <w:spacing w:after="0"/>
              <w:rPr>
                <w:sz w:val="20"/>
                <w:szCs w:val="20"/>
                <w:color w:val="auto"/>
              </w:rPr>
            </w:pPr>
            <w:r>
              <w:rPr>
                <w:rFonts w:ascii="Arial" w:cs="Arial" w:eastAsia="Arial" w:hAnsi="Arial"/>
                <w:sz w:val="18"/>
                <w:szCs w:val="18"/>
                <w:color w:val="auto"/>
              </w:rPr>
              <w:t>pustulosis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08"/>
        </w:trPr>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243"/>
        </w:trPr>
        <w:tc>
          <w:tcPr>
            <w:tcW w:w="226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14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140" w:type="dxa"/>
            <w:vAlign w:val="bottom"/>
            <w:shd w:val="clear" w:color="auto" w:fill="ACACAC"/>
          </w:tcPr>
          <w:p>
            <w:pPr>
              <w:spacing w:after="0"/>
              <w:rPr>
                <w:sz w:val="21"/>
                <w:szCs w:val="21"/>
                <w:color w:val="auto"/>
              </w:rPr>
            </w:pPr>
          </w:p>
        </w:tc>
        <w:tc>
          <w:tcPr>
            <w:tcW w:w="1740" w:type="dxa"/>
            <w:vAlign w:val="bottom"/>
            <w:gridSpan w:val="4"/>
            <w:shd w:val="clear" w:color="auto" w:fill="ACACAC"/>
          </w:tcPr>
          <w:p>
            <w:pPr>
              <w:spacing w:after="0"/>
              <w:rPr>
                <w:sz w:val="20"/>
                <w:szCs w:val="20"/>
                <w:color w:val="auto"/>
              </w:rPr>
            </w:pPr>
            <w:r>
              <w:rPr>
                <w:rFonts w:ascii="Arial" w:cs="Arial" w:eastAsia="Arial" w:hAnsi="Arial"/>
                <w:sz w:val="18"/>
                <w:szCs w:val="18"/>
                <w:b w:val="1"/>
                <w:bCs w:val="1"/>
                <w:color w:val="auto"/>
                <w:w w:val="90"/>
              </w:rPr>
              <w:t>Solid Organ Oncology</w:t>
            </w:r>
          </w:p>
        </w:tc>
        <w:tc>
          <w:tcPr>
            <w:tcW w:w="1160" w:type="dxa"/>
            <w:vAlign w:val="bottom"/>
            <w:shd w:val="clear" w:color="auto" w:fill="ACACAC"/>
          </w:tcPr>
          <w:p>
            <w:pPr>
              <w:spacing w:after="0"/>
              <w:rPr>
                <w:sz w:val="21"/>
                <w:szCs w:val="21"/>
                <w:color w:val="auto"/>
              </w:rPr>
            </w:pPr>
          </w:p>
        </w:tc>
        <w:tc>
          <w:tcPr>
            <w:tcW w:w="100" w:type="dxa"/>
            <w:vAlign w:val="bottom"/>
            <w:shd w:val="clear" w:color="auto" w:fill="ACACAC"/>
          </w:tcPr>
          <w:p>
            <w:pPr>
              <w:spacing w:after="0"/>
              <w:rPr>
                <w:sz w:val="21"/>
                <w:szCs w:val="21"/>
                <w:color w:val="auto"/>
              </w:rPr>
            </w:pPr>
          </w:p>
        </w:tc>
        <w:tc>
          <w:tcPr>
            <w:tcW w:w="1680" w:type="dxa"/>
            <w:vAlign w:val="bottom"/>
            <w:shd w:val="clear" w:color="auto" w:fill="ACACAC"/>
          </w:tcPr>
          <w:p>
            <w:pPr>
              <w:spacing w:after="0"/>
              <w:rPr>
                <w:sz w:val="21"/>
                <w:szCs w:val="21"/>
                <w:color w:val="auto"/>
              </w:rPr>
            </w:pPr>
          </w:p>
        </w:tc>
        <w:tc>
          <w:tcPr>
            <w:tcW w:w="100" w:type="dxa"/>
            <w:vAlign w:val="bottom"/>
            <w:shd w:val="clear" w:color="auto" w:fill="ACACAC"/>
          </w:tcPr>
          <w:p>
            <w:pPr>
              <w:spacing w:after="0"/>
              <w:rPr>
                <w:sz w:val="21"/>
                <w:szCs w:val="21"/>
                <w:color w:val="auto"/>
              </w:rPr>
            </w:pPr>
          </w:p>
        </w:tc>
        <w:tc>
          <w:tcPr>
            <w:tcW w:w="1680" w:type="dxa"/>
            <w:vAlign w:val="bottom"/>
            <w:shd w:val="clear" w:color="auto" w:fill="ACACAC"/>
          </w:tcPr>
          <w:p>
            <w:pPr>
              <w:spacing w:after="0"/>
              <w:rPr>
                <w:sz w:val="21"/>
                <w:szCs w:val="21"/>
                <w:color w:val="auto"/>
              </w:rPr>
            </w:pPr>
          </w:p>
        </w:tc>
      </w:tr>
    </w:tbl>
    <w:p>
      <w:pPr>
        <w:spacing w:after="0" w:line="79" w:lineRule="exact"/>
        <w:rPr>
          <w:sz w:val="20"/>
          <w:szCs w:val="20"/>
          <w:color w:val="auto"/>
        </w:rPr>
      </w:pPr>
    </w:p>
    <w:p>
      <w:pPr>
        <w:sectPr>
          <w:pgSz w:w="11900" w:h="16838" w:orient="portrait"/>
          <w:cols w:equalWidth="0" w:num="1">
            <w:col w:w="11240"/>
          </w:cols>
          <w:pgMar w:left="320" w:top="405" w:right="3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Libtayo (cemiplimab)</w:t>
      </w:r>
      <w:r>
        <w:rPr>
          <w:rFonts w:ascii="Arial" w:cs="Arial" w:eastAsia="Arial" w:hAnsi="Arial"/>
          <w:sz w:val="25"/>
          <w:szCs w:val="25"/>
          <w:b w:val="1"/>
          <w:bCs w:val="1"/>
          <w:color w:val="auto"/>
          <w:vertAlign w:val="superscript"/>
        </w:rPr>
        <w:t>(a)(g)</w:t>
      </w:r>
    </w:p>
    <w:p>
      <w:pPr>
        <w:ind w:left="40"/>
        <w:spacing w:after="0"/>
        <w:rPr>
          <w:sz w:val="20"/>
          <w:szCs w:val="20"/>
          <w:color w:val="auto"/>
        </w:rPr>
      </w:pPr>
      <w:r>
        <w:rPr>
          <w:rFonts w:ascii="Arial" w:cs="Arial" w:eastAsia="Arial" w:hAnsi="Arial"/>
          <w:sz w:val="18"/>
          <w:szCs w:val="18"/>
          <w:i w:val="1"/>
          <w:iCs w:val="1"/>
          <w:color w:val="auto"/>
        </w:rPr>
        <w:t>Antibody to PD-1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–Metastatic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locally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advanced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CSCC</w:t>
      </w:r>
      <w:r>
        <w:rPr>
          <w:rFonts w:ascii="Arial" w:cs="Arial" w:eastAsia="Arial" w:hAnsi="Arial"/>
          <w:sz w:val="29"/>
          <w:szCs w:val="29"/>
          <w:color w:val="auto"/>
          <w:vertAlign w:val="superscript"/>
        </w:rPr>
        <w:t>(d)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–Neoadjuvant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CSCC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–Second-line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cervical cancer,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ISA101b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combination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–First-line</w:t>
            </w:r>
          </w:p>
        </w:tc>
        <w:tc>
          <w:tcPr>
            <w:tcW w:w="1360" w:type="dxa"/>
            <w:vAlign w:val="bottom"/>
          </w:tcPr>
          <w:p>
            <w:pPr>
              <w:ind w:left="100"/>
              <w:spacing w:after="0"/>
              <w:rPr>
                <w:sz w:val="20"/>
                <w:szCs w:val="20"/>
                <w:color w:val="auto"/>
              </w:rPr>
            </w:pPr>
            <w:r>
              <w:rPr>
                <w:rFonts w:ascii="Arial" w:cs="Arial" w:eastAsia="Arial" w:hAnsi="Arial"/>
                <w:sz w:val="18"/>
                <w:szCs w:val="18"/>
                <w:color w:val="auto"/>
              </w:rPr>
              <w:t>–Second-line</w:t>
            </w:r>
          </w:p>
        </w:tc>
        <w:tc>
          <w:tcPr>
            <w:tcW w:w="1900" w:type="dxa"/>
            <w:vAlign w:val="bottom"/>
          </w:tcPr>
          <w:p>
            <w:pPr>
              <w:ind w:left="180"/>
              <w:spacing w:after="0"/>
              <w:rPr>
                <w:sz w:val="20"/>
                <w:szCs w:val="20"/>
                <w:color w:val="auto"/>
              </w:rPr>
            </w:pPr>
            <w:r>
              <w:rPr>
                <w:rFonts w:ascii="Arial" w:cs="Arial" w:eastAsia="Arial" w:hAnsi="Arial"/>
                <w:sz w:val="18"/>
                <w:szCs w:val="18"/>
                <w:color w:val="auto"/>
              </w:rPr>
              <w:t>–Approved by FDA</w:t>
            </w:r>
          </w:p>
        </w:tc>
        <w:tc>
          <w:tcPr>
            <w:tcW w:w="1680" w:type="dxa"/>
            <w:vAlign w:val="bottom"/>
          </w:tcPr>
          <w:p>
            <w:pPr>
              <w:ind w:left="60"/>
              <w:spacing w:after="0"/>
              <w:rPr>
                <w:sz w:val="20"/>
                <w:szCs w:val="20"/>
                <w:color w:val="auto"/>
              </w:rPr>
            </w:pPr>
            <w:r>
              <w:rPr>
                <w:rFonts w:ascii="Arial" w:cs="Arial" w:eastAsia="Arial" w:hAnsi="Arial"/>
                <w:sz w:val="18"/>
                <w:szCs w:val="18"/>
                <w:color w:val="auto"/>
              </w:rPr>
              <w:t>–FDA decision 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NSCLC,</w:t>
            </w:r>
          </w:p>
        </w:tc>
        <w:tc>
          <w:tcPr>
            <w:tcW w:w="1360" w:type="dxa"/>
            <w:vAlign w:val="bottom"/>
          </w:tcPr>
          <w:p>
            <w:pPr>
              <w:ind w:left="100"/>
              <w:spacing w:after="0"/>
              <w:rPr>
                <w:sz w:val="20"/>
                <w:szCs w:val="20"/>
                <w:color w:val="auto"/>
              </w:rPr>
            </w:pPr>
            <w:r>
              <w:rPr>
                <w:rFonts w:ascii="Arial" w:cs="Arial" w:eastAsia="Arial" w:hAnsi="Arial"/>
                <w:sz w:val="18"/>
                <w:szCs w:val="18"/>
                <w:color w:val="auto"/>
              </w:rPr>
              <w:t>cervical cancer</w:t>
            </w:r>
          </w:p>
        </w:tc>
        <w:tc>
          <w:tcPr>
            <w:tcW w:w="1900" w:type="dxa"/>
            <w:vAlign w:val="bottom"/>
          </w:tcPr>
          <w:p>
            <w:pPr>
              <w:ind w:left="180"/>
              <w:spacing w:after="0"/>
              <w:rPr>
                <w:sz w:val="20"/>
                <w:szCs w:val="20"/>
                <w:color w:val="auto"/>
              </w:rPr>
            </w:pPr>
            <w:r>
              <w:rPr>
                <w:rFonts w:ascii="Arial" w:cs="Arial" w:eastAsia="Arial" w:hAnsi="Arial"/>
                <w:sz w:val="18"/>
                <w:szCs w:val="18"/>
                <w:color w:val="auto"/>
              </w:rPr>
              <w:t>and EC for first-line</w:t>
            </w:r>
          </w:p>
        </w:tc>
        <w:tc>
          <w:tcPr>
            <w:tcW w:w="1680" w:type="dxa"/>
            <w:vAlign w:val="bottom"/>
          </w:tcPr>
          <w:p>
            <w:pPr>
              <w:ind w:left="60"/>
              <w:spacing w:after="0"/>
              <w:rPr>
                <w:sz w:val="20"/>
                <w:szCs w:val="20"/>
                <w:color w:val="auto"/>
              </w:rPr>
            </w:pPr>
            <w:r>
              <w:rPr>
                <w:rFonts w:ascii="Arial" w:cs="Arial" w:eastAsia="Arial" w:hAnsi="Arial"/>
                <w:sz w:val="18"/>
                <w:szCs w:val="18"/>
                <w:color w:val="auto"/>
              </w:rPr>
              <w:t>sBLA (target action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chemotherapy</w:t>
            </w:r>
          </w:p>
        </w:tc>
        <w:tc>
          <w:tcPr>
            <w:tcW w:w="1360" w:type="dxa"/>
            <w:vAlign w:val="bottom"/>
          </w:tcPr>
          <w:p>
            <w:pPr>
              <w:ind w:left="100"/>
              <w:spacing w:after="0"/>
              <w:rPr>
                <w:sz w:val="20"/>
                <w:szCs w:val="20"/>
                <w:color w:val="auto"/>
              </w:rPr>
            </w:pPr>
            <w:r>
              <w:rPr>
                <w:rFonts w:ascii="Arial" w:cs="Arial" w:eastAsia="Arial" w:hAnsi="Arial"/>
                <w:sz w:val="18"/>
                <w:szCs w:val="18"/>
                <w:color w:val="auto"/>
              </w:rPr>
              <w:t>(EU)</w:t>
            </w:r>
          </w:p>
        </w:tc>
        <w:tc>
          <w:tcPr>
            <w:tcW w:w="1900" w:type="dxa"/>
            <w:vAlign w:val="bottom"/>
          </w:tcPr>
          <w:p>
            <w:pPr>
              <w:ind w:left="180"/>
              <w:spacing w:after="0"/>
              <w:rPr>
                <w:sz w:val="20"/>
                <w:szCs w:val="20"/>
                <w:color w:val="auto"/>
              </w:rPr>
            </w:pPr>
            <w:r>
              <w:rPr>
                <w:rFonts w:ascii="Arial" w:cs="Arial" w:eastAsia="Arial" w:hAnsi="Arial"/>
                <w:sz w:val="18"/>
                <w:szCs w:val="18"/>
                <w:color w:val="auto"/>
                <w:w w:val="96"/>
              </w:rPr>
              <w:t>NSCLC, monotherapy</w:t>
            </w:r>
          </w:p>
        </w:tc>
        <w:tc>
          <w:tcPr>
            <w:tcW w:w="1680" w:type="dxa"/>
            <w:vAlign w:val="bottom"/>
          </w:tcPr>
          <w:p>
            <w:pPr>
              <w:ind w:left="60"/>
              <w:spacing w:after="0"/>
              <w:rPr>
                <w:sz w:val="20"/>
                <w:szCs w:val="20"/>
                <w:color w:val="auto"/>
              </w:rPr>
            </w:pPr>
            <w:r>
              <w:rPr>
                <w:rFonts w:ascii="Arial" w:cs="Arial" w:eastAsia="Arial" w:hAnsi="Arial"/>
                <w:sz w:val="18"/>
                <w:szCs w:val="18"/>
                <w:color w:val="auto"/>
                <w:w w:val="89"/>
              </w:rPr>
              <w:t>date of September 19,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combination</w:t>
            </w:r>
          </w:p>
        </w:tc>
        <w:tc>
          <w:tcPr>
            <w:tcW w:w="1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2022) and EC</w:t>
            </w:r>
          </w:p>
        </w:tc>
      </w:tr>
      <w:tr>
        <w:trPr>
          <w:trHeight w:val="216"/>
        </w:trPr>
        <w:tc>
          <w:tcPr>
            <w:tcW w:w="13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–First-line</w:t>
            </w:r>
          </w:p>
        </w:tc>
        <w:tc>
          <w:tcPr>
            <w:tcW w:w="1900" w:type="dxa"/>
            <w:vAlign w:val="bottom"/>
          </w:tcPr>
          <w:p>
            <w:pPr>
              <w:ind w:left="180"/>
              <w:spacing w:after="0"/>
              <w:rPr>
                <w:sz w:val="20"/>
                <w:szCs w:val="20"/>
                <w:color w:val="auto"/>
              </w:rPr>
            </w:pPr>
            <w:r>
              <w:rPr>
                <w:rFonts w:ascii="Arial" w:cs="Arial" w:eastAsia="Arial" w:hAnsi="Arial"/>
                <w:sz w:val="18"/>
                <w:szCs w:val="18"/>
                <w:color w:val="auto"/>
              </w:rPr>
              <w:t>–Approved by FDA</w:t>
            </w:r>
          </w:p>
        </w:tc>
        <w:tc>
          <w:tcPr>
            <w:tcW w:w="1680" w:type="dxa"/>
            <w:vAlign w:val="bottom"/>
          </w:tcPr>
          <w:p>
            <w:pPr>
              <w:ind w:left="60"/>
              <w:spacing w:after="0"/>
              <w:rPr>
                <w:sz w:val="20"/>
                <w:szCs w:val="20"/>
                <w:color w:val="auto"/>
              </w:rPr>
            </w:pPr>
            <w:r>
              <w:rPr>
                <w:rFonts w:ascii="Arial" w:cs="Arial" w:eastAsia="Arial" w:hAnsi="Arial"/>
                <w:sz w:val="18"/>
                <w:szCs w:val="18"/>
                <w:color w:val="auto"/>
                <w:w w:val="90"/>
              </w:rPr>
              <w:t>decision on regulatory</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–Second-line</w:t>
            </w:r>
          </w:p>
        </w:tc>
        <w:tc>
          <w:tcPr>
            <w:tcW w:w="1360" w:type="dxa"/>
            <w:vAlign w:val="bottom"/>
          </w:tcPr>
          <w:p>
            <w:pPr>
              <w:ind w:left="100"/>
              <w:spacing w:after="0"/>
              <w:rPr>
                <w:sz w:val="20"/>
                <w:szCs w:val="20"/>
                <w:color w:val="auto"/>
              </w:rPr>
            </w:pPr>
            <w:r>
              <w:rPr>
                <w:rFonts w:ascii="Arial" w:cs="Arial" w:eastAsia="Arial" w:hAnsi="Arial"/>
                <w:sz w:val="18"/>
                <w:szCs w:val="18"/>
                <w:color w:val="auto"/>
              </w:rPr>
              <w:t>NSCLC,</w:t>
            </w:r>
          </w:p>
        </w:tc>
        <w:tc>
          <w:tcPr>
            <w:tcW w:w="1900" w:type="dxa"/>
            <w:vAlign w:val="bottom"/>
          </w:tcPr>
          <w:p>
            <w:pPr>
              <w:ind w:left="180"/>
              <w:spacing w:after="0"/>
              <w:rPr>
                <w:sz w:val="20"/>
                <w:szCs w:val="20"/>
                <w:color w:val="auto"/>
              </w:rPr>
            </w:pPr>
            <w:r>
              <w:rPr>
                <w:rFonts w:ascii="Arial" w:cs="Arial" w:eastAsia="Arial" w:hAnsi="Arial"/>
                <w:sz w:val="18"/>
                <w:szCs w:val="18"/>
                <w:color w:val="auto"/>
              </w:rPr>
              <w:t>and EC for BCC</w:t>
            </w:r>
          </w:p>
        </w:tc>
        <w:tc>
          <w:tcPr>
            <w:tcW w:w="1680" w:type="dxa"/>
            <w:vAlign w:val="bottom"/>
          </w:tcPr>
          <w:p>
            <w:pPr>
              <w:ind w:left="60"/>
              <w:spacing w:after="0"/>
              <w:rPr>
                <w:sz w:val="20"/>
                <w:szCs w:val="20"/>
                <w:color w:val="auto"/>
              </w:rPr>
            </w:pPr>
            <w:r>
              <w:rPr>
                <w:rFonts w:ascii="Arial" w:cs="Arial" w:eastAsia="Arial" w:hAnsi="Arial"/>
                <w:sz w:val="18"/>
                <w:szCs w:val="18"/>
                <w:color w:val="auto"/>
              </w:rPr>
              <w:t>submission for</w:t>
            </w:r>
          </w:p>
        </w:tc>
      </w:tr>
      <w:tr>
        <w:trPr>
          <w:trHeight w:val="217"/>
        </w:trPr>
        <w:tc>
          <w:tcPr>
            <w:tcW w:w="1340" w:type="dxa"/>
            <w:vAlign w:val="bottom"/>
          </w:tcPr>
          <w:p>
            <w:pPr>
              <w:spacing w:after="0" w:line="217" w:lineRule="exact"/>
              <w:rPr>
                <w:sz w:val="20"/>
                <w:szCs w:val="20"/>
                <w:color w:val="auto"/>
              </w:rPr>
            </w:pPr>
            <w:r>
              <w:rPr>
                <w:rFonts w:ascii="Arial" w:cs="Arial" w:eastAsia="Arial" w:hAnsi="Arial"/>
                <w:sz w:val="16"/>
                <w:szCs w:val="16"/>
                <w:color w:val="auto"/>
              </w:rPr>
              <w:t>cervical cancer</w:t>
            </w:r>
            <w:r>
              <w:rPr>
                <w:rFonts w:ascii="Arial" w:cs="Arial" w:eastAsia="Arial" w:hAnsi="Arial"/>
                <w:sz w:val="25"/>
                <w:szCs w:val="25"/>
                <w:color w:val="auto"/>
                <w:vertAlign w:val="superscript"/>
              </w:rPr>
              <w:t>(e)</w:t>
            </w:r>
          </w:p>
        </w:tc>
        <w:tc>
          <w:tcPr>
            <w:tcW w:w="1360" w:type="dxa"/>
            <w:vAlign w:val="bottom"/>
          </w:tcPr>
          <w:p>
            <w:pPr>
              <w:ind w:left="100"/>
              <w:spacing w:after="0"/>
              <w:rPr>
                <w:sz w:val="20"/>
                <w:szCs w:val="20"/>
                <w:color w:val="auto"/>
              </w:rPr>
            </w:pPr>
            <w:r>
              <w:rPr>
                <w:rFonts w:ascii="Arial" w:cs="Arial" w:eastAsia="Arial" w:hAnsi="Arial"/>
                <w:sz w:val="18"/>
                <w:szCs w:val="18"/>
                <w:color w:val="auto"/>
              </w:rPr>
              <w:t>chemotherapy</w:t>
            </w:r>
          </w:p>
        </w:tc>
        <w:tc>
          <w:tcPr>
            <w:tcW w:w="1900" w:type="dxa"/>
            <w:vAlign w:val="bottom"/>
          </w:tcPr>
          <w:p>
            <w:pPr>
              <w:spacing w:after="0"/>
              <w:rPr>
                <w:sz w:val="18"/>
                <w:szCs w:val="18"/>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NSCLC,</w:t>
            </w:r>
          </w:p>
        </w:tc>
      </w:tr>
      <w:tr>
        <w:trPr>
          <w:trHeight w:val="215"/>
        </w:trPr>
        <w:tc>
          <w:tcPr>
            <w:tcW w:w="1340" w:type="dxa"/>
            <w:vAlign w:val="bottom"/>
          </w:tcPr>
          <w:p>
            <w:pPr>
              <w:spacing w:after="0"/>
              <w:rPr>
                <w:sz w:val="18"/>
                <w:szCs w:val="18"/>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combination (U.S.  –Reported Phase 3</w:t>
            </w:r>
          </w:p>
        </w:tc>
        <w:tc>
          <w:tcPr>
            <w:tcW w:w="1680" w:type="dxa"/>
            <w:vAlign w:val="bottom"/>
          </w:tcPr>
          <w:p>
            <w:pPr>
              <w:ind w:left="60"/>
              <w:spacing w:after="0"/>
              <w:rPr>
                <w:sz w:val="20"/>
                <w:szCs w:val="20"/>
                <w:color w:val="auto"/>
              </w:rPr>
            </w:pPr>
            <w:r>
              <w:rPr>
                <w:rFonts w:ascii="Arial" w:cs="Arial" w:eastAsia="Arial" w:hAnsi="Arial"/>
                <w:sz w:val="18"/>
                <w:szCs w:val="18"/>
                <w:color w:val="auto"/>
              </w:rPr>
              <w:t>chemotherapy</w:t>
            </w:r>
          </w:p>
        </w:tc>
      </w:tr>
      <w:tr>
        <w:trPr>
          <w:trHeight w:val="217"/>
        </w:trPr>
        <w:tc>
          <w:tcPr>
            <w:tcW w:w="1340" w:type="dxa"/>
            <w:vAlign w:val="bottom"/>
          </w:tcPr>
          <w:p>
            <w:pPr>
              <w:spacing w:after="0"/>
              <w:rPr>
                <w:sz w:val="20"/>
                <w:szCs w:val="20"/>
                <w:color w:val="auto"/>
              </w:rPr>
            </w:pPr>
            <w:r>
              <w:rPr>
                <w:rFonts w:ascii="Arial" w:cs="Arial" w:eastAsia="Arial" w:hAnsi="Arial"/>
                <w:sz w:val="18"/>
                <w:szCs w:val="18"/>
                <w:color w:val="auto"/>
                <w:w w:val="96"/>
              </w:rPr>
              <w:t>–Adjuvant CSCC</w:t>
            </w:r>
          </w:p>
        </w:tc>
        <w:tc>
          <w:tcPr>
            <w:tcW w:w="1360" w:type="dxa"/>
            <w:vAlign w:val="bottom"/>
          </w:tcPr>
          <w:p>
            <w:pPr>
              <w:ind w:left="100"/>
              <w:spacing w:after="0"/>
              <w:rPr>
                <w:sz w:val="20"/>
                <w:szCs w:val="20"/>
                <w:color w:val="auto"/>
              </w:rPr>
            </w:pPr>
            <w:r>
              <w:rPr>
                <w:rFonts w:ascii="Arial" w:cs="Arial" w:eastAsia="Arial" w:hAnsi="Arial"/>
                <w:sz w:val="18"/>
                <w:szCs w:val="18"/>
                <w:color w:val="auto"/>
              </w:rPr>
              <w:t>and EU)</w:t>
            </w:r>
          </w:p>
        </w:tc>
        <w:tc>
          <w:tcPr>
            <w:tcW w:w="1900" w:type="dxa"/>
            <w:vAlign w:val="bottom"/>
          </w:tcPr>
          <w:p>
            <w:pPr>
              <w:ind w:left="180"/>
              <w:spacing w:after="0"/>
              <w:rPr>
                <w:sz w:val="20"/>
                <w:szCs w:val="20"/>
                <w:color w:val="auto"/>
              </w:rPr>
            </w:pPr>
            <w:r>
              <w:rPr>
                <w:rFonts w:ascii="Arial" w:cs="Arial" w:eastAsia="Arial" w:hAnsi="Arial"/>
                <w:sz w:val="18"/>
                <w:szCs w:val="18"/>
                <w:color w:val="auto"/>
              </w:rPr>
              <w:t>chemotherapy</w:t>
            </w:r>
          </w:p>
        </w:tc>
        <w:tc>
          <w:tcPr>
            <w:tcW w:w="1680" w:type="dxa"/>
            <w:vAlign w:val="bottom"/>
          </w:tcPr>
          <w:p>
            <w:pPr>
              <w:ind w:left="60"/>
              <w:spacing w:after="0"/>
              <w:rPr>
                <w:sz w:val="20"/>
                <w:szCs w:val="20"/>
                <w:color w:val="auto"/>
              </w:rPr>
            </w:pPr>
            <w:r>
              <w:rPr>
                <w:rFonts w:ascii="Arial" w:cs="Arial" w:eastAsia="Arial" w:hAnsi="Arial"/>
                <w:sz w:val="18"/>
                <w:szCs w:val="18"/>
                <w:color w:val="auto"/>
                <w:w w:val="96"/>
              </w:rPr>
              <w:t>combination (second</w:t>
            </w:r>
          </w:p>
        </w:tc>
      </w:tr>
      <w:tr>
        <w:trPr>
          <w:trHeight w:val="215"/>
        </w:trPr>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combination trial in</w:t>
            </w:r>
          </w:p>
        </w:tc>
        <w:tc>
          <w:tcPr>
            <w:tcW w:w="1680" w:type="dxa"/>
            <w:vAlign w:val="bottom"/>
          </w:tcPr>
          <w:p>
            <w:pPr>
              <w:ind w:left="60"/>
              <w:spacing w:after="0"/>
              <w:rPr>
                <w:sz w:val="20"/>
                <w:szCs w:val="20"/>
                <w:color w:val="auto"/>
              </w:rPr>
            </w:pPr>
            <w:r>
              <w:rPr>
                <w:rFonts w:ascii="Arial" w:cs="Arial" w:eastAsia="Arial" w:hAnsi="Arial"/>
                <w:sz w:val="18"/>
                <w:szCs w:val="18"/>
                <w:color w:val="auto"/>
              </w:rPr>
              <w:t>half 2022)</w:t>
            </w:r>
          </w:p>
        </w:tc>
      </w:tr>
      <w:tr>
        <w:trPr>
          <w:trHeight w:val="216"/>
        </w:trPr>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w w:val="96"/>
              </w:rPr>
              <w:t>NSCLC met its overall</w:t>
            </w:r>
          </w:p>
        </w:tc>
        <w:tc>
          <w:tcPr>
            <w:tcW w:w="16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survival primary</w:t>
            </w:r>
          </w:p>
        </w:tc>
        <w:tc>
          <w:tcPr>
            <w:tcW w:w="1680" w:type="dxa"/>
            <w:vAlign w:val="bottom"/>
          </w:tcPr>
          <w:p>
            <w:pPr>
              <w:ind w:left="60"/>
              <w:spacing w:after="0"/>
              <w:rPr>
                <w:sz w:val="20"/>
                <w:szCs w:val="20"/>
                <w:color w:val="auto"/>
              </w:rPr>
            </w:pPr>
            <w:r>
              <w:rPr>
                <w:rFonts w:ascii="Arial" w:cs="Arial" w:eastAsia="Arial" w:hAnsi="Arial"/>
                <w:sz w:val="18"/>
                <w:szCs w:val="18"/>
                <w:color w:val="auto"/>
              </w:rPr>
              <w:t>–EC decision on</w:t>
            </w:r>
          </w:p>
        </w:tc>
      </w:tr>
      <w:tr>
        <w:trPr>
          <w:trHeight w:val="216"/>
        </w:trPr>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w w:val="95"/>
              </w:rPr>
              <w:t>endpoint; trial stopped</w:t>
            </w:r>
          </w:p>
        </w:tc>
        <w:tc>
          <w:tcPr>
            <w:tcW w:w="1680" w:type="dxa"/>
            <w:vAlign w:val="bottom"/>
          </w:tcPr>
          <w:p>
            <w:pPr>
              <w:ind w:left="60"/>
              <w:spacing w:after="0"/>
              <w:rPr>
                <w:sz w:val="20"/>
                <w:szCs w:val="20"/>
                <w:color w:val="auto"/>
              </w:rPr>
            </w:pPr>
            <w:r>
              <w:rPr>
                <w:rFonts w:ascii="Arial" w:cs="Arial" w:eastAsia="Arial" w:hAnsi="Arial"/>
                <w:sz w:val="18"/>
                <w:szCs w:val="18"/>
                <w:color w:val="auto"/>
                <w:w w:val="91"/>
              </w:rPr>
              <w:t>regulatory submission</w:t>
            </w:r>
          </w:p>
        </w:tc>
      </w:tr>
      <w:tr>
        <w:trPr>
          <w:trHeight w:val="216"/>
        </w:trPr>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early based on</w:t>
            </w:r>
          </w:p>
        </w:tc>
        <w:tc>
          <w:tcPr>
            <w:tcW w:w="1680" w:type="dxa"/>
            <w:vAlign w:val="bottom"/>
          </w:tcPr>
          <w:p>
            <w:pPr>
              <w:ind w:left="60"/>
              <w:spacing w:after="0"/>
              <w:rPr>
                <w:sz w:val="20"/>
                <w:szCs w:val="20"/>
                <w:color w:val="auto"/>
              </w:rPr>
            </w:pPr>
            <w:r>
              <w:rPr>
                <w:rFonts w:ascii="Arial" w:cs="Arial" w:eastAsia="Arial" w:hAnsi="Arial"/>
                <w:sz w:val="18"/>
                <w:szCs w:val="18"/>
                <w:color w:val="auto"/>
              </w:rPr>
              <w:t>for cervical cancer</w:t>
            </w:r>
          </w:p>
        </w:tc>
      </w:tr>
      <w:tr>
        <w:trPr>
          <w:trHeight w:val="216"/>
        </w:trPr>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Independent Data</w:t>
            </w:r>
          </w:p>
        </w:tc>
        <w:tc>
          <w:tcPr>
            <w:tcW w:w="1680" w:type="dxa"/>
            <w:vAlign w:val="bottom"/>
          </w:tcPr>
          <w:p>
            <w:pPr>
              <w:ind w:left="60"/>
              <w:spacing w:after="0"/>
              <w:rPr>
                <w:sz w:val="20"/>
                <w:szCs w:val="20"/>
                <w:color w:val="auto"/>
              </w:rPr>
            </w:pPr>
            <w:r>
              <w:rPr>
                <w:rFonts w:ascii="Arial" w:cs="Arial" w:eastAsia="Arial" w:hAnsi="Arial"/>
                <w:sz w:val="18"/>
                <w:szCs w:val="18"/>
                <w:color w:val="auto"/>
              </w:rPr>
              <w:t>(second half 2022)</w:t>
            </w:r>
          </w:p>
        </w:tc>
      </w:tr>
      <w:tr>
        <w:trPr>
          <w:trHeight w:val="216"/>
        </w:trPr>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w w:val="96"/>
              </w:rPr>
              <w:t>Monitoring Committee</w:t>
            </w:r>
          </w:p>
        </w:tc>
        <w:tc>
          <w:tcPr>
            <w:tcW w:w="16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(“IDMC”)</w:t>
            </w:r>
          </w:p>
        </w:tc>
        <w:tc>
          <w:tcPr>
            <w:tcW w:w="168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recommendation</w:t>
            </w:r>
          </w:p>
        </w:tc>
        <w:tc>
          <w:tcPr>
            <w:tcW w:w="1680" w:type="dxa"/>
            <w:vAlign w:val="bottom"/>
          </w:tcPr>
          <w:p>
            <w:pPr>
              <w:spacing w:after="0"/>
              <w:rPr>
                <w:sz w:val="20"/>
                <w:szCs w:val="20"/>
                <w:color w:val="auto"/>
              </w:rPr>
            </w:pPr>
          </w:p>
        </w:tc>
      </w:tr>
      <w:tr>
        <w:trPr>
          <w:trHeight w:val="419"/>
        </w:trPr>
        <w:tc>
          <w:tcPr>
            <w:tcW w:w="1340" w:type="dxa"/>
            <w:vAlign w:val="bottom"/>
          </w:tcPr>
          <w:p>
            <w:pPr>
              <w:ind w:left="680"/>
              <w:spacing w:after="0"/>
              <w:rPr>
                <w:sz w:val="20"/>
                <w:szCs w:val="20"/>
                <w:color w:val="auto"/>
              </w:rPr>
            </w:pPr>
            <w:r>
              <w:rPr>
                <w:rFonts w:ascii="Arial" w:cs="Arial" w:eastAsia="Arial" w:hAnsi="Arial"/>
                <w:sz w:val="18"/>
                <w:szCs w:val="18"/>
                <w:color w:val="auto"/>
              </w:rPr>
              <w:t>9</w:t>
            </w: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-2742565</wp:posOffset>
            </wp:positionV>
            <wp:extent cx="7132320" cy="2486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48602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137160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3">
            <w:col w:w="2920" w:space="720"/>
            <w:col w:w="1120" w:space="140"/>
            <w:col w:w="6340"/>
          </w:cols>
          <w:pgMar w:left="320" w:top="405"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21"/>
        </w:trPr>
        <w:tc>
          <w:tcPr>
            <w:tcW w:w="2380" w:type="dxa"/>
            <w:vAlign w:val="bottom"/>
            <w:gridSpan w:val="2"/>
          </w:tcPr>
          <w:p>
            <w:pPr>
              <w:ind w:left="460"/>
              <w:spacing w:after="0"/>
              <w:rPr>
                <w:sz w:val="20"/>
                <w:szCs w:val="20"/>
                <w:color w:val="auto"/>
              </w:rPr>
            </w:pPr>
            <w:r>
              <w:rPr>
                <w:rFonts w:ascii="Arial" w:cs="Arial" w:eastAsia="Arial" w:hAnsi="Arial"/>
                <w:sz w:val="18"/>
                <w:szCs w:val="18"/>
                <w:b w:val="1"/>
                <w:bCs w:val="1"/>
                <w:color w:val="auto"/>
              </w:rPr>
              <w:t>Clinical Program</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2021 and 2022</w:t>
            </w:r>
          </w:p>
        </w:tc>
        <w:tc>
          <w:tcPr>
            <w:tcW w:w="1680" w:type="dxa"/>
            <w:vAlign w:val="bottom"/>
          </w:tcPr>
          <w:p>
            <w:pPr>
              <w:ind w:left="160"/>
              <w:spacing w:after="0"/>
              <w:rPr>
                <w:sz w:val="20"/>
                <w:szCs w:val="20"/>
                <w:color w:val="auto"/>
              </w:rPr>
            </w:pPr>
            <w:r>
              <w:rPr>
                <w:rFonts w:ascii="Arial" w:cs="Arial" w:eastAsia="Arial" w:hAnsi="Arial"/>
                <w:sz w:val="18"/>
                <w:szCs w:val="18"/>
                <w:b w:val="1"/>
                <w:bCs w:val="1"/>
                <w:color w:val="auto"/>
              </w:rPr>
              <w:t>Select Upcoming</w:t>
            </w:r>
          </w:p>
        </w:tc>
      </w:tr>
      <w:tr>
        <w:trPr>
          <w:trHeight w:val="270"/>
        </w:trPr>
        <w:tc>
          <w:tcPr>
            <w:tcW w:w="2380" w:type="dxa"/>
            <w:vAlign w:val="bottom"/>
            <w:gridSpan w:val="2"/>
          </w:tcPr>
          <w:p>
            <w:pPr>
              <w:ind w:left="720"/>
              <w:spacing w:after="0"/>
              <w:rPr>
                <w:sz w:val="20"/>
                <w:szCs w:val="20"/>
                <w:color w:val="auto"/>
              </w:rPr>
            </w:pPr>
            <w:r>
              <w:rPr>
                <w:rFonts w:ascii="Arial" w:cs="Arial" w:eastAsia="Arial" w:hAnsi="Arial"/>
                <w:sz w:val="18"/>
                <w:szCs w:val="18"/>
                <w:b w:val="1"/>
                <w:bCs w:val="1"/>
                <w:i w:val="1"/>
                <w:iCs w:val="1"/>
                <w:color w:val="auto"/>
              </w:rPr>
              <w:t>(continued)</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Phase 1</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Phase 2</w:t>
            </w: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Phase 3</w:t>
            </w:r>
          </w:p>
        </w:tc>
        <w:tc>
          <w:tcPr>
            <w:tcW w:w="1440" w:type="dxa"/>
            <w:vAlign w:val="bottom"/>
            <w:gridSpan w:val="2"/>
          </w:tcPr>
          <w:p>
            <w:pPr>
              <w:jc w:val="center"/>
              <w:ind w:right="60"/>
              <w:spacing w:after="0" w:line="270"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9"/>
                <w:szCs w:val="29"/>
                <w:b w:val="1"/>
                <w:bCs w:val="1"/>
                <w:color w:val="auto"/>
                <w:w w:val="85"/>
                <w:vertAlign w:val="superscript"/>
              </w:rPr>
              <w:t>(h)</w:t>
            </w:r>
          </w:p>
        </w:tc>
        <w:tc>
          <w:tcPr>
            <w:tcW w:w="1780" w:type="dxa"/>
            <w:vAlign w:val="bottom"/>
            <w:gridSpan w:val="2"/>
          </w:tcPr>
          <w:p>
            <w:pPr>
              <w:ind w:left="280"/>
              <w:spacing w:after="0"/>
              <w:rPr>
                <w:sz w:val="20"/>
                <w:szCs w:val="20"/>
                <w:color w:val="auto"/>
              </w:rPr>
            </w:pPr>
            <w:r>
              <w:rPr>
                <w:rFonts w:ascii="Arial" w:cs="Arial" w:eastAsia="Arial" w:hAnsi="Arial"/>
                <w:sz w:val="18"/>
                <w:szCs w:val="18"/>
                <w:b w:val="1"/>
                <w:bCs w:val="1"/>
                <w:color w:val="auto"/>
              </w:rPr>
              <w:t>Events to Date</w:t>
            </w:r>
          </w:p>
        </w:tc>
        <w:tc>
          <w:tcPr>
            <w:tcW w:w="1680" w:type="dxa"/>
            <w:vAlign w:val="bottom"/>
          </w:tcPr>
          <w:p>
            <w:pPr>
              <w:ind w:left="340"/>
              <w:spacing w:after="0" w:line="27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9"/>
                <w:szCs w:val="29"/>
                <w:b w:val="1"/>
                <w:bCs w:val="1"/>
                <w:color w:val="auto"/>
                <w:vertAlign w:val="superscript"/>
              </w:rPr>
              <w:t>(i)</w:t>
            </w:r>
          </w:p>
        </w:tc>
      </w:tr>
      <w:tr>
        <w:trPr>
          <w:trHeight w:val="209"/>
        </w:trPr>
        <w:tc>
          <w:tcPr>
            <w:tcW w:w="2260" w:type="dxa"/>
            <w:vAlign w:val="bottom"/>
            <w:tcBorders>
              <w:top w:val="single" w:sz="8" w:color="auto"/>
            </w:tcBorders>
          </w:tcPr>
          <w:p>
            <w:pPr>
              <w:ind w:left="40"/>
              <w:spacing w:after="0" w:line="210" w:lineRule="exact"/>
              <w:rPr>
                <w:sz w:val="20"/>
                <w:szCs w:val="20"/>
                <w:color w:val="auto"/>
              </w:rPr>
            </w:pPr>
            <w:r>
              <w:rPr>
                <w:rFonts w:ascii="Arial" w:cs="Arial" w:eastAsia="Arial" w:hAnsi="Arial"/>
                <w:sz w:val="15"/>
                <w:szCs w:val="15"/>
                <w:b w:val="1"/>
                <w:bCs w:val="1"/>
                <w:color w:val="auto"/>
              </w:rPr>
              <w:t>Libtayo (cemiplimab)</w:t>
            </w:r>
            <w:r>
              <w:rPr>
                <w:rFonts w:ascii="Arial" w:cs="Arial" w:eastAsia="Arial" w:hAnsi="Arial"/>
                <w:sz w:val="24"/>
                <w:szCs w:val="24"/>
                <w:b w:val="1"/>
                <w:bCs w:val="1"/>
                <w:color w:val="auto"/>
                <w:vertAlign w:val="superscript"/>
              </w:rPr>
              <w:t>(a)(g)</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–Reported positive</w:t>
            </w: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16"/>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rPr>
              <w:t>(continued)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results from Phase 3</w:t>
            </w:r>
          </w:p>
        </w:tc>
        <w:tc>
          <w:tcPr>
            <w:tcW w:w="168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8"/>
              </w:rPr>
              <w:t>trial in cervical cancer,</w:t>
            </w:r>
          </w:p>
        </w:tc>
        <w:tc>
          <w:tcPr>
            <w:tcW w:w="1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demonstrating an</w:t>
            </w:r>
          </w:p>
        </w:tc>
        <w:tc>
          <w:tcPr>
            <w:tcW w:w="1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overall survival</w:t>
            </w:r>
          </w:p>
        </w:tc>
        <w:tc>
          <w:tcPr>
            <w:tcW w:w="1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benefit; trial stopped</w:t>
            </w:r>
          </w:p>
        </w:tc>
        <w:tc>
          <w:tcPr>
            <w:tcW w:w="1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early based on IDMC</w:t>
            </w:r>
          </w:p>
        </w:tc>
        <w:tc>
          <w:tcPr>
            <w:tcW w:w="168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recommendation</w:t>
            </w: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2082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08280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333"/>
        </w:trPr>
        <w:tc>
          <w:tcPr>
            <w:tcW w:w="2200" w:type="dxa"/>
            <w:vAlign w:val="bottom"/>
          </w:tcPr>
          <w:p>
            <w:pPr>
              <w:spacing w:after="0"/>
              <w:rPr>
                <w:sz w:val="20"/>
                <w:szCs w:val="20"/>
                <w:color w:val="auto"/>
              </w:rPr>
            </w:pPr>
            <w:r>
              <w:rPr>
                <w:rFonts w:ascii="Arial" w:cs="Arial" w:eastAsia="Arial" w:hAnsi="Arial"/>
                <w:sz w:val="18"/>
                <w:szCs w:val="18"/>
                <w:b w:val="1"/>
                <w:bCs w:val="1"/>
                <w:color w:val="auto"/>
              </w:rPr>
              <w:t>REGN4018</w:t>
            </w:r>
            <w:r>
              <w:rPr>
                <w:rFonts w:ascii="Arial" w:cs="Arial" w:eastAsia="Arial" w:hAnsi="Arial"/>
                <w:sz w:val="29"/>
                <w:szCs w:val="29"/>
                <w:b w:val="1"/>
                <w:bCs w:val="1"/>
                <w:color w:val="auto"/>
                <w:vertAlign w:val="superscript"/>
              </w:rPr>
              <w:t>(f)</w:t>
            </w:r>
          </w:p>
        </w:tc>
        <w:tc>
          <w:tcPr>
            <w:tcW w:w="1200" w:type="dxa"/>
            <w:vAlign w:val="bottom"/>
          </w:tcPr>
          <w:p>
            <w:pPr>
              <w:ind w:left="140"/>
              <w:spacing w:after="0"/>
              <w:rPr>
                <w:sz w:val="20"/>
                <w:szCs w:val="20"/>
                <w:color w:val="auto"/>
              </w:rPr>
            </w:pPr>
            <w:r>
              <w:rPr>
                <w:rFonts w:ascii="Arial" w:cs="Arial" w:eastAsia="Arial" w:hAnsi="Arial"/>
                <w:sz w:val="18"/>
                <w:szCs w:val="18"/>
                <w:color w:val="auto"/>
              </w:rPr>
              <w:t>–Platinum-</w:t>
            </w: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Bispecific antibody</w:t>
            </w:r>
          </w:p>
        </w:tc>
        <w:tc>
          <w:tcPr>
            <w:tcW w:w="1200" w:type="dxa"/>
            <w:vAlign w:val="bottom"/>
          </w:tcPr>
          <w:p>
            <w:pPr>
              <w:ind w:left="140"/>
              <w:spacing w:after="0"/>
              <w:rPr>
                <w:sz w:val="20"/>
                <w:szCs w:val="20"/>
                <w:color w:val="auto"/>
              </w:rPr>
            </w:pPr>
            <w:r>
              <w:rPr>
                <w:rFonts w:ascii="Arial" w:cs="Arial" w:eastAsia="Arial" w:hAnsi="Arial"/>
                <w:sz w:val="18"/>
                <w:szCs w:val="18"/>
                <w:color w:val="auto"/>
              </w:rPr>
              <w:t>resistant</w:t>
            </w:r>
          </w:p>
        </w:tc>
      </w:tr>
      <w:tr>
        <w:trPr>
          <w:trHeight w:val="256"/>
        </w:trPr>
        <w:tc>
          <w:tcPr>
            <w:tcW w:w="2200" w:type="dxa"/>
            <w:vAlign w:val="bottom"/>
          </w:tcPr>
          <w:p>
            <w:pPr>
              <w:spacing w:after="0"/>
              <w:rPr>
                <w:sz w:val="20"/>
                <w:szCs w:val="20"/>
                <w:color w:val="auto"/>
              </w:rPr>
            </w:pPr>
            <w:r>
              <w:rPr>
                <w:rFonts w:ascii="Arial" w:cs="Arial" w:eastAsia="Arial" w:hAnsi="Arial"/>
                <w:sz w:val="18"/>
                <w:szCs w:val="18"/>
                <w:i w:val="1"/>
                <w:iCs w:val="1"/>
                <w:color w:val="auto"/>
              </w:rPr>
              <w:t>targeting MUC16 and</w:t>
            </w:r>
          </w:p>
        </w:tc>
        <w:tc>
          <w:tcPr>
            <w:tcW w:w="1200" w:type="dxa"/>
            <w:vAlign w:val="bottom"/>
          </w:tcPr>
          <w:p>
            <w:pPr>
              <w:ind w:left="140"/>
              <w:spacing w:after="0"/>
              <w:rPr>
                <w:sz w:val="20"/>
                <w:szCs w:val="20"/>
                <w:color w:val="auto"/>
              </w:rPr>
            </w:pPr>
            <w:r>
              <w:rPr>
                <w:rFonts w:ascii="Arial" w:cs="Arial" w:eastAsia="Arial" w:hAnsi="Arial"/>
                <w:sz w:val="18"/>
                <w:szCs w:val="18"/>
                <w:color w:val="auto"/>
                <w:w w:val="88"/>
              </w:rPr>
              <w:t>ovarian cancer</w:t>
            </w:r>
          </w:p>
        </w:tc>
      </w:t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rPr>
              <w:t>CD3</w:t>
            </w:r>
          </w:p>
        </w:tc>
        <w:tc>
          <w:tcPr>
            <w:tcW w:w="1200" w:type="dxa"/>
            <w:vAlign w:val="bottom"/>
          </w:tcPr>
          <w:p>
            <w:pPr>
              <w:spacing w:after="0"/>
              <w:rPr>
                <w:sz w:val="20"/>
                <w:szCs w:val="20"/>
                <w:color w:val="auto"/>
              </w:rPr>
            </w:pPr>
          </w:p>
        </w:tc>
      </w:tr>
      <w:tr>
        <w:trPr>
          <w:trHeight w:val="296"/>
        </w:trPr>
        <w:tc>
          <w:tcPr>
            <w:tcW w:w="2200" w:type="dxa"/>
            <w:vAlign w:val="bottom"/>
          </w:tcPr>
          <w:p>
            <w:pPr>
              <w:spacing w:after="0"/>
              <w:rPr>
                <w:sz w:val="20"/>
                <w:szCs w:val="20"/>
                <w:color w:val="auto"/>
              </w:rPr>
            </w:pPr>
            <w:r>
              <w:rPr>
                <w:rFonts w:ascii="Arial" w:cs="Arial" w:eastAsia="Arial" w:hAnsi="Arial"/>
                <w:sz w:val="18"/>
                <w:szCs w:val="18"/>
                <w:b w:val="1"/>
                <w:bCs w:val="1"/>
                <w:color w:val="auto"/>
              </w:rPr>
              <w:t>REGN5668</w:t>
            </w:r>
          </w:p>
        </w:tc>
        <w:tc>
          <w:tcPr>
            <w:tcW w:w="1200" w:type="dxa"/>
            <w:vAlign w:val="bottom"/>
          </w:tcPr>
          <w:p>
            <w:pPr>
              <w:ind w:left="140"/>
              <w:spacing w:after="0"/>
              <w:rPr>
                <w:sz w:val="20"/>
                <w:szCs w:val="20"/>
                <w:color w:val="auto"/>
              </w:rPr>
            </w:pPr>
            <w:r>
              <w:rPr>
                <w:rFonts w:ascii="Arial" w:cs="Arial" w:eastAsia="Arial" w:hAnsi="Arial"/>
                <w:sz w:val="18"/>
                <w:szCs w:val="18"/>
                <w:color w:val="auto"/>
              </w:rPr>
              <w:t>–Ovarian</w:t>
            </w: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Bispecific antibody</w:t>
            </w:r>
          </w:p>
        </w:tc>
        <w:tc>
          <w:tcPr>
            <w:tcW w:w="1200" w:type="dxa"/>
            <w:vAlign w:val="bottom"/>
          </w:tcPr>
          <w:p>
            <w:pPr>
              <w:ind w:left="140"/>
              <w:spacing w:after="0"/>
              <w:rPr>
                <w:sz w:val="20"/>
                <w:szCs w:val="20"/>
                <w:color w:val="auto"/>
              </w:rPr>
            </w:pPr>
            <w:r>
              <w:rPr>
                <w:rFonts w:ascii="Arial" w:cs="Arial" w:eastAsia="Arial" w:hAnsi="Arial"/>
                <w:sz w:val="18"/>
                <w:szCs w:val="18"/>
                <w:color w:val="auto"/>
              </w:rPr>
              <w:t>cancer</w:t>
            </w:r>
          </w:p>
        </w:tc>
      </w:t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w w:val="98"/>
              </w:rPr>
              <w:t>targeting MUC16 and CD28</w:t>
            </w:r>
          </w:p>
        </w:tc>
        <w:tc>
          <w:tcPr>
            <w:tcW w:w="1200" w:type="dxa"/>
            <w:vAlign w:val="bottom"/>
          </w:tcPr>
          <w:p>
            <w:pPr>
              <w:spacing w:after="0"/>
              <w:rPr>
                <w:sz w:val="20"/>
                <w:szCs w:val="20"/>
                <w:color w:val="auto"/>
              </w:rPr>
            </w:pPr>
          </w:p>
        </w:tc>
      </w:tr>
      <w:tr>
        <w:trPr>
          <w:trHeight w:val="296"/>
        </w:trPr>
        <w:tc>
          <w:tcPr>
            <w:tcW w:w="2200" w:type="dxa"/>
            <w:vAlign w:val="bottom"/>
          </w:tcPr>
          <w:p>
            <w:pPr>
              <w:spacing w:after="0"/>
              <w:rPr>
                <w:sz w:val="20"/>
                <w:szCs w:val="20"/>
                <w:color w:val="auto"/>
              </w:rPr>
            </w:pPr>
            <w:r>
              <w:rPr>
                <w:rFonts w:ascii="Arial" w:cs="Arial" w:eastAsia="Arial" w:hAnsi="Arial"/>
                <w:sz w:val="18"/>
                <w:szCs w:val="18"/>
                <w:b w:val="1"/>
                <w:bCs w:val="1"/>
                <w:color w:val="auto"/>
              </w:rPr>
              <w:t>REGN5678</w:t>
            </w:r>
          </w:p>
        </w:tc>
        <w:tc>
          <w:tcPr>
            <w:tcW w:w="1200" w:type="dxa"/>
            <w:vAlign w:val="bottom"/>
          </w:tcPr>
          <w:p>
            <w:pPr>
              <w:ind w:left="140"/>
              <w:spacing w:after="0"/>
              <w:rPr>
                <w:sz w:val="20"/>
                <w:szCs w:val="20"/>
                <w:color w:val="auto"/>
              </w:rPr>
            </w:pPr>
            <w:r>
              <w:rPr>
                <w:rFonts w:ascii="Arial" w:cs="Arial" w:eastAsia="Arial" w:hAnsi="Arial"/>
                <w:sz w:val="18"/>
                <w:szCs w:val="18"/>
                <w:color w:val="auto"/>
              </w:rPr>
              <w:t>–Prostate</w:t>
            </w: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Bispecific antibody</w:t>
            </w:r>
          </w:p>
        </w:tc>
        <w:tc>
          <w:tcPr>
            <w:tcW w:w="1200" w:type="dxa"/>
            <w:vAlign w:val="bottom"/>
          </w:tcPr>
          <w:p>
            <w:pPr>
              <w:ind w:left="140"/>
              <w:spacing w:after="0"/>
              <w:rPr>
                <w:sz w:val="20"/>
                <w:szCs w:val="20"/>
                <w:color w:val="auto"/>
              </w:rPr>
            </w:pPr>
            <w:r>
              <w:rPr>
                <w:rFonts w:ascii="Arial" w:cs="Arial" w:eastAsia="Arial" w:hAnsi="Arial"/>
                <w:sz w:val="18"/>
                <w:szCs w:val="18"/>
                <w:color w:val="auto"/>
              </w:rPr>
              <w:t>cancer</w:t>
            </w:r>
          </w:p>
        </w:tc>
      </w:t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rPr>
              <w:t>targeting PSMA and CD28</w:t>
            </w:r>
          </w:p>
        </w:tc>
        <w:tc>
          <w:tcPr>
            <w:tcW w:w="1200" w:type="dxa"/>
            <w:vAlign w:val="bottom"/>
          </w:tcPr>
          <w:p>
            <w:pPr>
              <w:spacing w:after="0"/>
              <w:rPr>
                <w:sz w:val="20"/>
                <w:szCs w:val="20"/>
                <w:color w:val="auto"/>
              </w:rPr>
            </w:pPr>
          </w:p>
        </w:tc>
      </w:tr>
      <w:tr>
        <w:trPr>
          <w:trHeight w:val="296"/>
        </w:trPr>
        <w:tc>
          <w:tcPr>
            <w:tcW w:w="2200" w:type="dxa"/>
            <w:vAlign w:val="bottom"/>
          </w:tcPr>
          <w:p>
            <w:pPr>
              <w:spacing w:after="0"/>
              <w:rPr>
                <w:sz w:val="20"/>
                <w:szCs w:val="20"/>
                <w:color w:val="auto"/>
              </w:rPr>
            </w:pPr>
            <w:r>
              <w:rPr>
                <w:rFonts w:ascii="Arial" w:cs="Arial" w:eastAsia="Arial" w:hAnsi="Arial"/>
                <w:sz w:val="18"/>
                <w:szCs w:val="18"/>
                <w:b w:val="1"/>
                <w:bCs w:val="1"/>
                <w:color w:val="auto"/>
              </w:rPr>
              <w:t>REGN4336</w:t>
            </w:r>
          </w:p>
        </w:tc>
        <w:tc>
          <w:tcPr>
            <w:tcW w:w="1200" w:type="dxa"/>
            <w:vAlign w:val="bottom"/>
          </w:tcPr>
          <w:p>
            <w:pPr>
              <w:ind w:left="140"/>
              <w:spacing w:after="0"/>
              <w:rPr>
                <w:sz w:val="20"/>
                <w:szCs w:val="20"/>
                <w:color w:val="auto"/>
              </w:rPr>
            </w:pPr>
            <w:r>
              <w:rPr>
                <w:rFonts w:ascii="Arial" w:cs="Arial" w:eastAsia="Arial" w:hAnsi="Arial"/>
                <w:sz w:val="18"/>
                <w:szCs w:val="18"/>
                <w:color w:val="auto"/>
              </w:rPr>
              <w:t>–Prostate</w:t>
            </w: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Bispecific antibody</w:t>
            </w:r>
          </w:p>
        </w:tc>
        <w:tc>
          <w:tcPr>
            <w:tcW w:w="1200" w:type="dxa"/>
            <w:vAlign w:val="bottom"/>
          </w:tcPr>
          <w:p>
            <w:pPr>
              <w:ind w:left="140"/>
              <w:spacing w:after="0"/>
              <w:rPr>
                <w:sz w:val="20"/>
                <w:szCs w:val="20"/>
                <w:color w:val="auto"/>
              </w:rPr>
            </w:pPr>
            <w:r>
              <w:rPr>
                <w:rFonts w:ascii="Arial" w:cs="Arial" w:eastAsia="Arial" w:hAnsi="Arial"/>
                <w:sz w:val="18"/>
                <w:szCs w:val="18"/>
                <w:color w:val="auto"/>
              </w:rPr>
              <w:t>cancer</w:t>
            </w:r>
          </w:p>
        </w:tc>
      </w:t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rPr>
              <w:t>targeting PSMA and CD3</w:t>
            </w:r>
          </w:p>
        </w:tc>
        <w:tc>
          <w:tcPr>
            <w:tcW w:w="1200" w:type="dxa"/>
            <w:vAlign w:val="bottom"/>
          </w:tcPr>
          <w:p>
            <w:pPr>
              <w:spacing w:after="0"/>
              <w:rPr>
                <w:sz w:val="20"/>
                <w:szCs w:val="20"/>
                <w:color w:val="auto"/>
              </w:rPr>
            </w:pPr>
          </w:p>
        </w:tc>
      </w:tr>
      <w:tr>
        <w:trPr>
          <w:trHeight w:val="296"/>
        </w:trPr>
        <w:tc>
          <w:tcPr>
            <w:tcW w:w="2200" w:type="dxa"/>
            <w:vAlign w:val="bottom"/>
          </w:tcPr>
          <w:p>
            <w:pPr>
              <w:spacing w:after="0"/>
              <w:rPr>
                <w:sz w:val="20"/>
                <w:szCs w:val="20"/>
                <w:color w:val="auto"/>
              </w:rPr>
            </w:pPr>
            <w:r>
              <w:rPr>
                <w:rFonts w:ascii="Arial" w:cs="Arial" w:eastAsia="Arial" w:hAnsi="Arial"/>
                <w:sz w:val="18"/>
                <w:szCs w:val="18"/>
                <w:b w:val="1"/>
                <w:bCs w:val="1"/>
                <w:color w:val="auto"/>
              </w:rPr>
              <w:t>REGN5093</w:t>
            </w:r>
          </w:p>
        </w:tc>
        <w:tc>
          <w:tcPr>
            <w:tcW w:w="1200" w:type="dxa"/>
            <w:vAlign w:val="bottom"/>
          </w:tcPr>
          <w:p>
            <w:pPr>
              <w:ind w:left="140"/>
              <w:spacing w:after="0"/>
              <w:rPr>
                <w:sz w:val="20"/>
                <w:szCs w:val="20"/>
                <w:color w:val="auto"/>
              </w:rPr>
            </w:pPr>
            <w:r>
              <w:rPr>
                <w:rFonts w:ascii="Arial" w:cs="Arial" w:eastAsia="Arial" w:hAnsi="Arial"/>
                <w:sz w:val="18"/>
                <w:szCs w:val="18"/>
                <w:color w:val="auto"/>
                <w:w w:val="95"/>
              </w:rPr>
              <w:t>–MET-altered</w:t>
            </w: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Bispecific antibody</w:t>
            </w:r>
          </w:p>
        </w:tc>
        <w:tc>
          <w:tcPr>
            <w:tcW w:w="1200" w:type="dxa"/>
            <w:vAlign w:val="bottom"/>
          </w:tcPr>
          <w:p>
            <w:pPr>
              <w:ind w:left="140"/>
              <w:spacing w:after="0"/>
              <w:rPr>
                <w:sz w:val="20"/>
                <w:szCs w:val="20"/>
                <w:color w:val="auto"/>
              </w:rPr>
            </w:pPr>
            <w:r>
              <w:rPr>
                <w:rFonts w:ascii="Arial" w:cs="Arial" w:eastAsia="Arial" w:hAnsi="Arial"/>
                <w:sz w:val="18"/>
                <w:szCs w:val="18"/>
                <w:color w:val="auto"/>
              </w:rPr>
              <w:t>advanced</w:t>
            </w: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targeting two distinct MET</w:t>
            </w:r>
          </w:p>
        </w:tc>
        <w:tc>
          <w:tcPr>
            <w:tcW w:w="1200" w:type="dxa"/>
            <w:vAlign w:val="bottom"/>
          </w:tcPr>
          <w:p>
            <w:pPr>
              <w:ind w:left="140"/>
              <w:spacing w:after="0"/>
              <w:rPr>
                <w:sz w:val="20"/>
                <w:szCs w:val="20"/>
                <w:color w:val="auto"/>
              </w:rPr>
            </w:pPr>
            <w:r>
              <w:rPr>
                <w:rFonts w:ascii="Arial" w:cs="Arial" w:eastAsia="Arial" w:hAnsi="Arial"/>
                <w:sz w:val="18"/>
                <w:szCs w:val="18"/>
                <w:color w:val="auto"/>
              </w:rPr>
              <w:t>NSCLC</w:t>
            </w:r>
          </w:p>
        </w:tc>
      </w:t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rPr>
              <w:t>epitopes</w:t>
            </w:r>
          </w:p>
        </w:tc>
        <w:tc>
          <w:tcPr>
            <w:tcW w:w="1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–Voluntarily withdrew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sBLA for cervical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cancer due to inability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align with FDA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 post-marketing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studies</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–Report results from</w:t>
      </w:r>
    </w:p>
    <w:p>
      <w:pPr>
        <w:spacing w:after="0" w:line="3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Phase 1 study in</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platinum-resistant</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ovarian cancer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54610</wp:posOffset>
            </wp:positionV>
            <wp:extent cx="7132320" cy="471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–Report results from</w:t>
      </w:r>
    </w:p>
    <w:p>
      <w:pPr>
        <w:spacing w:after="0" w:line="3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Phase 1 study in</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prostate cancer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29210</wp:posOffset>
            </wp:positionV>
            <wp:extent cx="7132320" cy="471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1109345</wp:posOffset>
            </wp:positionV>
            <wp:extent cx="7132320" cy="608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1809" w:lineRule="exact"/>
        <w:rPr>
          <w:sz w:val="20"/>
          <w:szCs w:val="20"/>
          <w:color w:val="auto"/>
        </w:rPr>
      </w:pPr>
    </w:p>
    <w:p>
      <w:pPr>
        <w:sectPr>
          <w:pgSz w:w="11900" w:h="16838" w:orient="portrait"/>
          <w:cols w:equalWidth="0" w:num="2">
            <w:col w:w="7060" w:space="720"/>
            <w:col w:w="3460"/>
          </w:cols>
          <w:pgMar w:left="320" w:top="405" w:right="339" w:bottom="1440" w:gutter="0" w:footer="0" w:header="0"/>
          <w:type w:val="continuous"/>
        </w:sectPr>
      </w:pPr>
    </w:p>
    <w:p>
      <w:pPr>
        <w:ind w:left="40"/>
        <w:spacing w:after="0" w:line="303" w:lineRule="auto"/>
        <w:rPr>
          <w:sz w:val="20"/>
          <w:szCs w:val="20"/>
          <w:color w:val="auto"/>
        </w:rPr>
      </w:pPr>
      <w:r>
        <w:rPr>
          <w:rFonts w:ascii="Arial" w:cs="Arial" w:eastAsia="Arial" w:hAnsi="Arial"/>
          <w:sz w:val="16"/>
          <w:szCs w:val="16"/>
          <w:b w:val="1"/>
          <w:bCs w:val="1"/>
          <w:color w:val="auto"/>
        </w:rPr>
        <w:t xml:space="preserve">REGN5093-M114 </w:t>
      </w:r>
      <w:r>
        <w:rPr>
          <w:rFonts w:ascii="Arial" w:cs="Arial" w:eastAsia="Arial" w:hAnsi="Arial"/>
          <w:sz w:val="16"/>
          <w:szCs w:val="16"/>
          <w:i w:val="1"/>
          <w:iCs w:val="1"/>
          <w:color w:val="auto"/>
        </w:rPr>
        <w:t>Bispecific antibody-drug conjugate targeting two distinct MET epitopes</w:t>
      </w:r>
    </w:p>
    <w:p>
      <w:pPr>
        <w:spacing w:after="0" w:line="33" w:lineRule="exact"/>
        <w:rPr>
          <w:sz w:val="20"/>
          <w:szCs w:val="20"/>
          <w:color w:val="auto"/>
        </w:rPr>
      </w:pPr>
    </w:p>
    <w:p>
      <w:pPr>
        <w:ind w:left="40" w:right="400"/>
        <w:spacing w:after="0" w:line="257" w:lineRule="auto"/>
        <w:rPr>
          <w:sz w:val="20"/>
          <w:szCs w:val="20"/>
          <w:color w:val="auto"/>
        </w:rPr>
      </w:pPr>
      <w:r>
        <w:rPr>
          <w:rFonts w:ascii="Arial" w:cs="Arial" w:eastAsia="Arial" w:hAnsi="Arial"/>
          <w:sz w:val="16"/>
          <w:szCs w:val="16"/>
          <w:b w:val="1"/>
          <w:bCs w:val="1"/>
          <w:color w:val="auto"/>
        </w:rPr>
        <w:t>Fianlimab</w:t>
      </w:r>
      <w:r>
        <w:rPr>
          <w:rFonts w:ascii="Arial" w:cs="Arial" w:eastAsia="Arial" w:hAnsi="Arial"/>
          <w:sz w:val="26"/>
          <w:szCs w:val="26"/>
          <w:b w:val="1"/>
          <w:bCs w:val="1"/>
          <w:color w:val="auto"/>
          <w:vertAlign w:val="superscript"/>
        </w:rPr>
        <w:t>(f)</w:t>
      </w:r>
      <w:r>
        <w:rPr>
          <w:rFonts w:ascii="Arial" w:cs="Arial" w:eastAsia="Arial" w:hAnsi="Arial"/>
          <w:sz w:val="16"/>
          <w:szCs w:val="16"/>
          <w:b w:val="1"/>
          <w:bCs w:val="1"/>
          <w:color w:val="auto"/>
        </w:rPr>
        <w:t xml:space="preserve"> (REGN3767) </w:t>
      </w:r>
      <w:r>
        <w:rPr>
          <w:rFonts w:ascii="Arial" w:cs="Arial" w:eastAsia="Arial" w:hAnsi="Arial"/>
          <w:sz w:val="16"/>
          <w:szCs w:val="16"/>
          <w:i w:val="1"/>
          <w:iCs w:val="1"/>
          <w:color w:val="auto"/>
        </w:rPr>
        <w:t>Antibody to LAG-3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overexpressing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advanced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cancer</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–Solid tumors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and advanced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hematologic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malignancies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–Presented positive</w:t>
      </w:r>
      <w:r>
        <w:rPr>
          <w:sz w:val="20"/>
          <w:szCs w:val="20"/>
          <w:color w:val="auto"/>
        </w:rPr>
        <w:tab/>
      </w:r>
      <w:r>
        <w:rPr>
          <w:rFonts w:ascii="Arial" w:cs="Arial" w:eastAsia="Arial" w:hAnsi="Arial"/>
          <w:sz w:val="16"/>
          <w:szCs w:val="16"/>
          <w:color w:val="auto"/>
        </w:rPr>
        <w:t>–Initiate Phase 3 study</w:t>
      </w:r>
    </w:p>
    <w:p>
      <w:pPr>
        <w:spacing w:after="0" w:line="23"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data from Phase 1 trial</w:t>
      </w:r>
      <w:r>
        <w:rPr>
          <w:sz w:val="20"/>
          <w:szCs w:val="20"/>
          <w:color w:val="auto"/>
        </w:rPr>
        <w:tab/>
      </w:r>
      <w:r>
        <w:rPr>
          <w:rFonts w:ascii="Arial" w:cs="Arial" w:eastAsia="Arial" w:hAnsi="Arial"/>
          <w:sz w:val="16"/>
          <w:szCs w:val="16"/>
          <w:color w:val="auto"/>
        </w:rPr>
        <w:t>in first-line metastatic</w:t>
      </w:r>
    </w:p>
    <w:p>
      <w:pPr>
        <w:spacing w:after="0" w:line="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in combination with</w:t>
      </w:r>
      <w:r>
        <w:rPr>
          <w:sz w:val="20"/>
          <w:szCs w:val="20"/>
          <w:color w:val="auto"/>
        </w:rPr>
        <w:tab/>
      </w:r>
      <w:r>
        <w:rPr>
          <w:rFonts w:ascii="Arial" w:cs="Arial" w:eastAsia="Arial" w:hAnsi="Arial"/>
          <w:sz w:val="16"/>
          <w:szCs w:val="16"/>
          <w:color w:val="auto"/>
        </w:rPr>
        <w:t>melanoma (first half</w:t>
      </w:r>
    </w:p>
    <w:p>
      <w:pPr>
        <w:spacing w:after="0" w:line="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Libtayo in advanced</w:t>
      </w:r>
      <w:r>
        <w:rPr>
          <w:sz w:val="20"/>
          <w:szCs w:val="20"/>
          <w:color w:val="auto"/>
        </w:rPr>
        <w:tab/>
      </w:r>
      <w:r>
        <w:rPr>
          <w:rFonts w:ascii="Arial" w:cs="Arial" w:eastAsia="Arial" w:hAnsi="Arial"/>
          <w:sz w:val="16"/>
          <w:szCs w:val="16"/>
          <w:color w:val="auto"/>
        </w:rPr>
        <w:t>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melanoma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Society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Clinical Oncology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Annual Meeting</w:t>
      </w:r>
    </w:p>
    <w:p>
      <w:pPr>
        <w:spacing w:after="0" w:line="29" w:lineRule="exact"/>
        <w:rPr>
          <w:sz w:val="20"/>
          <w:szCs w:val="20"/>
          <w:color w:val="auto"/>
        </w:rPr>
      </w:pPr>
    </w:p>
    <w:p>
      <w:pPr>
        <w:sectPr>
          <w:pgSz w:w="11900" w:h="16838" w:orient="portrait"/>
          <w:cols w:equalWidth="0" w:num="3">
            <w:col w:w="1820" w:space="560"/>
            <w:col w:w="4680" w:space="720"/>
            <w:col w:w="3460"/>
          </w:cols>
          <w:pgMar w:left="320" w:top="405"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1860" w:type="dxa"/>
            <w:vAlign w:val="bottom"/>
            <w:shd w:val="clear" w:color="auto" w:fill="CDEAFA"/>
          </w:tcPr>
          <w:p>
            <w:pPr>
              <w:ind w:left="40"/>
              <w:spacing w:after="0"/>
              <w:rPr>
                <w:sz w:val="20"/>
                <w:szCs w:val="20"/>
                <w:color w:val="auto"/>
              </w:rPr>
            </w:pPr>
            <w:r>
              <w:rPr>
                <w:rFonts w:ascii="Arial" w:cs="Arial" w:eastAsia="Arial" w:hAnsi="Arial"/>
                <w:sz w:val="18"/>
                <w:szCs w:val="18"/>
                <w:b w:val="1"/>
                <w:bCs w:val="1"/>
                <w:color w:val="auto"/>
              </w:rPr>
              <w:t>REGN6569</w:t>
            </w:r>
          </w:p>
        </w:tc>
        <w:tc>
          <w:tcPr>
            <w:tcW w:w="9380" w:type="dxa"/>
            <w:vAlign w:val="bottom"/>
            <w:shd w:val="clear" w:color="auto" w:fill="CDEAFA"/>
          </w:tcPr>
          <w:p>
            <w:pPr>
              <w:ind w:left="520"/>
              <w:spacing w:after="0"/>
              <w:rPr>
                <w:sz w:val="20"/>
                <w:szCs w:val="20"/>
                <w:color w:val="auto"/>
              </w:rPr>
            </w:pPr>
            <w:r>
              <w:rPr>
                <w:rFonts w:ascii="Arial" w:cs="Arial" w:eastAsia="Arial" w:hAnsi="Arial"/>
                <w:sz w:val="18"/>
                <w:szCs w:val="18"/>
                <w:color w:val="auto"/>
              </w:rPr>
              <w:t>–Solid tumors</w:t>
            </w:r>
          </w:p>
        </w:tc>
      </w:tr>
      <w:tr>
        <w:trPr>
          <w:trHeight w:val="244"/>
        </w:trPr>
        <w:tc>
          <w:tcPr>
            <w:tcW w:w="1860" w:type="dxa"/>
            <w:vAlign w:val="bottom"/>
            <w:shd w:val="clear" w:color="auto" w:fill="CDEAFA"/>
          </w:tcPr>
          <w:p>
            <w:pPr>
              <w:ind w:left="40"/>
              <w:spacing w:after="0"/>
              <w:rPr>
                <w:sz w:val="20"/>
                <w:szCs w:val="20"/>
                <w:color w:val="auto"/>
              </w:rPr>
            </w:pPr>
            <w:r>
              <w:rPr>
                <w:rFonts w:ascii="Arial" w:cs="Arial" w:eastAsia="Arial" w:hAnsi="Arial"/>
                <w:sz w:val="18"/>
                <w:szCs w:val="18"/>
                <w:i w:val="1"/>
                <w:iCs w:val="1"/>
                <w:color w:val="auto"/>
              </w:rPr>
              <w:t>Antibody to GITR</w:t>
            </w:r>
          </w:p>
        </w:tc>
        <w:tc>
          <w:tcPr>
            <w:tcW w:w="9380" w:type="dxa"/>
            <w:vAlign w:val="bottom"/>
            <w:shd w:val="clear" w:color="auto" w:fill="CDEAFA"/>
          </w:tcPr>
          <w:p>
            <w:pPr>
              <w:spacing w:after="0"/>
              <w:rPr>
                <w:sz w:val="21"/>
                <w:szCs w:val="2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1"/>
        </w:trPr>
        <w:tc>
          <w:tcPr>
            <w:tcW w:w="2200" w:type="dxa"/>
            <w:vAlign w:val="bottom"/>
          </w:tcPr>
          <w:p>
            <w:pPr>
              <w:ind w:left="420"/>
              <w:spacing w:after="0"/>
              <w:rPr>
                <w:sz w:val="20"/>
                <w:szCs w:val="20"/>
                <w:color w:val="auto"/>
              </w:rPr>
            </w:pPr>
            <w:r>
              <w:rPr>
                <w:rFonts w:ascii="Arial" w:cs="Arial" w:eastAsia="Arial" w:hAnsi="Arial"/>
                <w:sz w:val="18"/>
                <w:szCs w:val="18"/>
                <w:b w:val="1"/>
                <w:bCs w:val="1"/>
                <w:color w:val="auto"/>
              </w:rPr>
              <w:t>Clinical Program</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Regulatory</w:t>
            </w:r>
          </w:p>
        </w:tc>
        <w:tc>
          <w:tcPr>
            <w:tcW w:w="120" w:type="dxa"/>
            <w:vAlign w:val="bottom"/>
          </w:tcPr>
          <w:p>
            <w:pPr>
              <w:spacing w:after="0"/>
              <w:rPr>
                <w:sz w:val="19"/>
                <w:szCs w:val="19"/>
                <w:color w:val="auto"/>
              </w:rPr>
            </w:pPr>
          </w:p>
        </w:tc>
        <w:tc>
          <w:tcPr>
            <w:tcW w:w="1760" w:type="dxa"/>
            <w:vAlign w:val="bottom"/>
            <w:gridSpan w:val="2"/>
          </w:tcPr>
          <w:p>
            <w:pPr>
              <w:ind w:left="260"/>
              <w:spacing w:after="0"/>
              <w:rPr>
                <w:sz w:val="20"/>
                <w:szCs w:val="20"/>
                <w:color w:val="auto"/>
              </w:rPr>
            </w:pPr>
            <w:r>
              <w:rPr>
                <w:rFonts w:ascii="Arial" w:cs="Arial" w:eastAsia="Arial" w:hAnsi="Arial"/>
                <w:sz w:val="18"/>
                <w:szCs w:val="18"/>
                <w:b w:val="1"/>
                <w:bCs w:val="1"/>
                <w:color w:val="auto"/>
              </w:rPr>
              <w:t>2021 and 2022</w:t>
            </w:r>
          </w:p>
        </w:tc>
        <w:tc>
          <w:tcPr>
            <w:tcW w:w="1680" w:type="dxa"/>
            <w:vAlign w:val="bottom"/>
          </w:tcPr>
          <w:p>
            <w:pPr>
              <w:ind w:left="160"/>
              <w:spacing w:after="0"/>
              <w:rPr>
                <w:sz w:val="20"/>
                <w:szCs w:val="20"/>
                <w:color w:val="auto"/>
              </w:rPr>
            </w:pPr>
            <w:r>
              <w:rPr>
                <w:rFonts w:ascii="Arial" w:cs="Arial" w:eastAsia="Arial" w:hAnsi="Arial"/>
                <w:sz w:val="18"/>
                <w:szCs w:val="18"/>
                <w:b w:val="1"/>
                <w:bCs w:val="1"/>
                <w:color w:val="auto"/>
              </w:rPr>
              <w:t>Select Upcoming</w:t>
            </w:r>
          </w:p>
        </w:tc>
      </w:tr>
      <w:tr>
        <w:trPr>
          <w:trHeight w:val="270"/>
        </w:trPr>
        <w:tc>
          <w:tcPr>
            <w:tcW w:w="2200" w:type="dxa"/>
            <w:vAlign w:val="bottom"/>
          </w:tcPr>
          <w:p>
            <w:pPr>
              <w:ind w:left="680"/>
              <w:spacing w:after="0"/>
              <w:rPr>
                <w:sz w:val="20"/>
                <w:szCs w:val="20"/>
                <w:color w:val="auto"/>
              </w:rPr>
            </w:pPr>
            <w:r>
              <w:rPr>
                <w:rFonts w:ascii="Arial" w:cs="Arial" w:eastAsia="Arial" w:hAnsi="Arial"/>
                <w:sz w:val="18"/>
                <w:szCs w:val="18"/>
                <w:b w:val="1"/>
                <w:bCs w:val="1"/>
                <w:i w:val="1"/>
                <w:iCs w:val="1"/>
                <w:color w:val="auto"/>
              </w:rPr>
              <w:t>(continued)</w:t>
            </w:r>
          </w:p>
        </w:tc>
        <w:tc>
          <w:tcPr>
            <w:tcW w:w="120" w:type="dxa"/>
            <w:vAlign w:val="bottom"/>
          </w:tcPr>
          <w:p>
            <w:pPr>
              <w:spacing w:after="0"/>
              <w:rPr>
                <w:sz w:val="23"/>
                <w:szCs w:val="23"/>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Phase 1</w:t>
            </w: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Phase 2</w:t>
            </w: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Phase 3</w:t>
            </w:r>
          </w:p>
        </w:tc>
        <w:tc>
          <w:tcPr>
            <w:tcW w:w="132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9"/>
                <w:szCs w:val="29"/>
                <w:b w:val="1"/>
                <w:bCs w:val="1"/>
                <w:color w:val="auto"/>
                <w:w w:val="85"/>
                <w:vertAlign w:val="superscript"/>
              </w:rPr>
              <w:t>(h)</w:t>
            </w:r>
          </w:p>
        </w:tc>
        <w:tc>
          <w:tcPr>
            <w:tcW w:w="120" w:type="dxa"/>
            <w:vAlign w:val="bottom"/>
          </w:tcPr>
          <w:p>
            <w:pPr>
              <w:spacing w:after="0"/>
              <w:rPr>
                <w:sz w:val="23"/>
                <w:szCs w:val="23"/>
                <w:color w:val="auto"/>
              </w:rPr>
            </w:pPr>
          </w:p>
        </w:tc>
        <w:tc>
          <w:tcPr>
            <w:tcW w:w="1760" w:type="dxa"/>
            <w:vAlign w:val="bottom"/>
            <w:gridSpan w:val="2"/>
          </w:tcPr>
          <w:p>
            <w:pPr>
              <w:ind w:left="260"/>
              <w:spacing w:after="0"/>
              <w:rPr>
                <w:sz w:val="20"/>
                <w:szCs w:val="20"/>
                <w:color w:val="auto"/>
              </w:rPr>
            </w:pPr>
            <w:r>
              <w:rPr>
                <w:rFonts w:ascii="Arial" w:cs="Arial" w:eastAsia="Arial" w:hAnsi="Arial"/>
                <w:sz w:val="18"/>
                <w:szCs w:val="18"/>
                <w:b w:val="1"/>
                <w:bCs w:val="1"/>
                <w:color w:val="auto"/>
              </w:rPr>
              <w:t>Events to Date</w:t>
            </w:r>
          </w:p>
        </w:tc>
        <w:tc>
          <w:tcPr>
            <w:tcW w:w="1680" w:type="dxa"/>
            <w:vAlign w:val="bottom"/>
          </w:tcPr>
          <w:p>
            <w:pPr>
              <w:ind w:left="340"/>
              <w:spacing w:after="0" w:line="270"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9"/>
                <w:szCs w:val="29"/>
                <w:b w:val="1"/>
                <w:bCs w:val="1"/>
                <w:color w:val="auto"/>
                <w:vertAlign w:val="superscript"/>
              </w:rPr>
              <w:t>(i)</w:t>
            </w:r>
          </w:p>
        </w:tc>
      </w:tr>
      <w:tr>
        <w:trPr>
          <w:trHeight w:val="209"/>
        </w:trPr>
        <w:tc>
          <w:tcPr>
            <w:tcW w:w="2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REGN7075</w:t>
            </w: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–Solid tumors</w:t>
            </w: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i w:val="1"/>
                <w:iCs w:val="1"/>
                <w:color w:val="auto"/>
              </w:rPr>
              <w:t>Bispecific antibody</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i w:val="1"/>
                <w:iCs w:val="1"/>
                <w:color w:val="auto"/>
              </w:rPr>
              <w:t>targeting EGFR and CD28</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08"/>
        </w:trPr>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243"/>
        </w:trPr>
        <w:tc>
          <w:tcPr>
            <w:tcW w:w="220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180" w:type="dxa"/>
            <w:vAlign w:val="bottom"/>
            <w:shd w:val="clear" w:color="auto" w:fill="ACACAC"/>
          </w:tcPr>
          <w:p>
            <w:pPr>
              <w:spacing w:after="0"/>
              <w:rPr>
                <w:sz w:val="21"/>
                <w:szCs w:val="21"/>
                <w:color w:val="auto"/>
              </w:rPr>
            </w:pPr>
          </w:p>
        </w:tc>
        <w:tc>
          <w:tcPr>
            <w:tcW w:w="100" w:type="dxa"/>
            <w:vAlign w:val="bottom"/>
            <w:shd w:val="clear" w:color="auto" w:fill="ACACAC"/>
          </w:tcPr>
          <w:p>
            <w:pPr>
              <w:spacing w:after="0"/>
              <w:rPr>
                <w:sz w:val="21"/>
                <w:szCs w:val="21"/>
                <w:color w:val="auto"/>
              </w:rPr>
            </w:pPr>
          </w:p>
        </w:tc>
        <w:tc>
          <w:tcPr>
            <w:tcW w:w="1220" w:type="dxa"/>
            <w:vAlign w:val="bottom"/>
            <w:shd w:val="clear" w:color="auto" w:fill="ACACAC"/>
          </w:tcPr>
          <w:p>
            <w:pPr>
              <w:spacing w:after="0"/>
              <w:rPr>
                <w:sz w:val="21"/>
                <w:szCs w:val="21"/>
                <w:color w:val="auto"/>
              </w:rPr>
            </w:pPr>
          </w:p>
        </w:tc>
        <w:tc>
          <w:tcPr>
            <w:tcW w:w="100" w:type="dxa"/>
            <w:vAlign w:val="bottom"/>
            <w:shd w:val="clear" w:color="auto" w:fill="ACACAC"/>
          </w:tcPr>
          <w:p>
            <w:pPr>
              <w:spacing w:after="0"/>
              <w:rPr>
                <w:sz w:val="21"/>
                <w:szCs w:val="21"/>
                <w:color w:val="auto"/>
              </w:rPr>
            </w:pPr>
          </w:p>
        </w:tc>
        <w:tc>
          <w:tcPr>
            <w:tcW w:w="1440" w:type="dxa"/>
            <w:vAlign w:val="bottom"/>
            <w:gridSpan w:val="2"/>
            <w:shd w:val="clear" w:color="auto" w:fill="ACACAC"/>
          </w:tcPr>
          <w:p>
            <w:pPr>
              <w:ind w:left="260"/>
              <w:spacing w:after="0"/>
              <w:rPr>
                <w:sz w:val="20"/>
                <w:szCs w:val="20"/>
                <w:color w:val="auto"/>
              </w:rPr>
            </w:pPr>
            <w:r>
              <w:rPr>
                <w:rFonts w:ascii="Arial" w:cs="Arial" w:eastAsia="Arial" w:hAnsi="Arial"/>
                <w:sz w:val="18"/>
                <w:szCs w:val="18"/>
                <w:b w:val="1"/>
                <w:bCs w:val="1"/>
                <w:color w:val="auto"/>
              </w:rPr>
              <w:t>Hematology</w:t>
            </w:r>
          </w:p>
        </w:tc>
        <w:tc>
          <w:tcPr>
            <w:tcW w:w="132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660" w:type="dxa"/>
            <w:vAlign w:val="bottom"/>
            <w:shd w:val="clear" w:color="auto" w:fill="ACACAC"/>
          </w:tcPr>
          <w:p>
            <w:pPr>
              <w:spacing w:after="0"/>
              <w:rPr>
                <w:sz w:val="21"/>
                <w:szCs w:val="21"/>
                <w:color w:val="auto"/>
              </w:rPr>
            </w:pPr>
          </w:p>
        </w:tc>
        <w:tc>
          <w:tcPr>
            <w:tcW w:w="100" w:type="dxa"/>
            <w:vAlign w:val="bottom"/>
            <w:shd w:val="clear" w:color="auto" w:fill="ACACAC"/>
          </w:tcPr>
          <w:p>
            <w:pPr>
              <w:spacing w:after="0"/>
              <w:rPr>
                <w:sz w:val="21"/>
                <w:szCs w:val="21"/>
                <w:color w:val="auto"/>
              </w:rPr>
            </w:pPr>
          </w:p>
        </w:tc>
        <w:tc>
          <w:tcPr>
            <w:tcW w:w="1680" w:type="dxa"/>
            <w:vAlign w:val="bottom"/>
            <w:shd w:val="clear" w:color="auto" w:fill="ACACAC"/>
          </w:tcPr>
          <w:p>
            <w:pPr>
              <w:spacing w:after="0"/>
              <w:rPr>
                <w:sz w:val="21"/>
                <w:szCs w:val="21"/>
                <w:color w:val="auto"/>
              </w:rPr>
            </w:pPr>
          </w:p>
        </w:tc>
      </w:tr>
      <w:tr>
        <w:trPr>
          <w:trHeight w:val="94"/>
        </w:trPr>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211"/>
        </w:trPr>
        <w:tc>
          <w:tcPr>
            <w:tcW w:w="2200" w:type="dxa"/>
            <w:vAlign w:val="bottom"/>
            <w:shd w:val="clear" w:color="auto" w:fill="CDEAFA"/>
          </w:tcPr>
          <w:p>
            <w:pPr>
              <w:ind w:left="40"/>
              <w:spacing w:after="0"/>
              <w:rPr>
                <w:sz w:val="20"/>
                <w:szCs w:val="20"/>
                <w:color w:val="auto"/>
              </w:rPr>
            </w:pPr>
            <w:r>
              <w:rPr>
                <w:rFonts w:ascii="Arial" w:cs="Arial" w:eastAsia="Arial" w:hAnsi="Arial"/>
                <w:sz w:val="18"/>
                <w:szCs w:val="18"/>
                <w:b w:val="1"/>
                <w:bCs w:val="1"/>
                <w:color w:val="auto"/>
              </w:rPr>
              <w:t>Odronextamab</w:t>
            </w:r>
          </w:p>
        </w:tc>
        <w:tc>
          <w:tcPr>
            <w:tcW w:w="140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rPr>
              <w:t>–Certain B-cell</w:t>
            </w:r>
          </w:p>
        </w:tc>
        <w:tc>
          <w:tcPr>
            <w:tcW w:w="13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–B-cell non-</w:t>
            </w: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shd w:val="clear" w:color="auto" w:fill="CDEAFA"/>
          </w:tcPr>
          <w:p>
            <w:pPr>
              <w:spacing w:after="0"/>
              <w:rPr>
                <w:sz w:val="18"/>
                <w:szCs w:val="18"/>
                <w:color w:val="auto"/>
              </w:rPr>
            </w:pPr>
          </w:p>
        </w:tc>
        <w:tc>
          <w:tcPr>
            <w:tcW w:w="188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w w:val="98"/>
              </w:rPr>
              <w:t>–Resumed enrollment</w:t>
            </w:r>
          </w:p>
        </w:tc>
        <w:tc>
          <w:tcPr>
            <w:tcW w:w="1680" w:type="dxa"/>
            <w:vAlign w:val="bottom"/>
            <w:shd w:val="clear" w:color="auto" w:fill="CDEAFA"/>
          </w:tcPr>
          <w:p>
            <w:pPr>
              <w:spacing w:after="0"/>
              <w:rPr>
                <w:sz w:val="20"/>
                <w:szCs w:val="20"/>
                <w:color w:val="auto"/>
              </w:rPr>
            </w:pPr>
            <w:r>
              <w:rPr>
                <w:rFonts w:ascii="Arial" w:cs="Arial" w:eastAsia="Arial" w:hAnsi="Arial"/>
                <w:sz w:val="18"/>
                <w:szCs w:val="18"/>
                <w:color w:val="auto"/>
              </w:rPr>
              <w:t>–Report additional</w:t>
            </w:r>
          </w:p>
        </w:tc>
      </w:tr>
      <w:tr>
        <w:trPr>
          <w:trHeight w:val="221"/>
        </w:trPr>
        <w:tc>
          <w:tcPr>
            <w:tcW w:w="2200" w:type="dxa"/>
            <w:vAlign w:val="bottom"/>
            <w:shd w:val="clear" w:color="auto" w:fill="CDEAFA"/>
          </w:tcPr>
          <w:p>
            <w:pPr>
              <w:ind w:left="40"/>
              <w:spacing w:after="0"/>
              <w:rPr>
                <w:sz w:val="20"/>
                <w:szCs w:val="20"/>
                <w:color w:val="auto"/>
              </w:rPr>
            </w:pPr>
            <w:r>
              <w:rPr>
                <w:rFonts w:ascii="Arial" w:cs="Arial" w:eastAsia="Arial" w:hAnsi="Arial"/>
                <w:sz w:val="18"/>
                <w:szCs w:val="18"/>
                <w:b w:val="1"/>
                <w:bCs w:val="1"/>
                <w:color w:val="auto"/>
              </w:rPr>
              <w:t>(REGN1979)</w:t>
            </w:r>
          </w:p>
        </w:tc>
        <w:tc>
          <w:tcPr>
            <w:tcW w:w="1400" w:type="dxa"/>
            <w:vAlign w:val="bottom"/>
            <w:gridSpan w:val="3"/>
            <w:shd w:val="clear" w:color="auto" w:fill="CDEAFA"/>
          </w:tcPr>
          <w:p>
            <w:pPr>
              <w:ind w:left="120"/>
              <w:spacing w:after="0" w:line="221" w:lineRule="exact"/>
              <w:rPr>
                <w:sz w:val="20"/>
                <w:szCs w:val="20"/>
                <w:color w:val="auto"/>
              </w:rPr>
            </w:pPr>
            <w:r>
              <w:rPr>
                <w:rFonts w:ascii="Arial" w:cs="Arial" w:eastAsia="Arial" w:hAnsi="Arial"/>
                <w:sz w:val="16"/>
                <w:szCs w:val="16"/>
                <w:color w:val="auto"/>
              </w:rPr>
              <w:t>malignancies</w:t>
            </w:r>
            <w:r>
              <w:rPr>
                <w:rFonts w:ascii="Arial" w:cs="Arial" w:eastAsia="Arial" w:hAnsi="Arial"/>
                <w:sz w:val="25"/>
                <w:szCs w:val="25"/>
                <w:color w:val="auto"/>
                <w:vertAlign w:val="superscript"/>
              </w:rPr>
              <w:t>(c)</w:t>
            </w:r>
          </w:p>
        </w:tc>
        <w:tc>
          <w:tcPr>
            <w:tcW w:w="13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Hodgkin</w:t>
            </w:r>
          </w:p>
        </w:tc>
        <w:tc>
          <w:tcPr>
            <w:tcW w:w="134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1320" w:type="dxa"/>
            <w:vAlign w:val="bottom"/>
            <w:shd w:val="clear" w:color="auto" w:fill="CDEAFA"/>
          </w:tcPr>
          <w:p>
            <w:pPr>
              <w:spacing w:after="0"/>
              <w:rPr>
                <w:sz w:val="19"/>
                <w:szCs w:val="19"/>
                <w:color w:val="auto"/>
              </w:rPr>
            </w:pPr>
          </w:p>
        </w:tc>
        <w:tc>
          <w:tcPr>
            <w:tcW w:w="188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rPr>
              <w:t>of patients with</w:t>
            </w:r>
          </w:p>
        </w:tc>
        <w:tc>
          <w:tcPr>
            <w:tcW w:w="1680" w:type="dxa"/>
            <w:vAlign w:val="bottom"/>
            <w:shd w:val="clear" w:color="auto" w:fill="CDEAFA"/>
          </w:tcPr>
          <w:p>
            <w:pPr>
              <w:spacing w:after="0"/>
              <w:rPr>
                <w:sz w:val="20"/>
                <w:szCs w:val="20"/>
                <w:color w:val="auto"/>
              </w:rPr>
            </w:pPr>
            <w:r>
              <w:rPr>
                <w:rFonts w:ascii="Arial" w:cs="Arial" w:eastAsia="Arial" w:hAnsi="Arial"/>
                <w:sz w:val="18"/>
                <w:szCs w:val="18"/>
                <w:color w:val="auto"/>
              </w:rPr>
              <w:t>results from</w:t>
            </w:r>
          </w:p>
        </w:tc>
      </w:tr>
      <w:tr>
        <w:trPr>
          <w:trHeight w:val="215"/>
        </w:trPr>
        <w:tc>
          <w:tcPr>
            <w:tcW w:w="2200" w:type="dxa"/>
            <w:vAlign w:val="bottom"/>
            <w:shd w:val="clear" w:color="auto" w:fill="CDEAFA"/>
          </w:tcPr>
          <w:p>
            <w:pPr>
              <w:ind w:left="40"/>
              <w:spacing w:after="0"/>
              <w:rPr>
                <w:sz w:val="20"/>
                <w:szCs w:val="20"/>
                <w:color w:val="auto"/>
              </w:rPr>
            </w:pPr>
            <w:r>
              <w:rPr>
                <w:rFonts w:ascii="Arial" w:cs="Arial" w:eastAsia="Arial" w:hAnsi="Arial"/>
                <w:sz w:val="18"/>
                <w:szCs w:val="18"/>
                <w:i w:val="1"/>
                <w:iCs w:val="1"/>
                <w:color w:val="auto"/>
              </w:rPr>
              <w:t>Bispecific antibody</w:t>
            </w:r>
          </w:p>
        </w:tc>
        <w:tc>
          <w:tcPr>
            <w:tcW w:w="120" w:type="dxa"/>
            <w:vAlign w:val="bottom"/>
            <w:shd w:val="clear" w:color="auto" w:fill="CDEAFA"/>
          </w:tcPr>
          <w:p>
            <w:pPr>
              <w:spacing w:after="0"/>
              <w:rPr>
                <w:sz w:val="18"/>
                <w:szCs w:val="18"/>
                <w:color w:val="auto"/>
              </w:rPr>
            </w:pPr>
          </w:p>
        </w:tc>
        <w:tc>
          <w:tcPr>
            <w:tcW w:w="11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lymphoma (“B-</w:t>
            </w: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shd w:val="clear" w:color="auto" w:fill="CDEAFA"/>
          </w:tcPr>
          <w:p>
            <w:pPr>
              <w:spacing w:after="0"/>
              <w:rPr>
                <w:sz w:val="18"/>
                <w:szCs w:val="18"/>
                <w:color w:val="auto"/>
              </w:rPr>
            </w:pPr>
          </w:p>
        </w:tc>
        <w:tc>
          <w:tcPr>
            <w:tcW w:w="188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rPr>
              <w:t>follicular lymphoma</w:t>
            </w:r>
          </w:p>
        </w:tc>
        <w:tc>
          <w:tcPr>
            <w:tcW w:w="1680" w:type="dxa"/>
            <w:vAlign w:val="bottom"/>
            <w:shd w:val="clear" w:color="auto" w:fill="CDEAFA"/>
          </w:tcPr>
          <w:p>
            <w:pPr>
              <w:spacing w:after="0"/>
              <w:rPr>
                <w:sz w:val="20"/>
                <w:szCs w:val="20"/>
                <w:color w:val="auto"/>
              </w:rPr>
            </w:pPr>
            <w:r>
              <w:rPr>
                <w:rFonts w:ascii="Arial" w:cs="Arial" w:eastAsia="Arial" w:hAnsi="Arial"/>
                <w:sz w:val="18"/>
                <w:szCs w:val="18"/>
                <w:color w:val="auto"/>
              </w:rPr>
              <w:t>potentially pivotal</w:t>
            </w:r>
          </w:p>
        </w:tc>
      </w:tr>
      <w:tr>
        <w:trPr>
          <w:trHeight w:val="216"/>
        </w:trPr>
        <w:tc>
          <w:tcPr>
            <w:tcW w:w="2200" w:type="dxa"/>
            <w:vAlign w:val="bottom"/>
            <w:shd w:val="clear" w:color="auto" w:fill="CDEAFA"/>
          </w:tcPr>
          <w:p>
            <w:pPr>
              <w:ind w:left="40"/>
              <w:spacing w:after="0"/>
              <w:rPr>
                <w:sz w:val="20"/>
                <w:szCs w:val="20"/>
                <w:color w:val="auto"/>
              </w:rPr>
            </w:pPr>
            <w:r>
              <w:rPr>
                <w:rFonts w:ascii="Arial" w:cs="Arial" w:eastAsia="Arial" w:hAnsi="Arial"/>
                <w:sz w:val="18"/>
                <w:szCs w:val="18"/>
                <w:i w:val="1"/>
                <w:iCs w:val="1"/>
                <w:color w:val="auto"/>
              </w:rPr>
              <w:t>targeting CD20 and CD3</w:t>
            </w:r>
          </w:p>
        </w:tc>
        <w:tc>
          <w:tcPr>
            <w:tcW w:w="120" w:type="dxa"/>
            <w:vAlign w:val="bottom"/>
            <w:shd w:val="clear" w:color="auto" w:fill="CDEAFA"/>
          </w:tcPr>
          <w:p>
            <w:pPr>
              <w:spacing w:after="0"/>
              <w:rPr>
                <w:sz w:val="18"/>
                <w:szCs w:val="18"/>
                <w:color w:val="auto"/>
              </w:rPr>
            </w:pPr>
          </w:p>
        </w:tc>
        <w:tc>
          <w:tcPr>
            <w:tcW w:w="11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NHL”)</w:t>
            </w: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shd w:val="clear" w:color="auto" w:fill="CDEAFA"/>
          </w:tcPr>
          <w:p>
            <w:pPr>
              <w:spacing w:after="0"/>
              <w:rPr>
                <w:sz w:val="18"/>
                <w:szCs w:val="18"/>
                <w:color w:val="auto"/>
              </w:rPr>
            </w:pPr>
          </w:p>
        </w:tc>
        <w:tc>
          <w:tcPr>
            <w:tcW w:w="188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rPr>
              <w:t>(“FL”) and diffuse</w:t>
            </w:r>
          </w:p>
        </w:tc>
        <w:tc>
          <w:tcPr>
            <w:tcW w:w="1680" w:type="dxa"/>
            <w:vAlign w:val="bottom"/>
            <w:shd w:val="clear" w:color="auto" w:fill="CDEAFA"/>
          </w:tcPr>
          <w:p>
            <w:pPr>
              <w:spacing w:after="0"/>
              <w:rPr>
                <w:sz w:val="20"/>
                <w:szCs w:val="20"/>
                <w:color w:val="auto"/>
              </w:rPr>
            </w:pPr>
            <w:r>
              <w:rPr>
                <w:rFonts w:ascii="Arial" w:cs="Arial" w:eastAsia="Arial" w:hAnsi="Arial"/>
                <w:sz w:val="18"/>
                <w:szCs w:val="18"/>
                <w:color w:val="auto"/>
              </w:rPr>
              <w:t>Phase 2 study in B-</w:t>
            </w:r>
          </w:p>
        </w:tc>
      </w:tr>
      <w:tr>
        <w:trPr>
          <w:trHeight w:val="216"/>
        </w:trPr>
        <w:tc>
          <w:tcPr>
            <w:tcW w:w="22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(potentially</w:t>
            </w: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shd w:val="clear" w:color="auto" w:fill="CDEAFA"/>
          </w:tcPr>
          <w:p>
            <w:pPr>
              <w:spacing w:after="0"/>
              <w:rPr>
                <w:sz w:val="18"/>
                <w:szCs w:val="18"/>
                <w:color w:val="auto"/>
              </w:rPr>
            </w:pPr>
          </w:p>
        </w:tc>
        <w:tc>
          <w:tcPr>
            <w:tcW w:w="188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w w:val="97"/>
              </w:rPr>
              <w:t>large B-cell lymphoma</w:t>
            </w:r>
          </w:p>
        </w:tc>
        <w:tc>
          <w:tcPr>
            <w:tcW w:w="1680" w:type="dxa"/>
            <w:vAlign w:val="bottom"/>
            <w:shd w:val="clear" w:color="auto" w:fill="CDEAFA"/>
          </w:tcPr>
          <w:p>
            <w:pPr>
              <w:spacing w:after="0"/>
              <w:rPr>
                <w:sz w:val="20"/>
                <w:szCs w:val="20"/>
                <w:color w:val="auto"/>
              </w:rPr>
            </w:pPr>
            <w:r>
              <w:rPr>
                <w:rFonts w:ascii="Arial" w:cs="Arial" w:eastAsia="Arial" w:hAnsi="Arial"/>
                <w:sz w:val="18"/>
                <w:szCs w:val="18"/>
                <w:color w:val="auto"/>
              </w:rPr>
              <w:t>NHL (2022)</w:t>
            </w:r>
          </w:p>
        </w:tc>
      </w:tr>
      <w:tr>
        <w:trPr>
          <w:trHeight w:val="216"/>
        </w:trPr>
        <w:tc>
          <w:tcPr>
            <w:tcW w:w="22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pivotal study)</w:t>
            </w: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shd w:val="clear" w:color="auto" w:fill="CDEAFA"/>
          </w:tcPr>
          <w:p>
            <w:pPr>
              <w:spacing w:after="0"/>
              <w:rPr>
                <w:sz w:val="18"/>
                <w:szCs w:val="18"/>
                <w:color w:val="auto"/>
              </w:rPr>
            </w:pPr>
          </w:p>
        </w:tc>
        <w:tc>
          <w:tcPr>
            <w:tcW w:w="188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rPr>
              <w:t>(“DLBCL”) following</w:t>
            </w:r>
          </w:p>
        </w:tc>
        <w:tc>
          <w:tcPr>
            <w:tcW w:w="1680" w:type="dxa"/>
            <w:vAlign w:val="bottom"/>
            <w:shd w:val="clear" w:color="auto" w:fill="CDEAFA"/>
          </w:tcPr>
          <w:p>
            <w:pPr>
              <w:spacing w:after="0"/>
              <w:rPr>
                <w:sz w:val="18"/>
                <w:szCs w:val="18"/>
                <w:color w:val="auto"/>
              </w:rPr>
            </w:pPr>
          </w:p>
        </w:tc>
      </w:tr>
      <w:tr>
        <w:trPr>
          <w:trHeight w:val="216"/>
        </w:trPr>
        <w:tc>
          <w:tcPr>
            <w:tcW w:w="22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22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shd w:val="clear" w:color="auto" w:fill="CDEAFA"/>
          </w:tcPr>
          <w:p>
            <w:pPr>
              <w:spacing w:after="0"/>
              <w:rPr>
                <w:sz w:val="18"/>
                <w:szCs w:val="18"/>
                <w:color w:val="auto"/>
              </w:rPr>
            </w:pPr>
          </w:p>
        </w:tc>
        <w:tc>
          <w:tcPr>
            <w:tcW w:w="188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rPr>
              <w:t>protocol amendments</w:t>
            </w:r>
          </w:p>
        </w:tc>
        <w:tc>
          <w:tcPr>
            <w:tcW w:w="1680" w:type="dxa"/>
            <w:vAlign w:val="bottom"/>
            <w:shd w:val="clear" w:color="auto" w:fill="CDEAFA"/>
          </w:tcPr>
          <w:p>
            <w:pPr>
              <w:spacing w:after="0"/>
              <w:rPr>
                <w:sz w:val="20"/>
                <w:szCs w:val="20"/>
                <w:color w:val="auto"/>
              </w:rPr>
            </w:pPr>
            <w:r>
              <w:rPr>
                <w:rFonts w:ascii="Arial" w:cs="Arial" w:eastAsia="Arial" w:hAnsi="Arial"/>
                <w:sz w:val="18"/>
                <w:szCs w:val="18"/>
                <w:color w:val="auto"/>
              </w:rPr>
              <w:t>–Initiate Phase 3</w:t>
            </w:r>
          </w:p>
        </w:tc>
      </w:tr>
      <w:tr>
        <w:trPr>
          <w:trHeight w:val="216"/>
        </w:trPr>
        <w:tc>
          <w:tcPr>
            <w:tcW w:w="22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22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66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680" w:type="dxa"/>
            <w:vAlign w:val="bottom"/>
            <w:shd w:val="clear" w:color="auto" w:fill="CDEAFA"/>
          </w:tcPr>
          <w:p>
            <w:pPr>
              <w:spacing w:after="0"/>
              <w:rPr>
                <w:sz w:val="20"/>
                <w:szCs w:val="20"/>
                <w:color w:val="auto"/>
              </w:rPr>
            </w:pPr>
            <w:r>
              <w:rPr>
                <w:rFonts w:ascii="Arial" w:cs="Arial" w:eastAsia="Arial" w:hAnsi="Arial"/>
                <w:sz w:val="18"/>
                <w:szCs w:val="18"/>
                <w:color w:val="auto"/>
                <w:w w:val="97"/>
              </w:rPr>
              <w:t>program (second half</w:t>
            </w:r>
          </w:p>
        </w:tc>
      </w:tr>
      <w:tr>
        <w:trPr>
          <w:trHeight w:val="244"/>
        </w:trPr>
        <w:tc>
          <w:tcPr>
            <w:tcW w:w="220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18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22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32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66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680" w:type="dxa"/>
            <w:vAlign w:val="bottom"/>
            <w:shd w:val="clear" w:color="auto" w:fill="CDEAFA"/>
          </w:tcPr>
          <w:p>
            <w:pPr>
              <w:spacing w:after="0"/>
              <w:rPr>
                <w:sz w:val="20"/>
                <w:szCs w:val="20"/>
                <w:color w:val="auto"/>
              </w:rPr>
            </w:pPr>
            <w:r>
              <w:rPr>
                <w:rFonts w:ascii="Arial" w:cs="Arial" w:eastAsia="Arial" w:hAnsi="Arial"/>
                <w:sz w:val="18"/>
                <w:szCs w:val="18"/>
                <w:color w:val="auto"/>
              </w:rPr>
              <w:t>2022)</w:t>
            </w:r>
          </w:p>
        </w:tc>
      </w:tr>
      <w:tr>
        <w:trPr>
          <w:trHeight w:val="216"/>
        </w:trPr>
        <w:tc>
          <w:tcPr>
            <w:tcW w:w="2200" w:type="dxa"/>
            <w:vAlign w:val="bottom"/>
          </w:tcPr>
          <w:p>
            <w:pPr>
              <w:ind w:left="40"/>
              <w:spacing w:after="0" w:line="216" w:lineRule="exact"/>
              <w:rPr>
                <w:sz w:val="20"/>
                <w:szCs w:val="20"/>
                <w:color w:val="auto"/>
              </w:rPr>
            </w:pPr>
            <w:r>
              <w:rPr>
                <w:rFonts w:ascii="Arial" w:cs="Arial" w:eastAsia="Arial" w:hAnsi="Arial"/>
                <w:sz w:val="16"/>
                <w:szCs w:val="16"/>
                <w:b w:val="1"/>
                <w:bCs w:val="1"/>
                <w:color w:val="auto"/>
              </w:rPr>
              <w:t>REGN5458</w:t>
            </w:r>
            <w:r>
              <w:rPr>
                <w:rFonts w:ascii="Arial" w:cs="Arial" w:eastAsia="Arial" w:hAnsi="Arial"/>
                <w:sz w:val="25"/>
                <w:szCs w:val="25"/>
                <w:b w:val="1"/>
                <w:bCs w:val="1"/>
                <w:color w:val="auto"/>
                <w:vertAlign w:val="superscript"/>
              </w:rPr>
              <w:t>(f)</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–Multiple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80" w:type="dxa"/>
            <w:vAlign w:val="bottom"/>
            <w:gridSpan w:val="3"/>
          </w:tcPr>
          <w:p>
            <w:pPr>
              <w:ind w:left="120"/>
              <w:spacing w:after="0"/>
              <w:rPr>
                <w:sz w:val="20"/>
                <w:szCs w:val="20"/>
                <w:color w:val="auto"/>
              </w:rPr>
            </w:pPr>
            <w:r>
              <w:rPr>
                <w:rFonts w:ascii="Arial" w:cs="Arial" w:eastAsia="Arial" w:hAnsi="Arial"/>
                <w:sz w:val="18"/>
                <w:szCs w:val="18"/>
                <w:color w:val="auto"/>
                <w:w w:val="98"/>
              </w:rPr>
              <w:t>–Presented results for</w:t>
            </w:r>
          </w:p>
        </w:tc>
        <w:tc>
          <w:tcPr>
            <w:tcW w:w="1680" w:type="dxa"/>
            <w:vAlign w:val="bottom"/>
          </w:tcPr>
          <w:p>
            <w:pPr>
              <w:spacing w:after="0"/>
              <w:rPr>
                <w:sz w:val="20"/>
                <w:szCs w:val="20"/>
                <w:color w:val="auto"/>
              </w:rPr>
            </w:pPr>
            <w:r>
              <w:rPr>
                <w:rFonts w:ascii="Arial" w:cs="Arial" w:eastAsia="Arial" w:hAnsi="Arial"/>
                <w:sz w:val="18"/>
                <w:szCs w:val="18"/>
                <w:color w:val="auto"/>
                <w:w w:val="94"/>
              </w:rPr>
              <w:t>–Complete enrollment</w:t>
            </w: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i w:val="1"/>
                <w:iCs w:val="1"/>
                <w:color w:val="auto"/>
              </w:rPr>
              <w:t>Bispecific antibody</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myeloma</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80" w:type="dxa"/>
            <w:vAlign w:val="bottom"/>
            <w:gridSpan w:val="3"/>
          </w:tcPr>
          <w:p>
            <w:pPr>
              <w:ind w:left="120"/>
              <w:spacing w:after="0"/>
              <w:rPr>
                <w:sz w:val="20"/>
                <w:szCs w:val="20"/>
                <w:color w:val="auto"/>
              </w:rPr>
            </w:pPr>
            <w:r>
              <w:rPr>
                <w:rFonts w:ascii="Arial" w:cs="Arial" w:eastAsia="Arial" w:hAnsi="Arial"/>
                <w:sz w:val="18"/>
                <w:szCs w:val="18"/>
                <w:color w:val="auto"/>
              </w:rPr>
              <w:t>higher dose level</w:t>
            </w:r>
          </w:p>
        </w:tc>
        <w:tc>
          <w:tcPr>
            <w:tcW w:w="1680" w:type="dxa"/>
            <w:vAlign w:val="bottom"/>
          </w:tcPr>
          <w:p>
            <w:pPr>
              <w:spacing w:after="0"/>
              <w:rPr>
                <w:sz w:val="20"/>
                <w:szCs w:val="20"/>
                <w:color w:val="auto"/>
              </w:rPr>
            </w:pPr>
            <w:r>
              <w:rPr>
                <w:rFonts w:ascii="Arial" w:cs="Arial" w:eastAsia="Arial" w:hAnsi="Arial"/>
                <w:sz w:val="18"/>
                <w:szCs w:val="18"/>
                <w:color w:val="auto"/>
              </w:rPr>
              <w:t>in potentially pivotal</w:t>
            </w: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i w:val="1"/>
                <w:iCs w:val="1"/>
                <w:color w:val="auto"/>
              </w:rPr>
              <w:t>targeting BCMA and CD3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(potentially</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80" w:type="dxa"/>
            <w:vAlign w:val="bottom"/>
            <w:gridSpan w:val="3"/>
          </w:tcPr>
          <w:p>
            <w:pPr>
              <w:ind w:left="120"/>
              <w:spacing w:after="0"/>
              <w:rPr>
                <w:sz w:val="20"/>
                <w:szCs w:val="20"/>
                <w:color w:val="auto"/>
              </w:rPr>
            </w:pPr>
            <w:r>
              <w:rPr>
                <w:rFonts w:ascii="Arial" w:cs="Arial" w:eastAsia="Arial" w:hAnsi="Arial"/>
                <w:sz w:val="18"/>
                <w:szCs w:val="18"/>
                <w:color w:val="auto"/>
              </w:rPr>
              <w:t>cohorts from Phase 1</w:t>
            </w:r>
          </w:p>
        </w:tc>
        <w:tc>
          <w:tcPr>
            <w:tcW w:w="1680" w:type="dxa"/>
            <w:vAlign w:val="bottom"/>
          </w:tcPr>
          <w:p>
            <w:pPr>
              <w:spacing w:after="0"/>
              <w:rPr>
                <w:sz w:val="20"/>
                <w:szCs w:val="20"/>
                <w:color w:val="auto"/>
              </w:rPr>
            </w:pPr>
            <w:r>
              <w:rPr>
                <w:rFonts w:ascii="Arial" w:cs="Arial" w:eastAsia="Arial" w:hAnsi="Arial"/>
                <w:sz w:val="18"/>
                <w:szCs w:val="18"/>
                <w:color w:val="auto"/>
              </w:rPr>
              <w:t>Phase 2 study in</w:t>
            </w:r>
          </w:p>
        </w:tc>
      </w:tr>
      <w:tr>
        <w:trPr>
          <w:trHeight w:val="215"/>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pivotal study)</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80" w:type="dxa"/>
            <w:vAlign w:val="bottom"/>
            <w:gridSpan w:val="3"/>
          </w:tcPr>
          <w:p>
            <w:pPr>
              <w:ind w:left="120"/>
              <w:spacing w:after="0"/>
              <w:rPr>
                <w:sz w:val="20"/>
                <w:szCs w:val="20"/>
                <w:color w:val="auto"/>
              </w:rPr>
            </w:pPr>
            <w:r>
              <w:rPr>
                <w:rFonts w:ascii="Arial" w:cs="Arial" w:eastAsia="Arial" w:hAnsi="Arial"/>
                <w:sz w:val="18"/>
                <w:szCs w:val="18"/>
                <w:color w:val="auto"/>
              </w:rPr>
              <w:t>trial in multiple</w:t>
            </w:r>
          </w:p>
        </w:tc>
        <w:tc>
          <w:tcPr>
            <w:tcW w:w="1680" w:type="dxa"/>
            <w:vAlign w:val="bottom"/>
          </w:tcPr>
          <w:p>
            <w:pPr>
              <w:spacing w:after="0"/>
              <w:rPr>
                <w:sz w:val="20"/>
                <w:szCs w:val="20"/>
                <w:color w:val="auto"/>
              </w:rPr>
            </w:pPr>
            <w:r>
              <w:rPr>
                <w:rFonts w:ascii="Arial" w:cs="Arial" w:eastAsia="Arial" w:hAnsi="Arial"/>
                <w:sz w:val="18"/>
                <w:szCs w:val="18"/>
                <w:color w:val="auto"/>
              </w:rPr>
              <w:t>multiple myeloma</w:t>
            </w: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80" w:type="dxa"/>
            <w:vAlign w:val="bottom"/>
            <w:gridSpan w:val="3"/>
          </w:tcPr>
          <w:p>
            <w:pPr>
              <w:ind w:left="120"/>
              <w:spacing w:after="0"/>
              <w:rPr>
                <w:sz w:val="20"/>
                <w:szCs w:val="20"/>
                <w:color w:val="auto"/>
              </w:rPr>
            </w:pPr>
            <w:r>
              <w:rPr>
                <w:rFonts w:ascii="Arial" w:cs="Arial" w:eastAsia="Arial" w:hAnsi="Arial"/>
                <w:sz w:val="18"/>
                <w:szCs w:val="18"/>
                <w:color w:val="auto"/>
                <w:w w:val="99"/>
              </w:rPr>
              <w:t>myeloma at American</w:t>
            </w:r>
          </w:p>
        </w:tc>
        <w:tc>
          <w:tcPr>
            <w:tcW w:w="1680" w:type="dxa"/>
            <w:vAlign w:val="bottom"/>
          </w:tcPr>
          <w:p>
            <w:pPr>
              <w:spacing w:after="0"/>
              <w:rPr>
                <w:sz w:val="20"/>
                <w:szCs w:val="20"/>
                <w:color w:val="auto"/>
              </w:rPr>
            </w:pPr>
            <w:r>
              <w:rPr>
                <w:rFonts w:ascii="Arial" w:cs="Arial" w:eastAsia="Arial" w:hAnsi="Arial"/>
                <w:sz w:val="18"/>
                <w:szCs w:val="18"/>
                <w:color w:val="auto"/>
              </w:rPr>
              <w:t>(first quarter 2022)</w:t>
            </w: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80" w:type="dxa"/>
            <w:vAlign w:val="bottom"/>
            <w:gridSpan w:val="3"/>
          </w:tcPr>
          <w:p>
            <w:pPr>
              <w:ind w:left="120"/>
              <w:spacing w:after="0"/>
              <w:rPr>
                <w:sz w:val="20"/>
                <w:szCs w:val="20"/>
                <w:color w:val="auto"/>
              </w:rPr>
            </w:pPr>
            <w:r>
              <w:rPr>
                <w:rFonts w:ascii="Arial" w:cs="Arial" w:eastAsia="Arial" w:hAnsi="Arial"/>
                <w:sz w:val="18"/>
                <w:szCs w:val="18"/>
                <w:color w:val="auto"/>
              </w:rPr>
              <w:t>Society of</w:t>
            </w:r>
          </w:p>
        </w:tc>
        <w:tc>
          <w:tcPr>
            <w:tcW w:w="16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80" w:type="dxa"/>
            <w:vAlign w:val="bottom"/>
            <w:gridSpan w:val="3"/>
          </w:tcPr>
          <w:p>
            <w:pPr>
              <w:ind w:left="120"/>
              <w:spacing w:after="0"/>
              <w:rPr>
                <w:sz w:val="20"/>
                <w:szCs w:val="20"/>
                <w:color w:val="auto"/>
              </w:rPr>
            </w:pPr>
            <w:r>
              <w:rPr>
                <w:rFonts w:ascii="Arial" w:cs="Arial" w:eastAsia="Arial" w:hAnsi="Arial"/>
                <w:sz w:val="18"/>
                <w:szCs w:val="18"/>
                <w:color w:val="auto"/>
              </w:rPr>
              <w:t>Hematology (“ASH”)</w:t>
            </w:r>
          </w:p>
        </w:tc>
        <w:tc>
          <w:tcPr>
            <w:tcW w:w="1680" w:type="dxa"/>
            <w:vAlign w:val="bottom"/>
          </w:tcPr>
          <w:p>
            <w:pPr>
              <w:spacing w:after="0"/>
              <w:rPr>
                <w:sz w:val="20"/>
                <w:szCs w:val="20"/>
                <w:color w:val="auto"/>
              </w:rPr>
            </w:pPr>
            <w:r>
              <w:rPr>
                <w:rFonts w:ascii="Arial" w:cs="Arial" w:eastAsia="Arial" w:hAnsi="Arial"/>
                <w:sz w:val="18"/>
                <w:szCs w:val="18"/>
                <w:color w:val="auto"/>
              </w:rPr>
              <w:t>–Report results from</w:t>
            </w: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80" w:type="dxa"/>
            <w:vAlign w:val="bottom"/>
            <w:gridSpan w:val="3"/>
          </w:tcPr>
          <w:p>
            <w:pPr>
              <w:ind w:left="120"/>
              <w:spacing w:after="0"/>
              <w:rPr>
                <w:sz w:val="20"/>
                <w:szCs w:val="20"/>
                <w:color w:val="auto"/>
              </w:rPr>
            </w:pPr>
            <w:r>
              <w:rPr>
                <w:rFonts w:ascii="Arial" w:cs="Arial" w:eastAsia="Arial" w:hAnsi="Arial"/>
                <w:sz w:val="18"/>
                <w:szCs w:val="18"/>
                <w:color w:val="auto"/>
              </w:rPr>
              <w:t>Annual Meeting</w:t>
            </w:r>
          </w:p>
        </w:tc>
        <w:tc>
          <w:tcPr>
            <w:tcW w:w="1680" w:type="dxa"/>
            <w:vAlign w:val="bottom"/>
          </w:tcPr>
          <w:p>
            <w:pPr>
              <w:spacing w:after="0"/>
              <w:rPr>
                <w:sz w:val="20"/>
                <w:szCs w:val="20"/>
                <w:color w:val="auto"/>
              </w:rPr>
            </w:pPr>
            <w:r>
              <w:rPr>
                <w:rFonts w:ascii="Arial" w:cs="Arial" w:eastAsia="Arial" w:hAnsi="Arial"/>
                <w:sz w:val="18"/>
                <w:szCs w:val="18"/>
                <w:color w:val="auto"/>
              </w:rPr>
              <w:t>potentially pivotal</w:t>
            </w: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Phase 2 study in</w:t>
            </w: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multiple myeloma</w:t>
            </w:r>
          </w:p>
        </w:tc>
      </w:tr>
      <w:tr>
        <w:trPr>
          <w:trHeight w:val="230"/>
        </w:trPr>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(second half 2022)</w:t>
            </w:r>
          </w:p>
        </w:tc>
      </w:tr>
      <w:tr>
        <w:trPr>
          <w:trHeight w:val="418"/>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–Expand into earlier</w:t>
            </w: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lines of multiple</w:t>
            </w: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myeloma therapy</w:t>
            </w:r>
          </w:p>
        </w:tc>
      </w:tr>
      <w:tr>
        <w:trPr>
          <w:trHeight w:val="237"/>
        </w:trPr>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(first half 2022)</w:t>
            </w:r>
          </w:p>
        </w:tc>
      </w:tr>
      <w:tr>
        <w:trPr>
          <w:trHeight w:val="223"/>
        </w:trPr>
        <w:tc>
          <w:tcPr>
            <w:tcW w:w="2200" w:type="dxa"/>
            <w:vAlign w:val="bottom"/>
            <w:shd w:val="clear" w:color="auto" w:fill="CDEAFA"/>
          </w:tcPr>
          <w:p>
            <w:pPr>
              <w:ind w:left="40"/>
              <w:spacing w:after="0" w:line="222" w:lineRule="exact"/>
              <w:rPr>
                <w:sz w:val="20"/>
                <w:szCs w:val="20"/>
                <w:color w:val="auto"/>
              </w:rPr>
            </w:pPr>
            <w:r>
              <w:rPr>
                <w:rFonts w:ascii="Arial" w:cs="Arial" w:eastAsia="Arial" w:hAnsi="Arial"/>
                <w:sz w:val="16"/>
                <w:szCs w:val="16"/>
                <w:b w:val="1"/>
                <w:bCs w:val="1"/>
                <w:color w:val="auto"/>
              </w:rPr>
              <w:t>REGN5459</w:t>
            </w:r>
            <w:r>
              <w:rPr>
                <w:rFonts w:ascii="Arial" w:cs="Arial" w:eastAsia="Arial" w:hAnsi="Arial"/>
                <w:sz w:val="25"/>
                <w:szCs w:val="25"/>
                <w:b w:val="1"/>
                <w:bCs w:val="1"/>
                <w:color w:val="auto"/>
                <w:vertAlign w:val="superscript"/>
              </w:rPr>
              <w:t>(f)</w:t>
            </w:r>
          </w:p>
        </w:tc>
        <w:tc>
          <w:tcPr>
            <w:tcW w:w="140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rPr>
              <w:t>–Multiple</w:t>
            </w:r>
          </w:p>
        </w:tc>
        <w:tc>
          <w:tcPr>
            <w:tcW w:w="122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134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132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66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1680" w:type="dxa"/>
            <w:vAlign w:val="bottom"/>
            <w:shd w:val="clear" w:color="auto" w:fill="CDEAFA"/>
          </w:tcPr>
          <w:p>
            <w:pPr>
              <w:spacing w:after="0"/>
              <w:rPr>
                <w:sz w:val="19"/>
                <w:szCs w:val="19"/>
                <w:color w:val="auto"/>
              </w:rPr>
            </w:pPr>
          </w:p>
        </w:tc>
      </w:tr>
      <w:tr>
        <w:trPr>
          <w:trHeight w:val="256"/>
        </w:trPr>
        <w:tc>
          <w:tcPr>
            <w:tcW w:w="2200" w:type="dxa"/>
            <w:vAlign w:val="bottom"/>
            <w:shd w:val="clear" w:color="auto" w:fill="CDEAFA"/>
          </w:tcPr>
          <w:p>
            <w:pPr>
              <w:ind w:left="40"/>
              <w:spacing w:after="0"/>
              <w:rPr>
                <w:sz w:val="20"/>
                <w:szCs w:val="20"/>
                <w:color w:val="auto"/>
              </w:rPr>
            </w:pPr>
            <w:r>
              <w:rPr>
                <w:rFonts w:ascii="Arial" w:cs="Arial" w:eastAsia="Arial" w:hAnsi="Arial"/>
                <w:sz w:val="18"/>
                <w:szCs w:val="18"/>
                <w:i w:val="1"/>
                <w:iCs w:val="1"/>
                <w:color w:val="auto"/>
              </w:rPr>
              <w:t>Bispecific antibody</w:t>
            </w:r>
          </w:p>
        </w:tc>
        <w:tc>
          <w:tcPr>
            <w:tcW w:w="1400" w:type="dxa"/>
            <w:vAlign w:val="bottom"/>
            <w:gridSpan w:val="3"/>
            <w:shd w:val="clear" w:color="auto" w:fill="CDEAFA"/>
          </w:tcPr>
          <w:p>
            <w:pPr>
              <w:ind w:left="120"/>
              <w:spacing w:after="0"/>
              <w:rPr>
                <w:sz w:val="20"/>
                <w:szCs w:val="20"/>
                <w:color w:val="auto"/>
              </w:rPr>
            </w:pPr>
            <w:r>
              <w:rPr>
                <w:rFonts w:ascii="Arial" w:cs="Arial" w:eastAsia="Arial" w:hAnsi="Arial"/>
                <w:sz w:val="18"/>
                <w:szCs w:val="18"/>
                <w:color w:val="auto"/>
              </w:rPr>
              <w:t>myeloma</w:t>
            </w:r>
          </w:p>
        </w:tc>
        <w:tc>
          <w:tcPr>
            <w:tcW w:w="1220" w:type="dxa"/>
            <w:vAlign w:val="bottom"/>
            <w:shd w:val="clear" w:color="auto" w:fill="CDEAFA"/>
          </w:tcPr>
          <w:p>
            <w:pPr>
              <w:spacing w:after="0"/>
              <w:rPr>
                <w:sz w:val="22"/>
                <w:szCs w:val="22"/>
                <w:color w:val="auto"/>
              </w:rPr>
            </w:pPr>
          </w:p>
        </w:tc>
        <w:tc>
          <w:tcPr>
            <w:tcW w:w="100" w:type="dxa"/>
            <w:vAlign w:val="bottom"/>
            <w:shd w:val="clear" w:color="auto" w:fill="CDEAFA"/>
          </w:tcPr>
          <w:p>
            <w:pPr>
              <w:spacing w:after="0"/>
              <w:rPr>
                <w:sz w:val="22"/>
                <w:szCs w:val="22"/>
                <w:color w:val="auto"/>
              </w:rPr>
            </w:pPr>
          </w:p>
        </w:tc>
        <w:tc>
          <w:tcPr>
            <w:tcW w:w="1340" w:type="dxa"/>
            <w:vAlign w:val="bottom"/>
            <w:shd w:val="clear" w:color="auto" w:fill="CDEAFA"/>
          </w:tcPr>
          <w:p>
            <w:pPr>
              <w:spacing w:after="0"/>
              <w:rPr>
                <w:sz w:val="22"/>
                <w:szCs w:val="22"/>
                <w:color w:val="auto"/>
              </w:rPr>
            </w:pPr>
          </w:p>
        </w:tc>
        <w:tc>
          <w:tcPr>
            <w:tcW w:w="100" w:type="dxa"/>
            <w:vAlign w:val="bottom"/>
            <w:shd w:val="clear" w:color="auto" w:fill="CDEAFA"/>
          </w:tcPr>
          <w:p>
            <w:pPr>
              <w:spacing w:after="0"/>
              <w:rPr>
                <w:sz w:val="22"/>
                <w:szCs w:val="22"/>
                <w:color w:val="auto"/>
              </w:rPr>
            </w:pPr>
          </w:p>
        </w:tc>
        <w:tc>
          <w:tcPr>
            <w:tcW w:w="1320" w:type="dxa"/>
            <w:vAlign w:val="bottom"/>
            <w:shd w:val="clear" w:color="auto" w:fill="CDEAFA"/>
          </w:tcPr>
          <w:p>
            <w:pPr>
              <w:spacing w:after="0"/>
              <w:rPr>
                <w:sz w:val="22"/>
                <w:szCs w:val="22"/>
                <w:color w:val="auto"/>
              </w:rPr>
            </w:pPr>
          </w:p>
        </w:tc>
        <w:tc>
          <w:tcPr>
            <w:tcW w:w="120" w:type="dxa"/>
            <w:vAlign w:val="bottom"/>
            <w:shd w:val="clear" w:color="auto" w:fill="CDEAFA"/>
          </w:tcPr>
          <w:p>
            <w:pPr>
              <w:spacing w:after="0"/>
              <w:rPr>
                <w:sz w:val="22"/>
                <w:szCs w:val="22"/>
                <w:color w:val="auto"/>
              </w:rPr>
            </w:pPr>
          </w:p>
        </w:tc>
        <w:tc>
          <w:tcPr>
            <w:tcW w:w="1660" w:type="dxa"/>
            <w:vAlign w:val="bottom"/>
            <w:shd w:val="clear" w:color="auto" w:fill="CDEAFA"/>
          </w:tcPr>
          <w:p>
            <w:pPr>
              <w:spacing w:after="0"/>
              <w:rPr>
                <w:sz w:val="22"/>
                <w:szCs w:val="22"/>
                <w:color w:val="auto"/>
              </w:rPr>
            </w:pPr>
          </w:p>
        </w:tc>
        <w:tc>
          <w:tcPr>
            <w:tcW w:w="100" w:type="dxa"/>
            <w:vAlign w:val="bottom"/>
            <w:shd w:val="clear" w:color="auto" w:fill="CDEAFA"/>
          </w:tcPr>
          <w:p>
            <w:pPr>
              <w:spacing w:after="0"/>
              <w:rPr>
                <w:sz w:val="22"/>
                <w:szCs w:val="22"/>
                <w:color w:val="auto"/>
              </w:rPr>
            </w:pPr>
          </w:p>
        </w:tc>
        <w:tc>
          <w:tcPr>
            <w:tcW w:w="1680" w:type="dxa"/>
            <w:vAlign w:val="bottom"/>
            <w:shd w:val="clear" w:color="auto" w:fill="CDEAFA"/>
          </w:tcPr>
          <w:p>
            <w:pPr>
              <w:spacing w:after="0"/>
              <w:rPr>
                <w:sz w:val="22"/>
                <w:szCs w:val="22"/>
                <w:color w:val="auto"/>
              </w:rPr>
            </w:pPr>
          </w:p>
        </w:tc>
      </w:tr>
      <w:tr>
        <w:trPr>
          <w:trHeight w:val="244"/>
        </w:trPr>
        <w:tc>
          <w:tcPr>
            <w:tcW w:w="2200" w:type="dxa"/>
            <w:vAlign w:val="bottom"/>
            <w:shd w:val="clear" w:color="auto" w:fill="CDEAFA"/>
          </w:tcPr>
          <w:p>
            <w:pPr>
              <w:ind w:left="40"/>
              <w:spacing w:after="0"/>
              <w:rPr>
                <w:sz w:val="20"/>
                <w:szCs w:val="20"/>
                <w:color w:val="auto"/>
              </w:rPr>
            </w:pPr>
            <w:r>
              <w:rPr>
                <w:rFonts w:ascii="Arial" w:cs="Arial" w:eastAsia="Arial" w:hAnsi="Arial"/>
                <w:sz w:val="18"/>
                <w:szCs w:val="18"/>
                <w:i w:val="1"/>
                <w:iCs w:val="1"/>
                <w:color w:val="auto"/>
              </w:rPr>
              <w:t>targeting BCMA and CD3</w:t>
            </w:r>
          </w:p>
        </w:tc>
        <w:tc>
          <w:tcPr>
            <w:tcW w:w="120" w:type="dxa"/>
            <w:vAlign w:val="bottom"/>
            <w:shd w:val="clear" w:color="auto" w:fill="CDEAFA"/>
          </w:tcPr>
          <w:p>
            <w:pPr>
              <w:spacing w:after="0"/>
              <w:rPr>
                <w:sz w:val="21"/>
                <w:szCs w:val="21"/>
                <w:color w:val="auto"/>
              </w:rPr>
            </w:pPr>
          </w:p>
        </w:tc>
        <w:tc>
          <w:tcPr>
            <w:tcW w:w="118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22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32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66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680" w:type="dxa"/>
            <w:vAlign w:val="bottom"/>
            <w:shd w:val="clear" w:color="auto" w:fill="CDEAFA"/>
          </w:tcPr>
          <w:p>
            <w:pPr>
              <w:spacing w:after="0"/>
              <w:rPr>
                <w:sz w:val="21"/>
                <w:szCs w:val="21"/>
                <w:color w:val="auto"/>
              </w:rPr>
            </w:pPr>
          </w:p>
        </w:tc>
      </w:tr>
      <w:tr>
        <w:trPr>
          <w:trHeight w:val="216"/>
        </w:trPr>
        <w:tc>
          <w:tcPr>
            <w:tcW w:w="2200" w:type="dxa"/>
            <w:vAlign w:val="bottom"/>
          </w:tcPr>
          <w:p>
            <w:pPr>
              <w:ind w:left="40"/>
              <w:spacing w:after="0" w:line="216" w:lineRule="exact"/>
              <w:rPr>
                <w:sz w:val="20"/>
                <w:szCs w:val="20"/>
                <w:color w:val="auto"/>
              </w:rPr>
            </w:pPr>
            <w:r>
              <w:rPr>
                <w:rFonts w:ascii="Arial" w:cs="Arial" w:eastAsia="Arial" w:hAnsi="Arial"/>
                <w:sz w:val="16"/>
                <w:szCs w:val="16"/>
                <w:b w:val="1"/>
                <w:bCs w:val="1"/>
                <w:color w:val="auto"/>
              </w:rPr>
              <w:t>Pozelimab</w:t>
            </w:r>
            <w:r>
              <w:rPr>
                <w:rFonts w:ascii="Arial" w:cs="Arial" w:eastAsia="Arial" w:hAnsi="Arial"/>
                <w:sz w:val="25"/>
                <w:szCs w:val="25"/>
                <w:b w:val="1"/>
                <w:bCs w:val="1"/>
                <w:color w:val="auto"/>
                <w:vertAlign w:val="superscript"/>
              </w:rPr>
              <w:t>(f)</w:t>
            </w:r>
            <w:r>
              <w:rPr>
                <w:rFonts w:ascii="Arial" w:cs="Arial" w:eastAsia="Arial" w:hAnsi="Arial"/>
                <w:sz w:val="16"/>
                <w:szCs w:val="16"/>
                <w:b w:val="1"/>
                <w:bCs w:val="1"/>
                <w:color w:val="auto"/>
              </w:rPr>
              <w:t xml:space="preserve"> (REGN3918)</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–CD55-deficient</w:t>
            </w:r>
          </w:p>
        </w:tc>
        <w:tc>
          <w:tcPr>
            <w:tcW w:w="1440" w:type="dxa"/>
            <w:vAlign w:val="bottom"/>
            <w:gridSpan w:val="2"/>
          </w:tcPr>
          <w:p>
            <w:pPr>
              <w:spacing w:after="0"/>
              <w:rPr>
                <w:sz w:val="20"/>
                <w:szCs w:val="20"/>
                <w:color w:val="auto"/>
              </w:rPr>
            </w:pPr>
            <w:r>
              <w:rPr>
                <w:rFonts w:ascii="Arial" w:cs="Arial" w:eastAsia="Arial" w:hAnsi="Arial"/>
                <w:sz w:val="18"/>
                <w:szCs w:val="18"/>
                <w:color w:val="auto"/>
              </w:rPr>
              <w:t>–Myasthenia</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–Submit BLA for</w:t>
            </w: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i w:val="1"/>
                <w:iCs w:val="1"/>
                <w:color w:val="auto"/>
              </w:rPr>
              <w:t>Antibody to C5; studied as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protein-losing</w:t>
            </w:r>
          </w:p>
        </w:tc>
        <w:tc>
          <w:tcPr>
            <w:tcW w:w="1440" w:type="dxa"/>
            <w:vAlign w:val="bottom"/>
            <w:gridSpan w:val="2"/>
          </w:tcPr>
          <w:p>
            <w:pPr>
              <w:spacing w:after="0"/>
              <w:rPr>
                <w:sz w:val="20"/>
                <w:szCs w:val="20"/>
                <w:color w:val="auto"/>
              </w:rPr>
            </w:pPr>
            <w:r>
              <w:rPr>
                <w:rFonts w:ascii="Arial" w:cs="Arial" w:eastAsia="Arial" w:hAnsi="Arial"/>
                <w:sz w:val="18"/>
                <w:szCs w:val="18"/>
                <w:color w:val="auto"/>
                <w:w w:val="97"/>
              </w:rPr>
              <w:t>gravis, cemdisiran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CD55-deficient</w:t>
            </w: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i w:val="1"/>
                <w:iCs w:val="1"/>
                <w:color w:val="auto"/>
              </w:rPr>
              <w:t>monotherapy and in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spacing w:after="0" w:line="216" w:lineRule="exact"/>
              <w:rPr>
                <w:sz w:val="20"/>
                <w:szCs w:val="20"/>
                <w:color w:val="auto"/>
              </w:rPr>
            </w:pPr>
            <w:r>
              <w:rPr>
                <w:rFonts w:ascii="Arial" w:cs="Arial" w:eastAsia="Arial" w:hAnsi="Arial"/>
                <w:sz w:val="16"/>
                <w:szCs w:val="16"/>
                <w:color w:val="auto"/>
              </w:rPr>
              <w:t>enteropathy</w:t>
            </w:r>
            <w:r>
              <w:rPr>
                <w:rFonts w:ascii="Arial" w:cs="Arial" w:eastAsia="Arial" w:hAnsi="Arial"/>
                <w:sz w:val="25"/>
                <w:szCs w:val="25"/>
                <w:color w:val="auto"/>
                <w:vertAlign w:val="superscript"/>
              </w:rPr>
              <w:t>(c)</w:t>
            </w:r>
            <w:r>
              <w:rPr>
                <w:rFonts w:ascii="Arial" w:cs="Arial" w:eastAsia="Arial" w:hAnsi="Arial"/>
                <w:sz w:val="16"/>
                <w:szCs w:val="16"/>
                <w:color w:val="auto"/>
              </w:rPr>
              <w:t>,   combination</w:t>
            </w:r>
            <w:r>
              <w:rPr>
                <w:rFonts w:ascii="Arial" w:cs="Arial" w:eastAsia="Arial" w:hAnsi="Arial"/>
                <w:sz w:val="25"/>
                <w:szCs w:val="25"/>
                <w:color w:val="auto"/>
                <w:vertAlign w:val="superscript"/>
              </w:rPr>
              <w:t>(n)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protein-losing</w:t>
            </w: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i w:val="1"/>
                <w:iCs w:val="1"/>
                <w:color w:val="auto"/>
              </w:rPr>
              <w:t>combination with</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monotherapy</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enteropathy,</w:t>
            </w: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i w:val="1"/>
                <w:iCs w:val="1"/>
                <w:color w:val="auto"/>
              </w:rPr>
              <w:t>cemdisiran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(potentially</w:t>
            </w:r>
          </w:p>
        </w:tc>
        <w:tc>
          <w:tcPr>
            <w:tcW w:w="1440" w:type="dxa"/>
            <w:vAlign w:val="bottom"/>
            <w:gridSpan w:val="2"/>
          </w:tcPr>
          <w:p>
            <w:pPr>
              <w:spacing w:after="0"/>
              <w:rPr>
                <w:sz w:val="20"/>
                <w:szCs w:val="20"/>
                <w:color w:val="auto"/>
              </w:rPr>
            </w:pPr>
            <w:r>
              <w:rPr>
                <w:rFonts w:ascii="Arial" w:cs="Arial" w:eastAsia="Arial" w:hAnsi="Arial"/>
                <w:sz w:val="18"/>
                <w:szCs w:val="18"/>
                <w:color w:val="auto"/>
              </w:rPr>
              <w:t>–Paroxysmal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5"/>
              </w:rPr>
              <w:t>monotherapy (second</w:t>
            </w:r>
          </w:p>
        </w:tc>
      </w:tr>
      <w:tr>
        <w:trPr>
          <w:trHeight w:val="256"/>
        </w:trPr>
        <w:tc>
          <w:tcPr>
            <w:tcW w:w="2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pivotal study)</w:t>
            </w:r>
          </w:p>
        </w:tc>
        <w:tc>
          <w:tcPr>
            <w:tcW w:w="1440" w:type="dxa"/>
            <w:vAlign w:val="bottom"/>
            <w:gridSpan w:val="2"/>
          </w:tcPr>
          <w:p>
            <w:pPr>
              <w:spacing w:after="0"/>
              <w:rPr>
                <w:sz w:val="20"/>
                <w:szCs w:val="20"/>
                <w:color w:val="auto"/>
              </w:rPr>
            </w:pPr>
            <w:r>
              <w:rPr>
                <w:rFonts w:ascii="Arial" w:cs="Arial" w:eastAsia="Arial" w:hAnsi="Arial"/>
                <w:sz w:val="18"/>
                <w:szCs w:val="18"/>
                <w:color w:val="auto"/>
              </w:rPr>
              <w:t>nocturnal</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half 2022)</w:t>
            </w: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hemoglobinuria</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(“PNH”),</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0"/>
        </w:trPr>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cemdisiran</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81"/>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line="280" w:lineRule="exact"/>
              <w:rPr>
                <w:sz w:val="20"/>
                <w:szCs w:val="20"/>
                <w:color w:val="auto"/>
              </w:rPr>
            </w:pPr>
            <w:r>
              <w:rPr>
                <w:rFonts w:ascii="Arial" w:cs="Arial" w:eastAsia="Arial" w:hAnsi="Arial"/>
                <w:sz w:val="18"/>
                <w:szCs w:val="18"/>
                <w:color w:val="auto"/>
                <w:w w:val="99"/>
              </w:rPr>
              <w:t>combination</w:t>
            </w:r>
            <w:r>
              <w:rPr>
                <w:rFonts w:ascii="Arial" w:cs="Arial" w:eastAsia="Arial" w:hAnsi="Arial"/>
                <w:sz w:val="29"/>
                <w:szCs w:val="29"/>
                <w:color w:val="auto"/>
                <w:w w:val="99"/>
                <w:vertAlign w:val="superscript"/>
              </w:rPr>
              <w:t>(c)(n)</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2200" w:type="dxa"/>
            <w:vAlign w:val="bottom"/>
            <w:shd w:val="clear" w:color="auto" w:fill="CDEAFA"/>
          </w:tcPr>
          <w:p>
            <w:pPr>
              <w:ind w:left="40"/>
              <w:spacing w:after="0" w:line="216" w:lineRule="exact"/>
              <w:rPr>
                <w:sz w:val="20"/>
                <w:szCs w:val="20"/>
                <w:color w:val="auto"/>
              </w:rPr>
            </w:pPr>
            <w:r>
              <w:rPr>
                <w:rFonts w:ascii="Arial" w:cs="Arial" w:eastAsia="Arial" w:hAnsi="Arial"/>
                <w:sz w:val="16"/>
                <w:szCs w:val="16"/>
                <w:b w:val="1"/>
                <w:bCs w:val="1"/>
                <w:color w:val="auto"/>
              </w:rPr>
              <w:t>Cemdisiran</w:t>
            </w:r>
            <w:r>
              <w:rPr>
                <w:rFonts w:ascii="Arial" w:cs="Arial" w:eastAsia="Arial" w:hAnsi="Arial"/>
                <w:sz w:val="25"/>
                <w:szCs w:val="25"/>
                <w:b w:val="1"/>
                <w:bCs w:val="1"/>
                <w:color w:val="auto"/>
                <w:vertAlign w:val="superscript"/>
              </w:rPr>
              <w:t>(n)</w:t>
            </w:r>
          </w:p>
        </w:tc>
        <w:tc>
          <w:tcPr>
            <w:tcW w:w="120" w:type="dxa"/>
            <w:vAlign w:val="bottom"/>
            <w:shd w:val="clear" w:color="auto" w:fill="CDEAFA"/>
          </w:tcPr>
          <w:p>
            <w:pPr>
              <w:spacing w:after="0"/>
              <w:rPr>
                <w:sz w:val="18"/>
                <w:szCs w:val="18"/>
                <w:color w:val="auto"/>
              </w:rPr>
            </w:pPr>
          </w:p>
        </w:tc>
        <w:tc>
          <w:tcPr>
            <w:tcW w:w="11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66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680" w:type="dxa"/>
            <w:vAlign w:val="bottom"/>
            <w:shd w:val="clear" w:color="auto" w:fill="CDEAFA"/>
          </w:tcPr>
          <w:p>
            <w:pPr>
              <w:spacing w:after="0"/>
              <w:rPr>
                <w:sz w:val="18"/>
                <w:szCs w:val="18"/>
                <w:color w:val="auto"/>
              </w:rPr>
            </w:pPr>
          </w:p>
        </w:tc>
      </w:tr>
      <w:tr>
        <w:trPr>
          <w:trHeight w:val="216"/>
        </w:trPr>
        <w:tc>
          <w:tcPr>
            <w:tcW w:w="2200" w:type="dxa"/>
            <w:vAlign w:val="bottom"/>
            <w:shd w:val="clear" w:color="auto" w:fill="CDEAFA"/>
          </w:tcPr>
          <w:p>
            <w:pPr>
              <w:ind w:left="40"/>
              <w:spacing w:after="0"/>
              <w:rPr>
                <w:sz w:val="20"/>
                <w:szCs w:val="20"/>
                <w:color w:val="auto"/>
              </w:rPr>
            </w:pPr>
            <w:r>
              <w:rPr>
                <w:rFonts w:ascii="Arial" w:cs="Arial" w:eastAsia="Arial" w:hAnsi="Arial"/>
                <w:sz w:val="18"/>
                <w:szCs w:val="18"/>
                <w:i w:val="1"/>
                <w:iCs w:val="1"/>
                <w:color w:val="auto"/>
              </w:rPr>
              <w:t>siRNA therapeutic</w:t>
            </w:r>
          </w:p>
        </w:tc>
        <w:tc>
          <w:tcPr>
            <w:tcW w:w="120" w:type="dxa"/>
            <w:vAlign w:val="bottom"/>
            <w:shd w:val="clear" w:color="auto" w:fill="CDEAFA"/>
          </w:tcPr>
          <w:p>
            <w:pPr>
              <w:spacing w:after="0"/>
              <w:rPr>
                <w:sz w:val="18"/>
                <w:szCs w:val="18"/>
                <w:color w:val="auto"/>
              </w:rPr>
            </w:pPr>
          </w:p>
        </w:tc>
        <w:tc>
          <w:tcPr>
            <w:tcW w:w="11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Immunoglobulin</w:t>
            </w: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66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680" w:type="dxa"/>
            <w:vAlign w:val="bottom"/>
            <w:shd w:val="clear" w:color="auto" w:fill="CDEAFA"/>
          </w:tcPr>
          <w:p>
            <w:pPr>
              <w:spacing w:after="0"/>
              <w:rPr>
                <w:sz w:val="18"/>
                <w:szCs w:val="18"/>
                <w:color w:val="auto"/>
              </w:rPr>
            </w:pPr>
          </w:p>
        </w:tc>
      </w:tr>
      <w:tr>
        <w:trPr>
          <w:trHeight w:val="284"/>
        </w:trPr>
        <w:tc>
          <w:tcPr>
            <w:tcW w:w="2200" w:type="dxa"/>
            <w:vAlign w:val="bottom"/>
            <w:shd w:val="clear" w:color="auto" w:fill="CDEAFA"/>
          </w:tcPr>
          <w:p>
            <w:pPr>
              <w:ind w:left="40"/>
              <w:spacing w:after="0"/>
              <w:rPr>
                <w:sz w:val="20"/>
                <w:szCs w:val="20"/>
                <w:color w:val="auto"/>
              </w:rPr>
            </w:pPr>
            <w:r>
              <w:rPr>
                <w:rFonts w:ascii="Arial" w:cs="Arial" w:eastAsia="Arial" w:hAnsi="Arial"/>
                <w:sz w:val="18"/>
                <w:szCs w:val="18"/>
                <w:i w:val="1"/>
                <w:iCs w:val="1"/>
                <w:color w:val="auto"/>
              </w:rPr>
              <w:t>targeting C5</w:t>
            </w:r>
          </w:p>
        </w:tc>
        <w:tc>
          <w:tcPr>
            <w:tcW w:w="120" w:type="dxa"/>
            <w:vAlign w:val="bottom"/>
            <w:shd w:val="clear" w:color="auto" w:fill="CDEAFA"/>
          </w:tcPr>
          <w:p>
            <w:pPr>
              <w:spacing w:after="0"/>
              <w:rPr>
                <w:sz w:val="24"/>
                <w:szCs w:val="24"/>
                <w:color w:val="auto"/>
              </w:rPr>
            </w:pPr>
          </w:p>
        </w:tc>
        <w:tc>
          <w:tcPr>
            <w:tcW w:w="1180" w:type="dxa"/>
            <w:vAlign w:val="bottom"/>
            <w:shd w:val="clear" w:color="auto" w:fill="CDEAFA"/>
          </w:tcPr>
          <w:p>
            <w:pPr>
              <w:spacing w:after="0"/>
              <w:rPr>
                <w:sz w:val="24"/>
                <w:szCs w:val="24"/>
                <w:color w:val="auto"/>
              </w:rPr>
            </w:pPr>
          </w:p>
        </w:tc>
        <w:tc>
          <w:tcPr>
            <w:tcW w:w="100" w:type="dxa"/>
            <w:vAlign w:val="bottom"/>
            <w:shd w:val="clear" w:color="auto" w:fill="CDEAFA"/>
          </w:tcPr>
          <w:p>
            <w:pPr>
              <w:spacing w:after="0"/>
              <w:rPr>
                <w:sz w:val="24"/>
                <w:szCs w:val="24"/>
                <w:color w:val="auto"/>
              </w:rPr>
            </w:pPr>
          </w:p>
        </w:tc>
        <w:tc>
          <w:tcPr>
            <w:tcW w:w="13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A nephropathy</w:t>
            </w:r>
          </w:p>
        </w:tc>
        <w:tc>
          <w:tcPr>
            <w:tcW w:w="1340" w:type="dxa"/>
            <w:vAlign w:val="bottom"/>
            <w:shd w:val="clear" w:color="auto" w:fill="CDEAFA"/>
          </w:tcPr>
          <w:p>
            <w:pPr>
              <w:spacing w:after="0"/>
              <w:rPr>
                <w:sz w:val="24"/>
                <w:szCs w:val="24"/>
                <w:color w:val="auto"/>
              </w:rPr>
            </w:pPr>
          </w:p>
        </w:tc>
        <w:tc>
          <w:tcPr>
            <w:tcW w:w="100" w:type="dxa"/>
            <w:vAlign w:val="bottom"/>
            <w:shd w:val="clear" w:color="auto" w:fill="CDEAFA"/>
          </w:tcPr>
          <w:p>
            <w:pPr>
              <w:spacing w:after="0"/>
              <w:rPr>
                <w:sz w:val="24"/>
                <w:szCs w:val="24"/>
                <w:color w:val="auto"/>
              </w:rPr>
            </w:pPr>
          </w:p>
        </w:tc>
        <w:tc>
          <w:tcPr>
            <w:tcW w:w="1320" w:type="dxa"/>
            <w:vAlign w:val="bottom"/>
            <w:shd w:val="clear" w:color="auto" w:fill="CDEAFA"/>
          </w:tcPr>
          <w:p>
            <w:pPr>
              <w:spacing w:after="0"/>
              <w:rPr>
                <w:sz w:val="24"/>
                <w:szCs w:val="24"/>
                <w:color w:val="auto"/>
              </w:rPr>
            </w:pPr>
          </w:p>
        </w:tc>
        <w:tc>
          <w:tcPr>
            <w:tcW w:w="120" w:type="dxa"/>
            <w:vAlign w:val="bottom"/>
            <w:shd w:val="clear" w:color="auto" w:fill="CDEAFA"/>
          </w:tcPr>
          <w:p>
            <w:pPr>
              <w:spacing w:after="0"/>
              <w:rPr>
                <w:sz w:val="24"/>
                <w:szCs w:val="24"/>
                <w:color w:val="auto"/>
              </w:rPr>
            </w:pPr>
          </w:p>
        </w:tc>
        <w:tc>
          <w:tcPr>
            <w:tcW w:w="1660" w:type="dxa"/>
            <w:vAlign w:val="bottom"/>
            <w:shd w:val="clear" w:color="auto" w:fill="CDEAFA"/>
          </w:tcPr>
          <w:p>
            <w:pPr>
              <w:spacing w:after="0"/>
              <w:rPr>
                <w:sz w:val="24"/>
                <w:szCs w:val="24"/>
                <w:color w:val="auto"/>
              </w:rPr>
            </w:pPr>
          </w:p>
        </w:tc>
        <w:tc>
          <w:tcPr>
            <w:tcW w:w="100" w:type="dxa"/>
            <w:vAlign w:val="bottom"/>
            <w:shd w:val="clear" w:color="auto" w:fill="CDEAFA"/>
          </w:tcPr>
          <w:p>
            <w:pPr>
              <w:spacing w:after="0"/>
              <w:rPr>
                <w:sz w:val="24"/>
                <w:szCs w:val="24"/>
                <w:color w:val="auto"/>
              </w:rPr>
            </w:pPr>
          </w:p>
        </w:tc>
        <w:tc>
          <w:tcPr>
            <w:tcW w:w="1680" w:type="dxa"/>
            <w:vAlign w:val="bottom"/>
            <w:shd w:val="clear" w:color="auto" w:fill="CDEAFA"/>
          </w:tcPr>
          <w:p>
            <w:pPr>
              <w:spacing w:after="0"/>
              <w:rPr>
                <w:sz w:val="24"/>
                <w:szCs w:val="24"/>
                <w:color w:val="auto"/>
              </w:rPr>
            </w:pPr>
          </w:p>
        </w:tc>
      </w:tr>
      <w:tr>
        <w:trPr>
          <w:trHeight w:val="215"/>
        </w:trPr>
        <w:tc>
          <w:tcPr>
            <w:tcW w:w="2200" w:type="dxa"/>
            <w:vAlign w:val="bottom"/>
          </w:tcPr>
          <w:p>
            <w:pPr>
              <w:ind w:left="40"/>
              <w:spacing w:after="0"/>
              <w:rPr>
                <w:sz w:val="20"/>
                <w:szCs w:val="20"/>
                <w:color w:val="auto"/>
              </w:rPr>
            </w:pPr>
            <w:r>
              <w:rPr>
                <w:rFonts w:ascii="Arial" w:cs="Arial" w:eastAsia="Arial" w:hAnsi="Arial"/>
                <w:sz w:val="18"/>
                <w:szCs w:val="18"/>
                <w:b w:val="1"/>
                <w:bCs w:val="1"/>
                <w:color w:val="auto"/>
              </w:rPr>
              <w:t>REGN7257</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i w:val="1"/>
                <w:iCs w:val="1"/>
                <w:color w:val="auto"/>
              </w:rPr>
              <w:t>Antibody to IL2Rg</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w w:val="99"/>
              </w:rPr>
              <w:t>Aplastic anemia</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ind w:left="6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22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1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3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3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6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6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5"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80" w:type="dxa"/>
            <w:vAlign w:val="bottom"/>
            <w:gridSpan w:val="2"/>
          </w:tcPr>
          <w:p>
            <w:pPr>
              <w:ind w:left="460"/>
              <w:spacing w:after="0"/>
              <w:rPr>
                <w:sz w:val="20"/>
                <w:szCs w:val="20"/>
                <w:color w:val="auto"/>
              </w:rPr>
            </w:pPr>
            <w:r>
              <w:rPr>
                <w:rFonts w:ascii="Arial" w:cs="Arial" w:eastAsia="Arial" w:hAnsi="Arial"/>
                <w:sz w:val="18"/>
                <w:szCs w:val="18"/>
                <w:b w:val="1"/>
                <w:bCs w:val="1"/>
                <w:color w:val="auto"/>
              </w:rPr>
              <w:t>Clinical Program</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780" w:type="dxa"/>
            <w:vAlign w:val="bottom"/>
            <w:gridSpan w:val="2"/>
          </w:tcPr>
          <w:p>
            <w:pPr>
              <w:ind w:left="300"/>
              <w:spacing w:after="0"/>
              <w:rPr>
                <w:sz w:val="20"/>
                <w:szCs w:val="20"/>
                <w:color w:val="auto"/>
              </w:rPr>
            </w:pPr>
            <w:r>
              <w:rPr>
                <w:rFonts w:ascii="Arial" w:cs="Arial" w:eastAsia="Arial" w:hAnsi="Arial"/>
                <w:sz w:val="18"/>
                <w:szCs w:val="18"/>
                <w:b w:val="1"/>
                <w:bCs w:val="1"/>
                <w:color w:val="auto"/>
              </w:rPr>
              <w:t>2021 and 2022</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Select Upcoming</w:t>
            </w:r>
          </w:p>
        </w:tc>
      </w:tr>
      <w:tr>
        <w:trPr>
          <w:trHeight w:val="270"/>
        </w:trPr>
        <w:tc>
          <w:tcPr>
            <w:tcW w:w="2380" w:type="dxa"/>
            <w:vAlign w:val="bottom"/>
            <w:gridSpan w:val="2"/>
          </w:tcPr>
          <w:p>
            <w:pPr>
              <w:ind w:left="720"/>
              <w:spacing w:after="0"/>
              <w:rPr>
                <w:sz w:val="20"/>
                <w:szCs w:val="20"/>
                <w:color w:val="auto"/>
              </w:rPr>
            </w:pPr>
            <w:r>
              <w:rPr>
                <w:rFonts w:ascii="Arial" w:cs="Arial" w:eastAsia="Arial" w:hAnsi="Arial"/>
                <w:sz w:val="18"/>
                <w:szCs w:val="18"/>
                <w:b w:val="1"/>
                <w:bCs w:val="1"/>
                <w:i w:val="1"/>
                <w:iCs w:val="1"/>
                <w:color w:val="auto"/>
              </w:rPr>
              <w:t>(continued)</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Phase 1</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Phase 2</w:t>
            </w: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Phase 3</w:t>
            </w:r>
          </w:p>
        </w:tc>
        <w:tc>
          <w:tcPr>
            <w:tcW w:w="1440" w:type="dxa"/>
            <w:vAlign w:val="bottom"/>
            <w:gridSpan w:val="2"/>
          </w:tcPr>
          <w:p>
            <w:pPr>
              <w:jc w:val="center"/>
              <w:ind w:right="60"/>
              <w:spacing w:after="0" w:line="270"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9"/>
                <w:szCs w:val="29"/>
                <w:b w:val="1"/>
                <w:bCs w:val="1"/>
                <w:color w:val="auto"/>
                <w:w w:val="85"/>
                <w:vertAlign w:val="superscript"/>
              </w:rPr>
              <w:t>(h)</w:t>
            </w:r>
          </w:p>
        </w:tc>
        <w:tc>
          <w:tcPr>
            <w:tcW w:w="1780" w:type="dxa"/>
            <w:vAlign w:val="bottom"/>
            <w:gridSpan w:val="2"/>
          </w:tcPr>
          <w:p>
            <w:pPr>
              <w:ind w:left="300"/>
              <w:spacing w:after="0"/>
              <w:rPr>
                <w:sz w:val="20"/>
                <w:szCs w:val="20"/>
                <w:color w:val="auto"/>
              </w:rPr>
            </w:pPr>
            <w:r>
              <w:rPr>
                <w:rFonts w:ascii="Arial" w:cs="Arial" w:eastAsia="Arial" w:hAnsi="Arial"/>
                <w:sz w:val="18"/>
                <w:szCs w:val="18"/>
                <w:b w:val="1"/>
                <w:bCs w:val="1"/>
                <w:color w:val="auto"/>
              </w:rPr>
              <w:t>Events to Date</w:t>
            </w:r>
          </w:p>
        </w:tc>
        <w:tc>
          <w:tcPr>
            <w:tcW w:w="168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6"/>
              </w:rPr>
              <w:t>Milestones</w:t>
            </w:r>
            <w:r>
              <w:rPr>
                <w:rFonts w:ascii="Arial" w:cs="Arial" w:eastAsia="Arial" w:hAnsi="Arial"/>
                <w:sz w:val="29"/>
                <w:szCs w:val="29"/>
                <w:b w:val="1"/>
                <w:bCs w:val="1"/>
                <w:color w:val="auto"/>
                <w:w w:val="86"/>
                <w:vertAlign w:val="superscript"/>
              </w:rPr>
              <w:t>(i)</w:t>
            </w:r>
          </w:p>
        </w:tc>
      </w:tr>
      <w:tr>
        <w:trPr>
          <w:trHeight w:val="209"/>
        </w:trPr>
        <w:tc>
          <w:tcPr>
            <w:tcW w:w="2260" w:type="dxa"/>
            <w:vAlign w:val="bottom"/>
            <w:tcBorders>
              <w:top w:val="single" w:sz="8" w:color="auto"/>
            </w:tcBorders>
            <w:shd w:val="clear" w:color="auto" w:fill="CDEAFA"/>
          </w:tcPr>
          <w:p>
            <w:pPr>
              <w:ind w:left="40"/>
              <w:spacing w:after="0" w:line="210" w:lineRule="exact"/>
              <w:rPr>
                <w:sz w:val="20"/>
                <w:szCs w:val="20"/>
                <w:color w:val="auto"/>
              </w:rPr>
            </w:pPr>
            <w:r>
              <w:rPr>
                <w:rFonts w:ascii="Arial" w:cs="Arial" w:eastAsia="Arial" w:hAnsi="Arial"/>
                <w:sz w:val="15"/>
                <w:szCs w:val="15"/>
                <w:b w:val="1"/>
                <w:bCs w:val="1"/>
                <w:color w:val="auto"/>
              </w:rPr>
              <w:t>NTLA-2001</w:t>
            </w:r>
            <w:r>
              <w:rPr>
                <w:rFonts w:ascii="Arial" w:cs="Arial" w:eastAsia="Arial" w:hAnsi="Arial"/>
                <w:sz w:val="24"/>
                <w:szCs w:val="24"/>
                <w:b w:val="1"/>
                <w:bCs w:val="1"/>
                <w:color w:val="auto"/>
                <w:vertAlign w:val="superscript"/>
              </w:rPr>
              <w:t>(m)</w:t>
            </w:r>
          </w:p>
        </w:tc>
        <w:tc>
          <w:tcPr>
            <w:tcW w:w="120" w:type="dxa"/>
            <w:vAlign w:val="bottom"/>
            <w:tcBorders>
              <w:top w:val="single" w:sz="8" w:color="CDEAFA"/>
            </w:tcBorders>
            <w:shd w:val="clear" w:color="auto" w:fill="CDEAFA"/>
          </w:tcPr>
          <w:p>
            <w:pPr>
              <w:spacing w:after="0"/>
              <w:rPr>
                <w:sz w:val="18"/>
                <w:szCs w:val="18"/>
                <w:color w:val="auto"/>
              </w:rPr>
            </w:pPr>
          </w:p>
        </w:tc>
        <w:tc>
          <w:tcPr>
            <w:tcW w:w="1140" w:type="dxa"/>
            <w:vAlign w:val="bottom"/>
            <w:tcBorders>
              <w:top w:val="single" w:sz="8" w:color="auto"/>
            </w:tcBorders>
            <w:shd w:val="clear" w:color="auto" w:fill="CDEAFA"/>
          </w:tcPr>
          <w:p>
            <w:pPr>
              <w:spacing w:after="0"/>
              <w:rPr>
                <w:sz w:val="20"/>
                <w:szCs w:val="20"/>
                <w:color w:val="auto"/>
              </w:rPr>
            </w:pPr>
            <w:r>
              <w:rPr>
                <w:rFonts w:ascii="Arial" w:cs="Arial" w:eastAsia="Arial" w:hAnsi="Arial"/>
                <w:sz w:val="18"/>
                <w:szCs w:val="18"/>
                <w:color w:val="auto"/>
                <w:w w:val="97"/>
              </w:rPr>
              <w:t>–Transthyretin</w:t>
            </w:r>
          </w:p>
        </w:tc>
        <w:tc>
          <w:tcPr>
            <w:tcW w:w="120" w:type="dxa"/>
            <w:vAlign w:val="bottom"/>
            <w:tcBorders>
              <w:top w:val="single" w:sz="8" w:color="CDEAFA"/>
            </w:tcBorders>
            <w:shd w:val="clear" w:color="auto" w:fill="CDEAFA"/>
          </w:tcPr>
          <w:p>
            <w:pPr>
              <w:spacing w:after="0"/>
              <w:rPr>
                <w:sz w:val="18"/>
                <w:szCs w:val="18"/>
                <w:color w:val="auto"/>
              </w:rPr>
            </w:pPr>
          </w:p>
        </w:tc>
        <w:tc>
          <w:tcPr>
            <w:tcW w:w="1140" w:type="dxa"/>
            <w:vAlign w:val="bottom"/>
            <w:tcBorders>
              <w:top w:val="single" w:sz="8" w:color="auto"/>
            </w:tcBorders>
            <w:shd w:val="clear" w:color="auto" w:fill="CDEAFA"/>
          </w:tcPr>
          <w:p>
            <w:pPr>
              <w:spacing w:after="0"/>
              <w:rPr>
                <w:sz w:val="18"/>
                <w:szCs w:val="18"/>
                <w:color w:val="auto"/>
              </w:rPr>
            </w:pPr>
          </w:p>
        </w:tc>
        <w:tc>
          <w:tcPr>
            <w:tcW w:w="120" w:type="dxa"/>
            <w:vAlign w:val="bottom"/>
            <w:tcBorders>
              <w:top w:val="single" w:sz="8" w:color="CDEAFA"/>
            </w:tcBorders>
            <w:shd w:val="clear" w:color="auto" w:fill="CDEAFA"/>
          </w:tcPr>
          <w:p>
            <w:pPr>
              <w:spacing w:after="0"/>
              <w:rPr>
                <w:sz w:val="18"/>
                <w:szCs w:val="18"/>
                <w:color w:val="auto"/>
              </w:rPr>
            </w:pPr>
          </w:p>
        </w:tc>
        <w:tc>
          <w:tcPr>
            <w:tcW w:w="1340" w:type="dxa"/>
            <w:vAlign w:val="bottom"/>
            <w:tcBorders>
              <w:top w:val="single" w:sz="8" w:color="auto"/>
            </w:tcBorders>
            <w:shd w:val="clear" w:color="auto" w:fill="CDEAFA"/>
          </w:tcPr>
          <w:p>
            <w:pPr>
              <w:spacing w:after="0"/>
              <w:rPr>
                <w:sz w:val="18"/>
                <w:szCs w:val="18"/>
                <w:color w:val="auto"/>
              </w:rPr>
            </w:pPr>
          </w:p>
        </w:tc>
        <w:tc>
          <w:tcPr>
            <w:tcW w:w="100" w:type="dxa"/>
            <w:vAlign w:val="bottom"/>
            <w:tcBorders>
              <w:top w:val="single" w:sz="8" w:color="CDEAFA"/>
            </w:tcBorders>
            <w:shd w:val="clear" w:color="auto" w:fill="CDEAFA"/>
          </w:tcPr>
          <w:p>
            <w:pPr>
              <w:spacing w:after="0"/>
              <w:rPr>
                <w:sz w:val="18"/>
                <w:szCs w:val="18"/>
                <w:color w:val="auto"/>
              </w:rPr>
            </w:pPr>
          </w:p>
        </w:tc>
        <w:tc>
          <w:tcPr>
            <w:tcW w:w="1340" w:type="dxa"/>
            <w:vAlign w:val="bottom"/>
            <w:tcBorders>
              <w:top w:val="single" w:sz="8" w:color="auto"/>
            </w:tcBorders>
            <w:shd w:val="clear" w:color="auto" w:fill="CDEAFA"/>
          </w:tcPr>
          <w:p>
            <w:pPr>
              <w:spacing w:after="0"/>
              <w:rPr>
                <w:sz w:val="18"/>
                <w:szCs w:val="18"/>
                <w:color w:val="auto"/>
              </w:rPr>
            </w:pPr>
          </w:p>
        </w:tc>
        <w:tc>
          <w:tcPr>
            <w:tcW w:w="100" w:type="dxa"/>
            <w:vAlign w:val="bottom"/>
            <w:tcBorders>
              <w:top w:val="single" w:sz="8" w:color="CDEAFA"/>
            </w:tcBorders>
            <w:shd w:val="clear" w:color="auto" w:fill="CDEAFA"/>
          </w:tcPr>
          <w:p>
            <w:pPr>
              <w:spacing w:after="0"/>
              <w:rPr>
                <w:sz w:val="18"/>
                <w:szCs w:val="18"/>
                <w:color w:val="auto"/>
              </w:rPr>
            </w:pPr>
          </w:p>
        </w:tc>
        <w:tc>
          <w:tcPr>
            <w:tcW w:w="1680" w:type="dxa"/>
            <w:vAlign w:val="bottom"/>
            <w:tcBorders>
              <w:top w:val="single" w:sz="8" w:color="auto"/>
            </w:tcBorders>
            <w:shd w:val="clear" w:color="auto" w:fill="CDEAFA"/>
          </w:tcPr>
          <w:p>
            <w:pPr>
              <w:spacing w:after="0"/>
              <w:rPr>
                <w:sz w:val="20"/>
                <w:szCs w:val="20"/>
                <w:color w:val="auto"/>
              </w:rPr>
            </w:pPr>
            <w:r>
              <w:rPr>
                <w:rFonts w:ascii="Arial" w:cs="Arial" w:eastAsia="Arial" w:hAnsi="Arial"/>
                <w:sz w:val="18"/>
                <w:szCs w:val="18"/>
                <w:color w:val="auto"/>
              </w:rPr>
              <w:t>–Reported positive</w:t>
            </w:r>
          </w:p>
        </w:tc>
        <w:tc>
          <w:tcPr>
            <w:tcW w:w="100" w:type="dxa"/>
            <w:vAlign w:val="bottom"/>
            <w:tcBorders>
              <w:top w:val="single" w:sz="8" w:color="CDEAFA"/>
            </w:tcBorders>
            <w:shd w:val="clear" w:color="auto" w:fill="CDEAFA"/>
          </w:tcPr>
          <w:p>
            <w:pPr>
              <w:spacing w:after="0"/>
              <w:rPr>
                <w:sz w:val="18"/>
                <w:szCs w:val="18"/>
                <w:color w:val="auto"/>
              </w:rPr>
            </w:pPr>
          </w:p>
        </w:tc>
        <w:tc>
          <w:tcPr>
            <w:tcW w:w="1680" w:type="dxa"/>
            <w:vAlign w:val="bottom"/>
            <w:tcBorders>
              <w:top w:val="single" w:sz="8" w:color="auto"/>
            </w:tcBorders>
            <w:shd w:val="clear" w:color="auto" w:fill="CDEAFA"/>
          </w:tcPr>
          <w:p>
            <w:pPr>
              <w:spacing w:after="0"/>
              <w:rPr>
                <w:sz w:val="18"/>
                <w:szCs w:val="18"/>
                <w:color w:val="auto"/>
              </w:rPr>
            </w:pPr>
          </w:p>
        </w:tc>
      </w:tr>
      <w:tr>
        <w:trPr>
          <w:trHeight w:val="216"/>
        </w:trPr>
        <w:tc>
          <w:tcPr>
            <w:tcW w:w="2380" w:type="dxa"/>
            <w:vAlign w:val="bottom"/>
            <w:gridSpan w:val="2"/>
            <w:shd w:val="clear" w:color="auto" w:fill="CDEAFA"/>
          </w:tcPr>
          <w:p>
            <w:pPr>
              <w:ind w:left="40"/>
              <w:spacing w:after="0"/>
              <w:rPr>
                <w:sz w:val="20"/>
                <w:szCs w:val="20"/>
                <w:color w:val="auto"/>
              </w:rPr>
            </w:pPr>
            <w:r>
              <w:rPr>
                <w:rFonts w:ascii="Arial" w:cs="Arial" w:eastAsia="Arial" w:hAnsi="Arial"/>
                <w:sz w:val="18"/>
                <w:szCs w:val="18"/>
                <w:i w:val="1"/>
                <w:iCs w:val="1"/>
                <w:color w:val="auto"/>
              </w:rPr>
              <w:t>TTR gene knockout using</w:t>
            </w:r>
          </w:p>
        </w:tc>
        <w:tc>
          <w:tcPr>
            <w:tcW w:w="126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amyloidosis</w:t>
            </w: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7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interim data from</w:t>
            </w:r>
          </w:p>
        </w:tc>
        <w:tc>
          <w:tcPr>
            <w:tcW w:w="1680" w:type="dxa"/>
            <w:vAlign w:val="bottom"/>
            <w:shd w:val="clear" w:color="auto" w:fill="CDEAFA"/>
          </w:tcPr>
          <w:p>
            <w:pPr>
              <w:spacing w:after="0"/>
              <w:rPr>
                <w:sz w:val="18"/>
                <w:szCs w:val="18"/>
                <w:color w:val="auto"/>
              </w:rPr>
            </w:pPr>
          </w:p>
        </w:tc>
      </w:tr>
      <w:tr>
        <w:trPr>
          <w:trHeight w:val="216"/>
        </w:trPr>
        <w:tc>
          <w:tcPr>
            <w:tcW w:w="2380" w:type="dxa"/>
            <w:vAlign w:val="bottom"/>
            <w:gridSpan w:val="2"/>
            <w:shd w:val="clear" w:color="auto" w:fill="CDEAFA"/>
          </w:tcPr>
          <w:p>
            <w:pPr>
              <w:ind w:left="40"/>
              <w:spacing w:after="0"/>
              <w:rPr>
                <w:sz w:val="20"/>
                <w:szCs w:val="20"/>
                <w:color w:val="auto"/>
              </w:rPr>
            </w:pPr>
            <w:r>
              <w:rPr>
                <w:rFonts w:ascii="Arial" w:cs="Arial" w:eastAsia="Arial" w:hAnsi="Arial"/>
                <w:sz w:val="18"/>
                <w:szCs w:val="18"/>
                <w:i w:val="1"/>
                <w:iCs w:val="1"/>
                <w:color w:val="auto"/>
              </w:rPr>
              <w:t>CRISPR/Cas9</w:t>
            </w:r>
          </w:p>
        </w:tc>
        <w:tc>
          <w:tcPr>
            <w:tcW w:w="1260" w:type="dxa"/>
            <w:vAlign w:val="bottom"/>
            <w:gridSpan w:val="2"/>
            <w:shd w:val="clear" w:color="auto" w:fill="CDEAFA"/>
          </w:tcPr>
          <w:p>
            <w:pPr>
              <w:spacing w:after="0" w:line="216" w:lineRule="exact"/>
              <w:rPr>
                <w:sz w:val="20"/>
                <w:szCs w:val="20"/>
                <w:color w:val="auto"/>
              </w:rPr>
            </w:pPr>
            <w:r>
              <w:rPr>
                <w:rFonts w:ascii="Arial" w:cs="Arial" w:eastAsia="Arial" w:hAnsi="Arial"/>
                <w:sz w:val="16"/>
                <w:szCs w:val="16"/>
                <w:color w:val="auto"/>
              </w:rPr>
              <w:t>(“ATTR”)</w:t>
            </w:r>
            <w:r>
              <w:rPr>
                <w:rFonts w:ascii="Arial" w:cs="Arial" w:eastAsia="Arial" w:hAnsi="Arial"/>
                <w:sz w:val="25"/>
                <w:szCs w:val="25"/>
                <w:color w:val="auto"/>
                <w:vertAlign w:val="superscript"/>
              </w:rPr>
              <w:t>(c)</w:t>
            </w: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7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Phase 1 trial in</w:t>
            </w:r>
          </w:p>
        </w:tc>
        <w:tc>
          <w:tcPr>
            <w:tcW w:w="1680" w:type="dxa"/>
            <w:vAlign w:val="bottom"/>
            <w:shd w:val="clear" w:color="auto" w:fill="CDEAFA"/>
          </w:tcPr>
          <w:p>
            <w:pPr>
              <w:spacing w:after="0"/>
              <w:rPr>
                <w:sz w:val="18"/>
                <w:szCs w:val="18"/>
                <w:color w:val="auto"/>
              </w:rPr>
            </w:pPr>
          </w:p>
        </w:tc>
      </w:tr>
      <w:tr>
        <w:trPr>
          <w:trHeight w:val="215"/>
        </w:trPr>
        <w:tc>
          <w:tcPr>
            <w:tcW w:w="22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7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hereditary</w:t>
            </w:r>
          </w:p>
        </w:tc>
        <w:tc>
          <w:tcPr>
            <w:tcW w:w="1680" w:type="dxa"/>
            <w:vAlign w:val="bottom"/>
            <w:shd w:val="clear" w:color="auto" w:fill="CDEAFA"/>
          </w:tcPr>
          <w:p>
            <w:pPr>
              <w:spacing w:after="0"/>
              <w:rPr>
                <w:sz w:val="18"/>
                <w:szCs w:val="18"/>
                <w:color w:val="auto"/>
              </w:rPr>
            </w:pPr>
          </w:p>
        </w:tc>
      </w:tr>
      <w:tr>
        <w:trPr>
          <w:trHeight w:val="216"/>
        </w:trPr>
        <w:tc>
          <w:tcPr>
            <w:tcW w:w="22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7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transthyretin</w:t>
            </w:r>
          </w:p>
        </w:tc>
        <w:tc>
          <w:tcPr>
            <w:tcW w:w="1680" w:type="dxa"/>
            <w:vAlign w:val="bottom"/>
            <w:shd w:val="clear" w:color="auto" w:fill="CDEAFA"/>
          </w:tcPr>
          <w:p>
            <w:pPr>
              <w:spacing w:after="0"/>
              <w:rPr>
                <w:sz w:val="18"/>
                <w:szCs w:val="18"/>
                <w:color w:val="auto"/>
              </w:rPr>
            </w:pPr>
          </w:p>
        </w:tc>
      </w:tr>
      <w:tr>
        <w:trPr>
          <w:trHeight w:val="216"/>
        </w:trPr>
        <w:tc>
          <w:tcPr>
            <w:tcW w:w="22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1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7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amyloidosis with</w:t>
            </w:r>
          </w:p>
        </w:tc>
        <w:tc>
          <w:tcPr>
            <w:tcW w:w="1680" w:type="dxa"/>
            <w:vAlign w:val="bottom"/>
            <w:shd w:val="clear" w:color="auto" w:fill="CDEAFA"/>
          </w:tcPr>
          <w:p>
            <w:pPr>
              <w:spacing w:after="0"/>
              <w:rPr>
                <w:sz w:val="18"/>
                <w:szCs w:val="18"/>
                <w:color w:val="auto"/>
              </w:rPr>
            </w:pPr>
          </w:p>
        </w:tc>
      </w:tr>
      <w:tr>
        <w:trPr>
          <w:trHeight w:val="244"/>
        </w:trPr>
        <w:tc>
          <w:tcPr>
            <w:tcW w:w="226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14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14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7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polyneuropathy</w:t>
            </w:r>
          </w:p>
        </w:tc>
        <w:tc>
          <w:tcPr>
            <w:tcW w:w="1680" w:type="dxa"/>
            <w:vAlign w:val="bottom"/>
            <w:shd w:val="clear" w:color="auto" w:fill="CDEAFA"/>
          </w:tcPr>
          <w:p>
            <w:pPr>
              <w:spacing w:after="0"/>
              <w:rPr>
                <w:sz w:val="21"/>
                <w:szCs w:val="21"/>
                <w:color w:val="auto"/>
              </w:rPr>
            </w:pPr>
          </w:p>
        </w:tc>
      </w:tr>
      <w:tr>
        <w:trPr>
          <w:trHeight w:val="215"/>
        </w:trPr>
        <w:tc>
          <w:tcPr>
            <w:tcW w:w="2380" w:type="dxa"/>
            <w:vAlign w:val="bottom"/>
            <w:gridSpan w:val="2"/>
          </w:tcPr>
          <w:p>
            <w:pPr>
              <w:ind w:left="40"/>
              <w:spacing w:after="0"/>
              <w:rPr>
                <w:sz w:val="20"/>
                <w:szCs w:val="20"/>
                <w:color w:val="auto"/>
              </w:rPr>
            </w:pPr>
            <w:r>
              <w:rPr>
                <w:rFonts w:ascii="Arial" w:cs="Arial" w:eastAsia="Arial" w:hAnsi="Arial"/>
                <w:sz w:val="18"/>
                <w:szCs w:val="18"/>
                <w:b w:val="1"/>
                <w:bCs w:val="1"/>
                <w:color w:val="auto"/>
              </w:rPr>
              <w:t>REGN9933</w:t>
            </w:r>
          </w:p>
        </w:tc>
        <w:tc>
          <w:tcPr>
            <w:tcW w:w="1260" w:type="dxa"/>
            <w:vAlign w:val="bottom"/>
            <w:gridSpan w:val="2"/>
          </w:tcPr>
          <w:p>
            <w:pPr>
              <w:spacing w:after="0"/>
              <w:rPr>
                <w:sz w:val="20"/>
                <w:szCs w:val="20"/>
                <w:color w:val="auto"/>
              </w:rPr>
            </w:pPr>
            <w:r>
              <w:rPr>
                <w:rFonts w:ascii="Arial" w:cs="Arial" w:eastAsia="Arial" w:hAnsi="Arial"/>
                <w:sz w:val="18"/>
                <w:szCs w:val="18"/>
                <w:color w:val="auto"/>
              </w:rPr>
              <w:t>–Thrombosis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rPr>
              <w:t>Antibody to Factor XI</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35"/>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243"/>
        </w:trPr>
        <w:tc>
          <w:tcPr>
            <w:tcW w:w="226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14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14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440" w:type="dxa"/>
            <w:vAlign w:val="bottom"/>
            <w:gridSpan w:val="2"/>
            <w:shd w:val="clear" w:color="auto" w:fill="ACACAC"/>
          </w:tcPr>
          <w:p>
            <w:pPr>
              <w:ind w:left="60"/>
              <w:spacing w:after="0"/>
              <w:rPr>
                <w:sz w:val="20"/>
                <w:szCs w:val="20"/>
                <w:color w:val="auto"/>
              </w:rPr>
            </w:pPr>
            <w:r>
              <w:rPr>
                <w:rFonts w:ascii="Arial" w:cs="Arial" w:eastAsia="Arial" w:hAnsi="Arial"/>
                <w:sz w:val="18"/>
                <w:szCs w:val="18"/>
                <w:b w:val="1"/>
                <w:bCs w:val="1"/>
                <w:color w:val="auto"/>
                <w:w w:val="91"/>
              </w:rPr>
              <w:t>General Medicine</w:t>
            </w:r>
          </w:p>
        </w:tc>
        <w:tc>
          <w:tcPr>
            <w:tcW w:w="1340" w:type="dxa"/>
            <w:vAlign w:val="bottom"/>
            <w:shd w:val="clear" w:color="auto" w:fill="ACACAC"/>
          </w:tcPr>
          <w:p>
            <w:pPr>
              <w:spacing w:after="0"/>
              <w:rPr>
                <w:sz w:val="21"/>
                <w:szCs w:val="21"/>
                <w:color w:val="auto"/>
              </w:rPr>
            </w:pPr>
          </w:p>
        </w:tc>
        <w:tc>
          <w:tcPr>
            <w:tcW w:w="100" w:type="dxa"/>
            <w:vAlign w:val="bottom"/>
            <w:shd w:val="clear" w:color="auto" w:fill="ACACAC"/>
          </w:tcPr>
          <w:p>
            <w:pPr>
              <w:spacing w:after="0"/>
              <w:rPr>
                <w:sz w:val="21"/>
                <w:szCs w:val="21"/>
                <w:color w:val="auto"/>
              </w:rPr>
            </w:pPr>
          </w:p>
        </w:tc>
        <w:tc>
          <w:tcPr>
            <w:tcW w:w="1680" w:type="dxa"/>
            <w:vAlign w:val="bottom"/>
            <w:shd w:val="clear" w:color="auto" w:fill="ACACAC"/>
          </w:tcPr>
          <w:p>
            <w:pPr>
              <w:spacing w:after="0"/>
              <w:rPr>
                <w:sz w:val="21"/>
                <w:szCs w:val="21"/>
                <w:color w:val="auto"/>
              </w:rPr>
            </w:pPr>
          </w:p>
        </w:tc>
        <w:tc>
          <w:tcPr>
            <w:tcW w:w="100" w:type="dxa"/>
            <w:vAlign w:val="bottom"/>
            <w:shd w:val="clear" w:color="auto" w:fill="ACACAC"/>
          </w:tcPr>
          <w:p>
            <w:pPr>
              <w:spacing w:after="0"/>
              <w:rPr>
                <w:sz w:val="21"/>
                <w:szCs w:val="21"/>
                <w:color w:val="auto"/>
              </w:rPr>
            </w:pPr>
          </w:p>
        </w:tc>
        <w:tc>
          <w:tcPr>
            <w:tcW w:w="1680" w:type="dxa"/>
            <w:vAlign w:val="bottom"/>
            <w:shd w:val="clear" w:color="auto" w:fill="ACACAC"/>
          </w:tcPr>
          <w:p>
            <w:pPr>
              <w:spacing w:after="0"/>
              <w:rPr>
                <w:sz w:val="21"/>
                <w:szCs w:val="21"/>
                <w:color w:val="auto"/>
              </w:rPr>
            </w:pPr>
          </w:p>
        </w:tc>
      </w:tr>
    </w:tbl>
    <w:p>
      <w:pPr>
        <w:spacing w:after="0" w:line="90" w:lineRule="exact"/>
        <w:rPr>
          <w:sz w:val="20"/>
          <w:szCs w:val="20"/>
          <w:color w:val="auto"/>
        </w:rPr>
      </w:pPr>
    </w:p>
    <w:p>
      <w:pPr>
        <w:sectPr>
          <w:pgSz w:w="11900" w:h="16838" w:orient="portrait"/>
          <w:cols w:equalWidth="0" w:num="1">
            <w:col w:w="11240"/>
          </w:cols>
          <w:pgMar w:left="320" w:top="405" w:right="33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REGEN-COV</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(casirivimab and</w:t>
      </w:r>
    </w:p>
    <w:p>
      <w:pPr>
        <w:ind w:left="40"/>
        <w:spacing w:after="0" w:line="192" w:lineRule="auto"/>
        <w:rPr>
          <w:sz w:val="20"/>
          <w:szCs w:val="20"/>
          <w:color w:val="auto"/>
        </w:rPr>
      </w:pPr>
      <w:r>
        <w:rPr>
          <w:rFonts w:ascii="Arial" w:cs="Arial" w:eastAsia="Arial" w:hAnsi="Arial"/>
          <w:sz w:val="18"/>
          <w:szCs w:val="18"/>
          <w:b w:val="1"/>
          <w:bCs w:val="1"/>
          <w:color w:val="auto"/>
        </w:rPr>
        <w:t>imdevimab)</w:t>
      </w:r>
      <w:r>
        <w:rPr>
          <w:rFonts w:ascii="Arial" w:cs="Arial" w:eastAsia="Arial" w:hAnsi="Arial"/>
          <w:sz w:val="29"/>
          <w:szCs w:val="29"/>
          <w:b w:val="1"/>
          <w:bCs w:val="1"/>
          <w:color w:val="auto"/>
          <w:vertAlign w:val="superscript"/>
        </w:rPr>
        <w:t>(e)(k)(l)</w:t>
      </w:r>
    </w:p>
    <w:p>
      <w:pPr>
        <w:ind w:left="40"/>
        <w:spacing w:after="0"/>
        <w:rPr>
          <w:sz w:val="20"/>
          <w:szCs w:val="20"/>
          <w:color w:val="auto"/>
        </w:rPr>
      </w:pPr>
      <w:r>
        <w:rPr>
          <w:rFonts w:ascii="Arial" w:cs="Arial" w:eastAsia="Arial" w:hAnsi="Arial"/>
          <w:sz w:val="16"/>
          <w:szCs w:val="16"/>
          <w:i w:val="1"/>
          <w:iCs w:val="1"/>
          <w:color w:val="auto"/>
        </w:rPr>
        <w:t>Multi-antibody therapy to</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SARS-CoV-2 virus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–COVID-19</w:t>
            </w:r>
          </w:p>
        </w:tc>
        <w:tc>
          <w:tcPr>
            <w:tcW w:w="1660" w:type="dxa"/>
            <w:vAlign w:val="bottom"/>
          </w:tcPr>
          <w:p>
            <w:pPr>
              <w:ind w:left="280"/>
              <w:spacing w:after="0"/>
              <w:rPr>
                <w:sz w:val="20"/>
                <w:szCs w:val="20"/>
                <w:color w:val="auto"/>
              </w:rPr>
            </w:pPr>
            <w:r>
              <w:rPr>
                <w:rFonts w:ascii="Arial" w:cs="Arial" w:eastAsia="Arial" w:hAnsi="Arial"/>
                <w:sz w:val="18"/>
                <w:szCs w:val="18"/>
                <w:color w:val="auto"/>
              </w:rPr>
              <w:t>–COVID-19</w:t>
            </w:r>
          </w:p>
        </w:tc>
        <w:tc>
          <w:tcPr>
            <w:tcW w:w="1780" w:type="dxa"/>
            <w:vAlign w:val="bottom"/>
          </w:tcPr>
          <w:p>
            <w:pPr>
              <w:ind w:left="60"/>
              <w:spacing w:after="0"/>
              <w:rPr>
                <w:sz w:val="20"/>
                <w:szCs w:val="20"/>
                <w:color w:val="auto"/>
              </w:rPr>
            </w:pPr>
            <w:r>
              <w:rPr>
                <w:rFonts w:ascii="Arial" w:cs="Arial" w:eastAsia="Arial" w:hAnsi="Arial"/>
                <w:sz w:val="18"/>
                <w:szCs w:val="18"/>
                <w:color w:val="auto"/>
                <w:w w:val="89"/>
              </w:rPr>
              <w:t>–Reported that Phase 3</w:t>
            </w:r>
          </w:p>
        </w:tc>
        <w:tc>
          <w:tcPr>
            <w:tcW w:w="1660" w:type="dxa"/>
            <w:vAlign w:val="bottom"/>
          </w:tcPr>
          <w:p>
            <w:pPr>
              <w:ind w:left="60"/>
              <w:spacing w:after="0"/>
              <w:rPr>
                <w:sz w:val="20"/>
                <w:szCs w:val="20"/>
                <w:color w:val="auto"/>
              </w:rPr>
            </w:pPr>
            <w:r>
              <w:rPr>
                <w:rFonts w:ascii="Arial" w:cs="Arial" w:eastAsia="Arial" w:hAnsi="Arial"/>
                <w:sz w:val="18"/>
                <w:szCs w:val="18"/>
                <w:color w:val="auto"/>
              </w:rPr>
              <w:t>–FDA decision on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treatment in</w:t>
            </w:r>
          </w:p>
        </w:tc>
        <w:tc>
          <w:tcPr>
            <w:tcW w:w="1660" w:type="dxa"/>
            <w:vAlign w:val="bottom"/>
          </w:tcPr>
          <w:p>
            <w:pPr>
              <w:ind w:left="280"/>
              <w:spacing w:after="0"/>
              <w:rPr>
                <w:sz w:val="20"/>
                <w:szCs w:val="20"/>
                <w:color w:val="auto"/>
              </w:rPr>
            </w:pPr>
            <w:r>
              <w:rPr>
                <w:rFonts w:ascii="Arial" w:cs="Arial" w:eastAsia="Arial" w:hAnsi="Arial"/>
                <w:sz w:val="18"/>
                <w:szCs w:val="18"/>
                <w:color w:val="auto"/>
              </w:rPr>
              <w:t>treatment and</w:t>
            </w:r>
          </w:p>
        </w:tc>
        <w:tc>
          <w:tcPr>
            <w:tcW w:w="1780" w:type="dxa"/>
            <w:vAlign w:val="bottom"/>
          </w:tcPr>
          <w:p>
            <w:pPr>
              <w:ind w:left="60"/>
              <w:spacing w:after="0"/>
              <w:rPr>
                <w:sz w:val="20"/>
                <w:szCs w:val="20"/>
                <w:color w:val="auto"/>
              </w:rPr>
            </w:pPr>
            <w:r>
              <w:rPr>
                <w:rFonts w:ascii="Arial" w:cs="Arial" w:eastAsia="Arial" w:hAnsi="Arial"/>
                <w:sz w:val="18"/>
                <w:szCs w:val="18"/>
                <w:color w:val="auto"/>
              </w:rPr>
              <w:t>trials in non-</w:t>
            </w:r>
          </w:p>
        </w:tc>
        <w:tc>
          <w:tcPr>
            <w:tcW w:w="1660" w:type="dxa"/>
            <w:vAlign w:val="bottom"/>
          </w:tcPr>
          <w:p>
            <w:pPr>
              <w:ind w:left="60"/>
              <w:spacing w:after="0"/>
              <w:rPr>
                <w:sz w:val="20"/>
                <w:szCs w:val="20"/>
                <w:color w:val="auto"/>
              </w:rPr>
            </w:pPr>
            <w:r>
              <w:rPr>
                <w:rFonts w:ascii="Arial" w:cs="Arial" w:eastAsia="Arial" w:hAnsi="Arial"/>
                <w:sz w:val="18"/>
                <w:szCs w:val="18"/>
                <w:color w:val="auto"/>
              </w:rPr>
              <w:t>BLA (target action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hospitalized</w:t>
            </w:r>
          </w:p>
        </w:tc>
        <w:tc>
          <w:tcPr>
            <w:tcW w:w="1660" w:type="dxa"/>
            <w:vAlign w:val="bottom"/>
          </w:tcPr>
          <w:p>
            <w:pPr>
              <w:ind w:left="280"/>
              <w:spacing w:after="0"/>
              <w:rPr>
                <w:sz w:val="20"/>
                <w:szCs w:val="20"/>
                <w:color w:val="auto"/>
              </w:rPr>
            </w:pPr>
            <w:r>
              <w:rPr>
                <w:rFonts w:ascii="Arial" w:cs="Arial" w:eastAsia="Arial" w:hAnsi="Arial"/>
                <w:sz w:val="18"/>
                <w:szCs w:val="18"/>
                <w:color w:val="auto"/>
                <w:w w:val="99"/>
              </w:rPr>
              <w:t>prevention (U.S.)</w:t>
            </w:r>
          </w:p>
        </w:tc>
        <w:tc>
          <w:tcPr>
            <w:tcW w:w="1780" w:type="dxa"/>
            <w:vAlign w:val="bottom"/>
          </w:tcPr>
          <w:p>
            <w:pPr>
              <w:ind w:left="60"/>
              <w:spacing w:after="0"/>
              <w:rPr>
                <w:sz w:val="20"/>
                <w:szCs w:val="20"/>
                <w:color w:val="auto"/>
              </w:rPr>
            </w:pPr>
            <w:r>
              <w:rPr>
                <w:rFonts w:ascii="Arial" w:cs="Arial" w:eastAsia="Arial" w:hAnsi="Arial"/>
                <w:sz w:val="18"/>
                <w:szCs w:val="18"/>
                <w:color w:val="auto"/>
              </w:rPr>
              <w:t>hospitalized COVID-</w:t>
            </w:r>
          </w:p>
        </w:tc>
        <w:tc>
          <w:tcPr>
            <w:tcW w:w="1660" w:type="dxa"/>
            <w:vAlign w:val="bottom"/>
          </w:tcPr>
          <w:p>
            <w:pPr>
              <w:ind w:left="60"/>
              <w:spacing w:after="0"/>
              <w:rPr>
                <w:sz w:val="20"/>
                <w:szCs w:val="20"/>
                <w:color w:val="auto"/>
              </w:rPr>
            </w:pPr>
            <w:r>
              <w:rPr>
                <w:rFonts w:ascii="Arial" w:cs="Arial" w:eastAsia="Arial" w:hAnsi="Arial"/>
                <w:sz w:val="18"/>
                <w:szCs w:val="18"/>
                <w:color w:val="auto"/>
              </w:rPr>
              <w:t>date of April 13,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patients</w:t>
            </w: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19 patients met</w:t>
            </w:r>
          </w:p>
        </w:tc>
        <w:tc>
          <w:tcPr>
            <w:tcW w:w="1660" w:type="dxa"/>
            <w:vAlign w:val="bottom"/>
          </w:tcPr>
          <w:p>
            <w:pPr>
              <w:ind w:left="60"/>
              <w:spacing w:after="0"/>
              <w:rPr>
                <w:sz w:val="20"/>
                <w:szCs w:val="20"/>
                <w:color w:val="auto"/>
              </w:rPr>
            </w:pPr>
            <w:r>
              <w:rPr>
                <w:rFonts w:ascii="Arial" w:cs="Arial" w:eastAsia="Arial" w:hAnsi="Arial"/>
                <w:sz w:val="18"/>
                <w:szCs w:val="18"/>
                <w:color w:val="auto"/>
                <w:w w:val="98"/>
              </w:rPr>
              <w:t>2022) for COVID-19</w:t>
            </w:r>
          </w:p>
        </w:tc>
      </w:tr>
      <w:tr>
        <w:trPr>
          <w:trHeight w:val="216"/>
        </w:trPr>
        <w:tc>
          <w:tcPr>
            <w:tcW w:w="1160" w:type="dxa"/>
            <w:vAlign w:val="bottom"/>
          </w:tcPr>
          <w:p>
            <w:pPr>
              <w:spacing w:after="0"/>
              <w:rPr>
                <w:sz w:val="18"/>
                <w:szCs w:val="18"/>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–EUA</w:t>
            </w:r>
          </w:p>
        </w:tc>
        <w:tc>
          <w:tcPr>
            <w:tcW w:w="1780" w:type="dxa"/>
            <w:vAlign w:val="bottom"/>
          </w:tcPr>
          <w:p>
            <w:pPr>
              <w:ind w:left="60"/>
              <w:spacing w:after="0"/>
              <w:rPr>
                <w:sz w:val="20"/>
                <w:szCs w:val="20"/>
                <w:color w:val="auto"/>
              </w:rPr>
            </w:pPr>
            <w:r>
              <w:rPr>
                <w:rFonts w:ascii="Arial" w:cs="Arial" w:eastAsia="Arial" w:hAnsi="Arial"/>
                <w:sz w:val="18"/>
                <w:szCs w:val="18"/>
                <w:color w:val="auto"/>
              </w:rPr>
              <w:t>primary and key</w:t>
            </w:r>
          </w:p>
        </w:tc>
        <w:tc>
          <w:tcPr>
            <w:tcW w:w="1660" w:type="dxa"/>
            <w:vAlign w:val="bottom"/>
          </w:tcPr>
          <w:p>
            <w:pPr>
              <w:ind w:left="60"/>
              <w:spacing w:after="0"/>
              <w:rPr>
                <w:sz w:val="20"/>
                <w:szCs w:val="20"/>
                <w:color w:val="auto"/>
              </w:rPr>
            </w:pPr>
            <w:r>
              <w:rPr>
                <w:rFonts w:ascii="Arial" w:cs="Arial" w:eastAsia="Arial" w:hAnsi="Arial"/>
                <w:sz w:val="18"/>
                <w:szCs w:val="18"/>
                <w:color w:val="auto"/>
              </w:rPr>
              <w:t>treatment of non-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–COVID-19</w:t>
            </w:r>
          </w:p>
        </w:tc>
        <w:tc>
          <w:tcPr>
            <w:tcW w:w="1660" w:type="dxa"/>
            <w:vAlign w:val="bottom"/>
          </w:tcPr>
          <w:p>
            <w:pPr>
              <w:ind w:left="280"/>
              <w:spacing w:after="0"/>
              <w:rPr>
                <w:sz w:val="20"/>
                <w:szCs w:val="20"/>
                <w:color w:val="auto"/>
              </w:rPr>
            </w:pPr>
            <w:r>
              <w:rPr>
                <w:rFonts w:ascii="Arial" w:cs="Arial" w:eastAsia="Arial" w:hAnsi="Arial"/>
                <w:sz w:val="18"/>
                <w:szCs w:val="18"/>
                <w:color w:val="auto"/>
                <w:w w:val="90"/>
              </w:rPr>
              <w:t>amendment to add</w:t>
            </w:r>
          </w:p>
        </w:tc>
        <w:tc>
          <w:tcPr>
            <w:tcW w:w="1780" w:type="dxa"/>
            <w:vAlign w:val="bottom"/>
          </w:tcPr>
          <w:p>
            <w:pPr>
              <w:ind w:left="60"/>
              <w:spacing w:after="0"/>
              <w:rPr>
                <w:sz w:val="20"/>
                <w:szCs w:val="20"/>
                <w:color w:val="auto"/>
              </w:rPr>
            </w:pPr>
            <w:r>
              <w:rPr>
                <w:rFonts w:ascii="Arial" w:cs="Arial" w:eastAsia="Arial" w:hAnsi="Arial"/>
                <w:sz w:val="18"/>
                <w:szCs w:val="18"/>
                <w:color w:val="auto"/>
              </w:rPr>
              <w:t>secondary endpoints</w:t>
            </w:r>
          </w:p>
        </w:tc>
        <w:tc>
          <w:tcPr>
            <w:tcW w:w="1660" w:type="dxa"/>
            <w:vAlign w:val="bottom"/>
          </w:tcPr>
          <w:p>
            <w:pPr>
              <w:ind w:left="60"/>
              <w:spacing w:after="0"/>
              <w:rPr>
                <w:sz w:val="20"/>
                <w:szCs w:val="20"/>
                <w:color w:val="auto"/>
              </w:rPr>
            </w:pPr>
            <w:r>
              <w:rPr>
                <w:rFonts w:ascii="Arial" w:cs="Arial" w:eastAsia="Arial" w:hAnsi="Arial"/>
                <w:sz w:val="18"/>
                <w:szCs w:val="18"/>
                <w:color w:val="auto"/>
                <w:w w:val="96"/>
              </w:rPr>
              <w:t>hospitalized patients</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prevention</w:t>
            </w:r>
          </w:p>
        </w:tc>
        <w:tc>
          <w:tcPr>
            <w:tcW w:w="1660" w:type="dxa"/>
            <w:vAlign w:val="bottom"/>
          </w:tcPr>
          <w:p>
            <w:pPr>
              <w:ind w:left="280"/>
              <w:spacing w:after="0"/>
              <w:rPr>
                <w:sz w:val="20"/>
                <w:szCs w:val="20"/>
                <w:color w:val="auto"/>
              </w:rPr>
            </w:pPr>
            <w:r>
              <w:rPr>
                <w:rFonts w:ascii="Arial" w:cs="Arial" w:eastAsia="Arial" w:hAnsi="Arial"/>
                <w:sz w:val="18"/>
                <w:szCs w:val="18"/>
                <w:color w:val="auto"/>
              </w:rPr>
              <w:t>COVID-19</w:t>
            </w:r>
          </w:p>
        </w:tc>
        <w:tc>
          <w:tcPr>
            <w:tcW w:w="1780" w:type="dxa"/>
            <w:vAlign w:val="bottom"/>
          </w:tcPr>
          <w:p>
            <w:pPr>
              <w:spacing w:after="0"/>
              <w:rPr>
                <w:sz w:val="18"/>
                <w:szCs w:val="18"/>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and prevention</w:t>
            </w:r>
          </w:p>
        </w:tc>
      </w:tr>
      <w:tr>
        <w:trPr>
          <w:trHeight w:val="216"/>
        </w:trPr>
        <w:tc>
          <w:tcPr>
            <w:tcW w:w="1160" w:type="dxa"/>
            <w:vAlign w:val="bottom"/>
          </w:tcPr>
          <w:p>
            <w:pPr>
              <w:spacing w:after="0"/>
              <w:rPr>
                <w:sz w:val="18"/>
                <w:szCs w:val="18"/>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treatment for</w:t>
            </w:r>
          </w:p>
        </w:tc>
        <w:tc>
          <w:tcPr>
            <w:tcW w:w="1780" w:type="dxa"/>
            <w:vAlign w:val="bottom"/>
          </w:tcPr>
          <w:p>
            <w:pPr>
              <w:ind w:left="60"/>
              <w:spacing w:after="0"/>
              <w:rPr>
                <w:sz w:val="20"/>
                <w:szCs w:val="20"/>
                <w:color w:val="auto"/>
              </w:rPr>
            </w:pPr>
            <w:r>
              <w:rPr>
                <w:rFonts w:ascii="Arial" w:cs="Arial" w:eastAsia="Arial" w:hAnsi="Arial"/>
                <w:sz w:val="18"/>
                <w:szCs w:val="18"/>
                <w:color w:val="auto"/>
                <w:w w:val="89"/>
              </w:rPr>
              <w:t>–Reported that Phase 3</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hospitalized</w:t>
            </w:r>
          </w:p>
        </w:tc>
        <w:tc>
          <w:tcPr>
            <w:tcW w:w="1780" w:type="dxa"/>
            <w:vAlign w:val="bottom"/>
          </w:tcPr>
          <w:p>
            <w:pPr>
              <w:ind w:left="60"/>
              <w:spacing w:after="0"/>
              <w:rPr>
                <w:sz w:val="20"/>
                <w:szCs w:val="20"/>
                <w:color w:val="auto"/>
              </w:rPr>
            </w:pPr>
            <w:r>
              <w:rPr>
                <w:rFonts w:ascii="Arial" w:cs="Arial" w:eastAsia="Arial" w:hAnsi="Arial"/>
                <w:sz w:val="18"/>
                <w:szCs w:val="18"/>
                <w:color w:val="auto"/>
              </w:rPr>
              <w:t>trial in hospitalized</w:t>
            </w:r>
          </w:p>
        </w:tc>
        <w:tc>
          <w:tcPr>
            <w:tcW w:w="1660" w:type="dxa"/>
            <w:vAlign w:val="bottom"/>
          </w:tcPr>
          <w:p>
            <w:pPr>
              <w:ind w:left="60"/>
              <w:spacing w:after="0"/>
              <w:rPr>
                <w:sz w:val="20"/>
                <w:szCs w:val="20"/>
                <w:color w:val="auto"/>
              </w:rPr>
            </w:pPr>
            <w:r>
              <w:rPr>
                <w:rFonts w:ascii="Arial" w:cs="Arial" w:eastAsia="Arial" w:hAnsi="Arial"/>
                <w:sz w:val="18"/>
                <w:szCs w:val="18"/>
                <w:color w:val="auto"/>
              </w:rPr>
              <w:t>–Submit sBLA and</w:t>
            </w:r>
          </w:p>
        </w:tc>
      </w:tr>
      <w:tr>
        <w:trPr>
          <w:trHeight w:val="216"/>
        </w:trPr>
        <w:tc>
          <w:tcPr>
            <w:tcW w:w="1160" w:type="dxa"/>
            <w:vAlign w:val="bottom"/>
          </w:tcPr>
          <w:p>
            <w:pPr>
              <w:spacing w:after="0"/>
              <w:rPr>
                <w:sz w:val="18"/>
                <w:szCs w:val="18"/>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patients and pre-</w:t>
            </w:r>
          </w:p>
        </w:tc>
        <w:tc>
          <w:tcPr>
            <w:tcW w:w="1780" w:type="dxa"/>
            <w:vAlign w:val="bottom"/>
          </w:tcPr>
          <w:p>
            <w:pPr>
              <w:ind w:left="60"/>
              <w:spacing w:after="0"/>
              <w:rPr>
                <w:sz w:val="20"/>
                <w:szCs w:val="20"/>
                <w:color w:val="auto"/>
              </w:rPr>
            </w:pPr>
            <w:r>
              <w:rPr>
                <w:rFonts w:ascii="Arial" w:cs="Arial" w:eastAsia="Arial" w:hAnsi="Arial"/>
                <w:sz w:val="18"/>
                <w:szCs w:val="18"/>
                <w:color w:val="auto"/>
              </w:rPr>
              <w:t>COVID-19 patients</w:t>
            </w:r>
          </w:p>
        </w:tc>
        <w:tc>
          <w:tcPr>
            <w:tcW w:w="1660" w:type="dxa"/>
            <w:vAlign w:val="bottom"/>
          </w:tcPr>
          <w:p>
            <w:pPr>
              <w:ind w:left="60"/>
              <w:spacing w:after="0"/>
              <w:rPr>
                <w:sz w:val="20"/>
                <w:szCs w:val="20"/>
                <w:color w:val="auto"/>
              </w:rPr>
            </w:pPr>
            <w:r>
              <w:rPr>
                <w:rFonts w:ascii="Arial" w:cs="Arial" w:eastAsia="Arial" w:hAnsi="Arial"/>
                <w:sz w:val="18"/>
                <w:szCs w:val="18"/>
                <w:color w:val="auto"/>
              </w:rPr>
              <w:t>Marketing</w:t>
            </w:r>
          </w:p>
        </w:tc>
      </w:tr>
      <w:tr>
        <w:trPr>
          <w:trHeight w:val="216"/>
        </w:trPr>
        <w:tc>
          <w:tcPr>
            <w:tcW w:w="1160" w:type="dxa"/>
            <w:vAlign w:val="bottom"/>
          </w:tcPr>
          <w:p>
            <w:pPr>
              <w:spacing w:after="0"/>
              <w:rPr>
                <w:sz w:val="18"/>
                <w:szCs w:val="18"/>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exposure</w:t>
            </w:r>
          </w:p>
        </w:tc>
        <w:tc>
          <w:tcPr>
            <w:tcW w:w="1780" w:type="dxa"/>
            <w:vAlign w:val="bottom"/>
          </w:tcPr>
          <w:p>
            <w:pPr>
              <w:ind w:left="60"/>
              <w:spacing w:after="0"/>
              <w:rPr>
                <w:sz w:val="20"/>
                <w:szCs w:val="20"/>
                <w:color w:val="auto"/>
              </w:rPr>
            </w:pPr>
            <w:r>
              <w:rPr>
                <w:rFonts w:ascii="Arial" w:cs="Arial" w:eastAsia="Arial" w:hAnsi="Arial"/>
                <w:sz w:val="18"/>
                <w:szCs w:val="18"/>
                <w:color w:val="auto"/>
              </w:rPr>
              <w:t>met its primary</w:t>
            </w:r>
          </w:p>
        </w:tc>
        <w:tc>
          <w:tcPr>
            <w:tcW w:w="1660" w:type="dxa"/>
            <w:vAlign w:val="bottom"/>
          </w:tcPr>
          <w:p>
            <w:pPr>
              <w:ind w:left="60"/>
              <w:spacing w:after="0"/>
              <w:rPr>
                <w:sz w:val="20"/>
                <w:szCs w:val="20"/>
                <w:color w:val="auto"/>
              </w:rPr>
            </w:pPr>
            <w:r>
              <w:rPr>
                <w:rFonts w:ascii="Arial" w:cs="Arial" w:eastAsia="Arial" w:hAnsi="Arial"/>
                <w:sz w:val="18"/>
                <w:szCs w:val="18"/>
                <w:color w:val="auto"/>
              </w:rPr>
              <w:t>Authorization</w:t>
            </w:r>
          </w:p>
        </w:tc>
      </w:tr>
      <w:tr>
        <w:trPr>
          <w:trHeight w:val="216"/>
        </w:trPr>
        <w:tc>
          <w:tcPr>
            <w:tcW w:w="1160" w:type="dxa"/>
            <w:vAlign w:val="bottom"/>
          </w:tcPr>
          <w:p>
            <w:pPr>
              <w:spacing w:after="0"/>
              <w:rPr>
                <w:sz w:val="18"/>
                <w:szCs w:val="18"/>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prophylaxis</w:t>
            </w:r>
          </w:p>
        </w:tc>
        <w:tc>
          <w:tcPr>
            <w:tcW w:w="1780" w:type="dxa"/>
            <w:vAlign w:val="bottom"/>
          </w:tcPr>
          <w:p>
            <w:pPr>
              <w:ind w:left="60"/>
              <w:spacing w:after="0"/>
              <w:rPr>
                <w:sz w:val="20"/>
                <w:szCs w:val="20"/>
                <w:color w:val="auto"/>
              </w:rPr>
            </w:pPr>
            <w:r>
              <w:rPr>
                <w:rFonts w:ascii="Arial" w:cs="Arial" w:eastAsia="Arial" w:hAnsi="Arial"/>
                <w:sz w:val="18"/>
                <w:szCs w:val="18"/>
                <w:color w:val="auto"/>
              </w:rPr>
              <w:t>endpoint</w:t>
            </w:r>
          </w:p>
        </w:tc>
        <w:tc>
          <w:tcPr>
            <w:tcW w:w="1660" w:type="dxa"/>
            <w:vAlign w:val="bottom"/>
          </w:tcPr>
          <w:p>
            <w:pPr>
              <w:ind w:left="60"/>
              <w:spacing w:after="0"/>
              <w:rPr>
                <w:sz w:val="20"/>
                <w:szCs w:val="20"/>
                <w:color w:val="auto"/>
              </w:rPr>
            </w:pPr>
            <w:r>
              <w:rPr>
                <w:rFonts w:ascii="Arial" w:cs="Arial" w:eastAsia="Arial" w:hAnsi="Arial"/>
                <w:sz w:val="18"/>
                <w:szCs w:val="18"/>
                <w:color w:val="auto"/>
              </w:rPr>
              <w:t>Application (“MAA”)</w:t>
            </w: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for COVID-19</w:t>
            </w: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–Positive results</w:t>
            </w:r>
          </w:p>
        </w:tc>
        <w:tc>
          <w:tcPr>
            <w:tcW w:w="1660" w:type="dxa"/>
            <w:vAlign w:val="bottom"/>
          </w:tcPr>
          <w:p>
            <w:pPr>
              <w:ind w:left="60"/>
              <w:spacing w:after="0"/>
              <w:rPr>
                <w:sz w:val="20"/>
                <w:szCs w:val="20"/>
                <w:color w:val="auto"/>
              </w:rPr>
            </w:pPr>
            <w:r>
              <w:rPr>
                <w:rFonts w:ascii="Arial" w:cs="Arial" w:eastAsia="Arial" w:hAnsi="Arial"/>
                <w:sz w:val="18"/>
                <w:szCs w:val="18"/>
                <w:color w:val="auto"/>
              </w:rPr>
              <w:t>treatment of</w:t>
            </w: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w w:val="94"/>
              </w:rPr>
              <w:t>reported from Phase 3</w:t>
            </w:r>
          </w:p>
        </w:tc>
        <w:tc>
          <w:tcPr>
            <w:tcW w:w="1660" w:type="dxa"/>
            <w:vAlign w:val="bottom"/>
          </w:tcPr>
          <w:p>
            <w:pPr>
              <w:ind w:left="60"/>
              <w:spacing w:after="0"/>
              <w:rPr>
                <w:sz w:val="20"/>
                <w:szCs w:val="20"/>
                <w:color w:val="auto"/>
              </w:rPr>
            </w:pPr>
            <w:r>
              <w:rPr>
                <w:rFonts w:ascii="Arial" w:cs="Arial" w:eastAsia="Arial" w:hAnsi="Arial"/>
                <w:sz w:val="18"/>
                <w:szCs w:val="18"/>
                <w:color w:val="auto"/>
                <w:w w:val="96"/>
              </w:rPr>
              <w:t>hospitalized patients</w:t>
            </w: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RECOVERY trial in</w:t>
            </w:r>
          </w:p>
        </w:tc>
        <w:tc>
          <w:tcPr>
            <w:tcW w:w="1660" w:type="dxa"/>
            <w:vAlign w:val="bottom"/>
          </w:tcPr>
          <w:p>
            <w:pPr>
              <w:ind w:left="60"/>
              <w:spacing w:after="0"/>
              <w:rPr>
                <w:sz w:val="20"/>
                <w:szCs w:val="20"/>
                <w:color w:val="auto"/>
              </w:rPr>
            </w:pPr>
            <w:r>
              <w:rPr>
                <w:rFonts w:ascii="Arial" w:cs="Arial" w:eastAsia="Arial" w:hAnsi="Arial"/>
                <w:sz w:val="18"/>
                <w:szCs w:val="18"/>
                <w:color w:val="auto"/>
              </w:rPr>
              <w:t>(first half 2022)</w:t>
            </w:r>
          </w:p>
        </w:tc>
      </w:tr>
      <w:tr>
        <w:trPr>
          <w:trHeight w:val="230"/>
        </w:trPr>
        <w:tc>
          <w:tcPr>
            <w:tcW w:w="1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hospitalized patients</w:t>
            </w:r>
          </w:p>
        </w:tc>
        <w:tc>
          <w:tcPr>
            <w:tcW w:w="1660" w:type="dxa"/>
            <w:vAlign w:val="bottom"/>
          </w:tcPr>
          <w:p>
            <w:pPr>
              <w:spacing w:after="0"/>
              <w:rPr>
                <w:sz w:val="20"/>
                <w:szCs w:val="20"/>
                <w:color w:val="auto"/>
              </w:rPr>
            </w:pPr>
          </w:p>
        </w:tc>
      </w:tr>
      <w:tr>
        <w:trPr>
          <w:trHeight w:val="418"/>
        </w:trPr>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–Reported that all</w:t>
            </w:r>
          </w:p>
        </w:tc>
        <w:tc>
          <w:tcPr>
            <w:tcW w:w="166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w w:val="88"/>
              </w:rPr>
              <w:t>tested doses in Phase 2</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w w:val="98"/>
              </w:rPr>
              <w:t>dose-ranging study in</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non-hospitalized</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patients met its</w:t>
            </w:r>
          </w:p>
        </w:tc>
        <w:tc>
          <w:tcPr>
            <w:tcW w:w="16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primary endpoint</w:t>
            </w:r>
          </w:p>
        </w:tc>
        <w:tc>
          <w:tcPr>
            <w:tcW w:w="1660" w:type="dxa"/>
            <w:vAlign w:val="bottom"/>
          </w:tcPr>
          <w:p>
            <w:pPr>
              <w:spacing w:after="0"/>
              <w:rPr>
                <w:sz w:val="20"/>
                <w:szCs w:val="20"/>
                <w:color w:val="auto"/>
              </w:rPr>
            </w:pPr>
          </w:p>
        </w:tc>
      </w:tr>
      <w:tr>
        <w:trPr>
          <w:trHeight w:val="418"/>
        </w:trPr>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–FDA updated EUA,</w:t>
            </w:r>
          </w:p>
        </w:tc>
        <w:tc>
          <w:tcPr>
            <w:tcW w:w="166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w w:val="93"/>
              </w:rPr>
              <w:t>lowering dose to 1,200</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mg, allowing for</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subcutaneous</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injections in certain</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w w:val="97"/>
              </w:rPr>
              <w:t>circumstances, and to</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w w:val="96"/>
              </w:rPr>
              <w:t>include post-exposure</w:t>
            </w:r>
          </w:p>
        </w:tc>
        <w:tc>
          <w:tcPr>
            <w:tcW w:w="16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prophylaxis</w:t>
            </w:r>
          </w:p>
        </w:tc>
        <w:tc>
          <w:tcPr>
            <w:tcW w:w="1660" w:type="dxa"/>
            <w:vAlign w:val="bottom"/>
          </w:tcPr>
          <w:p>
            <w:pPr>
              <w:spacing w:after="0"/>
              <w:rPr>
                <w:sz w:val="20"/>
                <w:szCs w:val="20"/>
                <w:color w:val="auto"/>
              </w:rPr>
            </w:pPr>
          </w:p>
        </w:tc>
      </w:tr>
      <w:tr>
        <w:trPr>
          <w:trHeight w:val="418"/>
        </w:trPr>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w w:val="99"/>
              </w:rPr>
              <w:t>–FDA revised EUA to</w:t>
            </w:r>
          </w:p>
        </w:tc>
        <w:tc>
          <w:tcPr>
            <w:tcW w:w="166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exclude use in</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geographic regions</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where infection or</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w w:val="98"/>
              </w:rPr>
              <w:t>exposure is likely due</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w w:val="98"/>
              </w:rPr>
              <w:t>to a variant that is not</w:t>
            </w:r>
          </w:p>
        </w:tc>
        <w:tc>
          <w:tcPr>
            <w:tcW w:w="16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susceptible to the</w:t>
            </w:r>
          </w:p>
        </w:tc>
        <w:tc>
          <w:tcPr>
            <w:tcW w:w="16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treatment</w:t>
            </w:r>
          </w:p>
        </w:tc>
        <w:tc>
          <w:tcPr>
            <w:tcW w:w="16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-5768340</wp:posOffset>
            </wp:positionV>
            <wp:extent cx="7132320" cy="5777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77786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4180" w:space="720"/>
            <w:col w:w="6340"/>
          </w:cols>
          <w:pgMar w:left="320" w:top="405"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21"/>
        </w:trPr>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Clinical Program</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Regulatory</w:t>
            </w:r>
          </w:p>
        </w:tc>
      </w:tr>
      <w:tr>
        <w:trPr>
          <w:trHeight w:val="270"/>
        </w:trPr>
        <w:tc>
          <w:tcPr>
            <w:tcW w:w="2380" w:type="dxa"/>
            <w:vAlign w:val="bottom"/>
            <w:gridSpan w:val="2"/>
          </w:tcPr>
          <w:p>
            <w:pPr>
              <w:jc w:val="center"/>
              <w:ind w:right="80"/>
              <w:spacing w:after="0"/>
              <w:rPr>
                <w:sz w:val="20"/>
                <w:szCs w:val="20"/>
                <w:color w:val="auto"/>
              </w:rPr>
            </w:pPr>
            <w:r>
              <w:rPr>
                <w:rFonts w:ascii="Arial" w:cs="Arial" w:eastAsia="Arial" w:hAnsi="Arial"/>
                <w:sz w:val="18"/>
                <w:szCs w:val="18"/>
                <w:b w:val="1"/>
                <w:bCs w:val="1"/>
                <w:i w:val="1"/>
                <w:iCs w:val="1"/>
                <w:color w:val="auto"/>
                <w:w w:val="87"/>
              </w:rPr>
              <w:t>(continued)</w:t>
            </w: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Phase 1</w:t>
            </w: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Phase 2</w:t>
            </w: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Phase 3</w:t>
            </w:r>
          </w:p>
        </w:tc>
        <w:tc>
          <w:tcPr>
            <w:tcW w:w="134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9"/>
                <w:szCs w:val="29"/>
                <w:b w:val="1"/>
                <w:bCs w:val="1"/>
                <w:color w:val="auto"/>
                <w:w w:val="85"/>
                <w:vertAlign w:val="superscript"/>
              </w:rPr>
              <w:t>(h)</w:t>
            </w:r>
          </w:p>
        </w:tc>
      </w:tr>
      <w:tr>
        <w:trPr>
          <w:trHeight w:val="205"/>
        </w:trPr>
        <w:tc>
          <w:tcPr>
            <w:tcW w:w="2260" w:type="dxa"/>
            <w:vAlign w:val="bottom"/>
            <w:tcBorders>
              <w:top w:val="single" w:sz="8" w:color="auto"/>
            </w:tcBorders>
          </w:tcPr>
          <w:p>
            <w:pPr>
              <w:ind w:left="40"/>
              <w:spacing w:after="0" w:line="205" w:lineRule="exact"/>
              <w:rPr>
                <w:sz w:val="20"/>
                <w:szCs w:val="20"/>
                <w:color w:val="auto"/>
              </w:rPr>
            </w:pPr>
            <w:r>
              <w:rPr>
                <w:rFonts w:ascii="Arial" w:cs="Arial" w:eastAsia="Arial" w:hAnsi="Arial"/>
                <w:sz w:val="18"/>
                <w:szCs w:val="18"/>
                <w:b w:val="1"/>
                <w:bCs w:val="1"/>
                <w:color w:val="auto"/>
              </w:rPr>
              <w:t>REGEN-COV</w:t>
            </w: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20"/>
        </w:trPr>
        <w:tc>
          <w:tcPr>
            <w:tcW w:w="23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(casirivimab and</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3"/>
        </w:trPr>
        <w:tc>
          <w:tcPr>
            <w:tcW w:w="2380" w:type="dxa"/>
            <w:vAlign w:val="bottom"/>
            <w:gridSpan w:val="2"/>
          </w:tcPr>
          <w:p>
            <w:pPr>
              <w:ind w:left="40"/>
              <w:spacing w:after="0" w:line="273" w:lineRule="exact"/>
              <w:rPr>
                <w:sz w:val="20"/>
                <w:szCs w:val="20"/>
                <w:color w:val="auto"/>
              </w:rPr>
            </w:pPr>
            <w:r>
              <w:rPr>
                <w:rFonts w:ascii="Arial" w:cs="Arial" w:eastAsia="Arial" w:hAnsi="Arial"/>
                <w:sz w:val="18"/>
                <w:szCs w:val="18"/>
                <w:b w:val="1"/>
                <w:bCs w:val="1"/>
                <w:color w:val="auto"/>
              </w:rPr>
              <w:t>imdevimab)</w:t>
            </w:r>
            <w:r>
              <w:rPr>
                <w:rFonts w:ascii="Arial" w:cs="Arial" w:eastAsia="Arial" w:hAnsi="Arial"/>
                <w:sz w:val="29"/>
                <w:szCs w:val="29"/>
                <w:b w:val="1"/>
                <w:bCs w:val="1"/>
                <w:color w:val="auto"/>
                <w:vertAlign w:val="superscript"/>
              </w:rPr>
              <w:t>(e)(k)(l)</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3317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3172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tabs>
          <w:tab w:leader="none" w:pos="4880" w:val="left"/>
        </w:tabs>
        <w:rPr>
          <w:sz w:val="20"/>
          <w:szCs w:val="20"/>
          <w:color w:val="auto"/>
        </w:rPr>
      </w:pPr>
      <w:r>
        <w:rPr>
          <w:rFonts w:ascii="Arial" w:cs="Arial" w:eastAsia="Arial" w:hAnsi="Arial"/>
          <w:sz w:val="18"/>
          <w:szCs w:val="18"/>
          <w:b w:val="1"/>
          <w:bCs w:val="1"/>
          <w:color w:val="auto"/>
        </w:rPr>
        <w:t>Praluent (alirocumab)</w:t>
      </w:r>
      <w:r>
        <w:rPr>
          <w:sz w:val="20"/>
          <w:szCs w:val="20"/>
          <w:color w:val="auto"/>
        </w:rPr>
        <w:tab/>
      </w:r>
      <w:r>
        <w:rPr>
          <w:rFonts w:ascii="Arial" w:cs="Arial" w:eastAsia="Arial" w:hAnsi="Arial"/>
          <w:sz w:val="16"/>
          <w:szCs w:val="16"/>
          <w:color w:val="auto"/>
        </w:rPr>
        <w:t>–HeFH in</w:t>
      </w:r>
    </w:p>
    <w:p>
      <w:pPr>
        <w:spacing w:after="0" w:line="27" w:lineRule="exact"/>
        <w:rPr>
          <w:sz w:val="20"/>
          <w:szCs w:val="20"/>
          <w:color w:val="auto"/>
        </w:rPr>
      </w:pPr>
    </w:p>
    <w:p>
      <w:pPr>
        <w:ind w:left="40"/>
        <w:spacing w:after="0"/>
        <w:tabs>
          <w:tab w:leader="none" w:pos="4880" w:val="left"/>
        </w:tabs>
        <w:rPr>
          <w:sz w:val="20"/>
          <w:szCs w:val="20"/>
          <w:color w:val="auto"/>
        </w:rPr>
      </w:pPr>
      <w:r>
        <w:rPr>
          <w:rFonts w:ascii="Arial" w:cs="Arial" w:eastAsia="Arial" w:hAnsi="Arial"/>
          <w:sz w:val="18"/>
          <w:szCs w:val="18"/>
          <w:i w:val="1"/>
          <w:iCs w:val="1"/>
          <w:color w:val="auto"/>
        </w:rPr>
        <w:t>Antibody to PCSK9</w:t>
      </w:r>
      <w:r>
        <w:rPr>
          <w:sz w:val="20"/>
          <w:szCs w:val="20"/>
          <w:color w:val="auto"/>
        </w:rPr>
        <w:tab/>
      </w:r>
      <w:r>
        <w:rPr>
          <w:rFonts w:ascii="Arial" w:cs="Arial" w:eastAsia="Arial" w:hAnsi="Arial"/>
          <w:sz w:val="16"/>
          <w:szCs w:val="16"/>
          <w:color w:val="auto"/>
        </w:rPr>
        <w:t>pediatrics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280" w:right="260" w:hanging="12"/>
        <w:spacing w:after="0" w:line="301" w:lineRule="auto"/>
        <w:rPr>
          <w:sz w:val="20"/>
          <w:szCs w:val="20"/>
          <w:color w:val="auto"/>
        </w:rPr>
      </w:pPr>
      <w:r>
        <w:rPr>
          <w:rFonts w:ascii="Arial" w:cs="Arial" w:eastAsia="Arial" w:hAnsi="Arial"/>
          <w:sz w:val="16"/>
          <w:szCs w:val="16"/>
          <w:b w:val="1"/>
          <w:bCs w:val="1"/>
          <w:color w:val="auto"/>
        </w:rPr>
        <w:t>2021 and 2022 Events to Date</w:t>
      </w:r>
    </w:p>
    <w:p>
      <w:pPr>
        <w:spacing w:after="0" w:line="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–Approved by EC for COVID-19 treatment of non-hospitalized patients and prevention and by Ministry of Health, Labour and Welfare (“MHLW”) for COVID-19 treatment in Japan</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–Reported that Phase 3 prevention trial in uninfected household contacts of SARS-CoV-2 infected individuals met its primary and key secondary endpoints</w:t>
      </w:r>
    </w:p>
    <w:p>
      <w:pPr>
        <w:spacing w:after="0" w:line="178"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–Reported positive longer-term results from Phase 3 prevention trial</w:t>
      </w:r>
    </w:p>
    <w:p>
      <w:pPr>
        <w:spacing w:after="0" w:line="2"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–Approved by FDA for HoFH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Select Upcoming</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Milestones</w:t>
      </w:r>
      <w:r>
        <w:rPr>
          <w:rFonts w:ascii="Arial" w:cs="Arial" w:eastAsia="Arial" w:hAnsi="Arial"/>
          <w:sz w:val="28"/>
          <w:szCs w:val="28"/>
          <w:b w:val="1"/>
          <w:bCs w:val="1"/>
          <w:color w:val="auto"/>
          <w:vertAlign w:val="superscript"/>
        </w:rPr>
        <w:t>(i)</w:t>
      </w:r>
    </w:p>
    <w:p>
      <w:pPr>
        <w:spacing w:after="0" w:line="5624" w:lineRule="exact"/>
        <w:rPr>
          <w:sz w:val="20"/>
          <w:szCs w:val="20"/>
          <w:color w:val="auto"/>
        </w:rPr>
      </w:pPr>
    </w:p>
    <w:p>
      <w:pPr>
        <w:sectPr>
          <w:pgSz w:w="11900" w:h="16838" w:orient="portrait"/>
          <w:cols w:equalWidth="0" w:num="3">
            <w:col w:w="7680" w:space="100"/>
            <w:col w:w="1660" w:space="280"/>
            <w:col w:w="1520"/>
          </w:cols>
          <w:pgMar w:left="320" w:top="405" w:right="339" w:bottom="1440" w:gutter="0" w:footer="0" w:header="0"/>
        </w:sectPr>
      </w:pPr>
    </w:p>
    <w:tbl>
      <w:tblPr>
        <w:tblLayout w:type="fixed"/>
        <w:tblInd w:w="0" w:type="dxa"/>
        <w:tblCellMar>
          <w:top w:w="0" w:type="dxa"/>
          <w:left w:w="0" w:type="dxa"/>
          <w:bottom w:w="0" w:type="dxa"/>
          <w:right w:w="0" w:type="dxa"/>
        </w:tblCellMar>
      </w:tblPr>
      <w:tr>
        <w:trPr>
          <w:trHeight w:val="210"/>
        </w:trPr>
        <w:tc>
          <w:tcPr>
            <w:tcW w:w="2160" w:type="dxa"/>
            <w:vAlign w:val="bottom"/>
            <w:shd w:val="clear" w:color="auto" w:fill="CDEAFA"/>
          </w:tcPr>
          <w:p>
            <w:pPr>
              <w:ind w:left="40"/>
              <w:spacing w:after="0" w:line="210" w:lineRule="exact"/>
              <w:rPr>
                <w:sz w:val="20"/>
                <w:szCs w:val="20"/>
                <w:color w:val="auto"/>
              </w:rPr>
            </w:pPr>
            <w:r>
              <w:rPr>
                <w:rFonts w:ascii="Arial" w:cs="Arial" w:eastAsia="Arial" w:hAnsi="Arial"/>
                <w:sz w:val="15"/>
                <w:szCs w:val="15"/>
                <w:b w:val="1"/>
                <w:bCs w:val="1"/>
                <w:color w:val="auto"/>
              </w:rPr>
              <w:t>Fasinumab</w:t>
            </w:r>
            <w:r>
              <w:rPr>
                <w:rFonts w:ascii="Arial" w:cs="Arial" w:eastAsia="Arial" w:hAnsi="Arial"/>
                <w:sz w:val="24"/>
                <w:szCs w:val="24"/>
                <w:b w:val="1"/>
                <w:bCs w:val="1"/>
                <w:color w:val="auto"/>
                <w:vertAlign w:val="superscript"/>
              </w:rPr>
              <w:t>(j)(f)</w:t>
            </w:r>
          </w:p>
        </w:tc>
        <w:tc>
          <w:tcPr>
            <w:tcW w:w="4760" w:type="dxa"/>
            <w:vAlign w:val="bottom"/>
            <w:shd w:val="clear" w:color="auto" w:fill="CDEAFA"/>
          </w:tcPr>
          <w:p>
            <w:pPr>
              <w:ind w:left="2740"/>
              <w:spacing w:after="0"/>
              <w:rPr>
                <w:sz w:val="20"/>
                <w:szCs w:val="20"/>
                <w:color w:val="auto"/>
              </w:rPr>
            </w:pPr>
            <w:r>
              <w:rPr>
                <w:rFonts w:ascii="Arial" w:cs="Arial" w:eastAsia="Arial" w:hAnsi="Arial"/>
                <w:sz w:val="18"/>
                <w:szCs w:val="18"/>
                <w:color w:val="auto"/>
              </w:rPr>
              <w:t>–Osteoarthritis</w:t>
            </w:r>
          </w:p>
        </w:tc>
        <w:tc>
          <w:tcPr>
            <w:tcW w:w="4320" w:type="dxa"/>
            <w:vAlign w:val="bottom"/>
            <w:shd w:val="clear" w:color="auto" w:fill="CDEAFA"/>
          </w:tcPr>
          <w:p>
            <w:pPr>
              <w:ind w:left="2640"/>
              <w:spacing w:after="0"/>
              <w:rPr>
                <w:sz w:val="20"/>
                <w:szCs w:val="20"/>
                <w:color w:val="auto"/>
              </w:rPr>
            </w:pPr>
            <w:r>
              <w:rPr>
                <w:rFonts w:ascii="Arial" w:cs="Arial" w:eastAsia="Arial" w:hAnsi="Arial"/>
                <w:sz w:val="18"/>
                <w:szCs w:val="18"/>
                <w:color w:val="auto"/>
                <w:w w:val="92"/>
              </w:rPr>
              <w:t>–Continue discussions</w:t>
            </w:r>
          </w:p>
        </w:tc>
        <w:tc>
          <w:tcPr>
            <w:tcW w:w="0" w:type="dxa"/>
            <w:vAlign w:val="bottom"/>
          </w:tcPr>
          <w:p>
            <w:pPr>
              <w:spacing w:after="0"/>
              <w:rPr>
                <w:sz w:val="1"/>
                <w:szCs w:val="1"/>
                <w:color w:val="auto"/>
              </w:rPr>
            </w:pPr>
          </w:p>
        </w:tc>
      </w:tr>
      <w:tr>
        <w:trPr>
          <w:trHeight w:val="216"/>
        </w:trPr>
        <w:tc>
          <w:tcPr>
            <w:tcW w:w="2160" w:type="dxa"/>
            <w:vAlign w:val="bottom"/>
            <w:shd w:val="clear" w:color="auto" w:fill="CDEAFA"/>
          </w:tcPr>
          <w:p>
            <w:pPr>
              <w:ind w:left="40"/>
              <w:spacing w:after="0"/>
              <w:rPr>
                <w:sz w:val="20"/>
                <w:szCs w:val="20"/>
                <w:color w:val="auto"/>
              </w:rPr>
            </w:pPr>
            <w:r>
              <w:rPr>
                <w:rFonts w:ascii="Arial" w:cs="Arial" w:eastAsia="Arial" w:hAnsi="Arial"/>
                <w:sz w:val="18"/>
                <w:szCs w:val="18"/>
                <w:b w:val="1"/>
                <w:bCs w:val="1"/>
                <w:color w:val="auto"/>
              </w:rPr>
              <w:t>(REGN475)</w:t>
            </w:r>
          </w:p>
        </w:tc>
        <w:tc>
          <w:tcPr>
            <w:tcW w:w="4760" w:type="dxa"/>
            <w:vAlign w:val="bottom"/>
            <w:shd w:val="clear" w:color="auto" w:fill="CDEAFA"/>
          </w:tcPr>
          <w:p>
            <w:pPr>
              <w:ind w:left="2740"/>
              <w:spacing w:after="0"/>
              <w:rPr>
                <w:sz w:val="20"/>
                <w:szCs w:val="20"/>
                <w:color w:val="auto"/>
              </w:rPr>
            </w:pPr>
            <w:r>
              <w:rPr>
                <w:rFonts w:ascii="Arial" w:cs="Arial" w:eastAsia="Arial" w:hAnsi="Arial"/>
                <w:sz w:val="18"/>
                <w:szCs w:val="18"/>
                <w:color w:val="auto"/>
              </w:rPr>
              <w:t>pain of the knee</w:t>
            </w:r>
          </w:p>
        </w:tc>
        <w:tc>
          <w:tcPr>
            <w:tcW w:w="4320" w:type="dxa"/>
            <w:vAlign w:val="bottom"/>
            <w:shd w:val="clear" w:color="auto" w:fill="CDEAFA"/>
          </w:tcPr>
          <w:p>
            <w:pPr>
              <w:ind w:left="2640"/>
              <w:spacing w:after="0"/>
              <w:rPr>
                <w:sz w:val="20"/>
                <w:szCs w:val="20"/>
                <w:color w:val="auto"/>
              </w:rPr>
            </w:pPr>
            <w:r>
              <w:rPr>
                <w:rFonts w:ascii="Arial" w:cs="Arial" w:eastAsia="Arial" w:hAnsi="Arial"/>
                <w:sz w:val="18"/>
                <w:szCs w:val="18"/>
                <w:color w:val="auto"/>
              </w:rPr>
              <w:t>with regulatory</w:t>
            </w:r>
          </w:p>
        </w:tc>
        <w:tc>
          <w:tcPr>
            <w:tcW w:w="0" w:type="dxa"/>
            <w:vAlign w:val="bottom"/>
          </w:tcPr>
          <w:p>
            <w:pPr>
              <w:spacing w:after="0"/>
              <w:rPr>
                <w:sz w:val="1"/>
                <w:szCs w:val="1"/>
                <w:color w:val="auto"/>
              </w:rPr>
            </w:pPr>
          </w:p>
        </w:tc>
      </w:tr>
      <w:tr>
        <w:trPr>
          <w:trHeight w:val="216"/>
        </w:trPr>
        <w:tc>
          <w:tcPr>
            <w:tcW w:w="2160" w:type="dxa"/>
            <w:vAlign w:val="bottom"/>
            <w:shd w:val="clear" w:color="auto" w:fill="CDEAFA"/>
          </w:tcPr>
          <w:p>
            <w:pPr>
              <w:ind w:left="40"/>
              <w:spacing w:after="0"/>
              <w:rPr>
                <w:sz w:val="20"/>
                <w:szCs w:val="20"/>
                <w:color w:val="auto"/>
              </w:rPr>
            </w:pPr>
            <w:r>
              <w:rPr>
                <w:rFonts w:ascii="Arial" w:cs="Arial" w:eastAsia="Arial" w:hAnsi="Arial"/>
                <w:sz w:val="18"/>
                <w:szCs w:val="18"/>
                <w:i w:val="1"/>
                <w:iCs w:val="1"/>
                <w:color w:val="auto"/>
              </w:rPr>
              <w:t>Antibody to NGF</w:t>
            </w:r>
          </w:p>
        </w:tc>
        <w:tc>
          <w:tcPr>
            <w:tcW w:w="4760" w:type="dxa"/>
            <w:vAlign w:val="bottom"/>
            <w:shd w:val="clear" w:color="auto" w:fill="CDEAFA"/>
          </w:tcPr>
          <w:p>
            <w:pPr>
              <w:ind w:left="2740"/>
              <w:spacing w:after="0" w:line="216" w:lineRule="exact"/>
              <w:rPr>
                <w:sz w:val="20"/>
                <w:szCs w:val="20"/>
                <w:color w:val="auto"/>
              </w:rPr>
            </w:pPr>
            <w:r>
              <w:rPr>
                <w:rFonts w:ascii="Arial" w:cs="Arial" w:eastAsia="Arial" w:hAnsi="Arial"/>
                <w:sz w:val="16"/>
                <w:szCs w:val="16"/>
                <w:color w:val="auto"/>
              </w:rPr>
              <w:t>or hip</w:t>
            </w:r>
            <w:r>
              <w:rPr>
                <w:rFonts w:ascii="Arial" w:cs="Arial" w:eastAsia="Arial" w:hAnsi="Arial"/>
                <w:sz w:val="25"/>
                <w:szCs w:val="25"/>
                <w:color w:val="auto"/>
                <w:vertAlign w:val="superscript"/>
              </w:rPr>
              <w:t>(e)</w:t>
            </w:r>
          </w:p>
        </w:tc>
        <w:tc>
          <w:tcPr>
            <w:tcW w:w="4320" w:type="dxa"/>
            <w:vAlign w:val="bottom"/>
            <w:shd w:val="clear" w:color="auto" w:fill="CDEAFA"/>
          </w:tcPr>
          <w:p>
            <w:pPr>
              <w:ind w:left="2640"/>
              <w:spacing w:after="0"/>
              <w:rPr>
                <w:sz w:val="20"/>
                <w:szCs w:val="20"/>
                <w:color w:val="auto"/>
              </w:rPr>
            </w:pPr>
            <w:r>
              <w:rPr>
                <w:rFonts w:ascii="Arial" w:cs="Arial" w:eastAsia="Arial" w:hAnsi="Arial"/>
                <w:sz w:val="18"/>
                <w:szCs w:val="18"/>
                <w:color w:val="auto"/>
              </w:rPr>
              <w:t>authorities and</w:t>
            </w:r>
          </w:p>
        </w:tc>
        <w:tc>
          <w:tcPr>
            <w:tcW w:w="0" w:type="dxa"/>
            <w:vAlign w:val="bottom"/>
          </w:tcPr>
          <w:p>
            <w:pPr>
              <w:spacing w:after="0"/>
              <w:rPr>
                <w:sz w:val="1"/>
                <w:szCs w:val="1"/>
                <w:color w:val="auto"/>
              </w:rPr>
            </w:pPr>
          </w:p>
        </w:tc>
      </w:tr>
      <w:tr>
        <w:trPr>
          <w:trHeight w:val="215"/>
        </w:trPr>
        <w:tc>
          <w:tcPr>
            <w:tcW w:w="2160" w:type="dxa"/>
            <w:vAlign w:val="bottom"/>
            <w:shd w:val="clear" w:color="auto" w:fill="CDEAFA"/>
          </w:tcPr>
          <w:p>
            <w:pPr>
              <w:spacing w:after="0"/>
              <w:rPr>
                <w:sz w:val="18"/>
                <w:szCs w:val="18"/>
                <w:color w:val="auto"/>
              </w:rPr>
            </w:pPr>
          </w:p>
        </w:tc>
        <w:tc>
          <w:tcPr>
            <w:tcW w:w="4760" w:type="dxa"/>
            <w:vAlign w:val="bottom"/>
            <w:shd w:val="clear" w:color="auto" w:fill="CDEAFA"/>
          </w:tcPr>
          <w:p>
            <w:pPr>
              <w:spacing w:after="0"/>
              <w:rPr>
                <w:sz w:val="18"/>
                <w:szCs w:val="18"/>
                <w:color w:val="auto"/>
              </w:rPr>
            </w:pPr>
          </w:p>
        </w:tc>
        <w:tc>
          <w:tcPr>
            <w:tcW w:w="4320" w:type="dxa"/>
            <w:vAlign w:val="bottom"/>
            <w:shd w:val="clear" w:color="auto" w:fill="CDEAFA"/>
          </w:tcPr>
          <w:p>
            <w:pPr>
              <w:ind w:left="2640"/>
              <w:spacing w:after="0"/>
              <w:rPr>
                <w:sz w:val="20"/>
                <w:szCs w:val="20"/>
                <w:color w:val="auto"/>
              </w:rPr>
            </w:pPr>
            <w:r>
              <w:rPr>
                <w:rFonts w:ascii="Arial" w:cs="Arial" w:eastAsia="Arial" w:hAnsi="Arial"/>
                <w:sz w:val="18"/>
                <w:szCs w:val="18"/>
                <w:color w:val="auto"/>
                <w:w w:val="99"/>
              </w:rPr>
              <w:t>determine next steps</w:t>
            </w:r>
          </w:p>
        </w:tc>
        <w:tc>
          <w:tcPr>
            <w:tcW w:w="0" w:type="dxa"/>
            <w:vAlign w:val="bottom"/>
          </w:tcPr>
          <w:p>
            <w:pPr>
              <w:spacing w:after="0"/>
              <w:rPr>
                <w:sz w:val="1"/>
                <w:szCs w:val="1"/>
                <w:color w:val="auto"/>
              </w:rPr>
            </w:pPr>
          </w:p>
        </w:tc>
      </w:tr>
      <w:tr>
        <w:trPr>
          <w:trHeight w:val="216"/>
        </w:trPr>
        <w:tc>
          <w:tcPr>
            <w:tcW w:w="2160" w:type="dxa"/>
            <w:vAlign w:val="bottom"/>
            <w:shd w:val="clear" w:color="auto" w:fill="CDEAFA"/>
          </w:tcPr>
          <w:p>
            <w:pPr>
              <w:spacing w:after="0"/>
              <w:rPr>
                <w:sz w:val="18"/>
                <w:szCs w:val="18"/>
                <w:color w:val="auto"/>
              </w:rPr>
            </w:pPr>
          </w:p>
        </w:tc>
        <w:tc>
          <w:tcPr>
            <w:tcW w:w="4760" w:type="dxa"/>
            <w:vAlign w:val="bottom"/>
            <w:shd w:val="clear" w:color="auto" w:fill="CDEAFA"/>
          </w:tcPr>
          <w:p>
            <w:pPr>
              <w:spacing w:after="0"/>
              <w:rPr>
                <w:sz w:val="18"/>
                <w:szCs w:val="18"/>
                <w:color w:val="auto"/>
              </w:rPr>
            </w:pPr>
          </w:p>
        </w:tc>
        <w:tc>
          <w:tcPr>
            <w:tcW w:w="4320" w:type="dxa"/>
            <w:vAlign w:val="bottom"/>
            <w:shd w:val="clear" w:color="auto" w:fill="CDEAFA"/>
          </w:tcPr>
          <w:p>
            <w:pPr>
              <w:ind w:left="2640"/>
              <w:spacing w:after="0"/>
              <w:rPr>
                <w:sz w:val="20"/>
                <w:szCs w:val="20"/>
                <w:color w:val="auto"/>
              </w:rPr>
            </w:pPr>
            <w:r>
              <w:rPr>
                <w:rFonts w:ascii="Arial" w:cs="Arial" w:eastAsia="Arial" w:hAnsi="Arial"/>
                <w:sz w:val="18"/>
                <w:szCs w:val="18"/>
                <w:color w:val="auto"/>
                <w:w w:val="98"/>
              </w:rPr>
              <w:t>for the program (mid-</w:t>
            </w:r>
          </w:p>
        </w:tc>
        <w:tc>
          <w:tcPr>
            <w:tcW w:w="0" w:type="dxa"/>
            <w:vAlign w:val="bottom"/>
          </w:tcPr>
          <w:p>
            <w:pPr>
              <w:spacing w:after="0"/>
              <w:rPr>
                <w:sz w:val="1"/>
                <w:szCs w:val="1"/>
                <w:color w:val="auto"/>
              </w:rPr>
            </w:pPr>
          </w:p>
        </w:tc>
      </w:tr>
      <w:tr>
        <w:trPr>
          <w:trHeight w:val="244"/>
        </w:trPr>
        <w:tc>
          <w:tcPr>
            <w:tcW w:w="2160" w:type="dxa"/>
            <w:vAlign w:val="bottom"/>
            <w:shd w:val="clear" w:color="auto" w:fill="CDEAFA"/>
          </w:tcPr>
          <w:p>
            <w:pPr>
              <w:spacing w:after="0"/>
              <w:rPr>
                <w:sz w:val="21"/>
                <w:szCs w:val="21"/>
                <w:color w:val="auto"/>
              </w:rPr>
            </w:pPr>
          </w:p>
        </w:tc>
        <w:tc>
          <w:tcPr>
            <w:tcW w:w="4760" w:type="dxa"/>
            <w:vAlign w:val="bottom"/>
            <w:shd w:val="clear" w:color="auto" w:fill="CDEAFA"/>
          </w:tcPr>
          <w:p>
            <w:pPr>
              <w:spacing w:after="0"/>
              <w:rPr>
                <w:sz w:val="21"/>
                <w:szCs w:val="21"/>
                <w:color w:val="auto"/>
              </w:rPr>
            </w:pPr>
          </w:p>
        </w:tc>
        <w:tc>
          <w:tcPr>
            <w:tcW w:w="4320" w:type="dxa"/>
            <w:vAlign w:val="bottom"/>
            <w:shd w:val="clear" w:color="auto" w:fill="CDEAFA"/>
          </w:tcPr>
          <w:p>
            <w:pPr>
              <w:ind w:left="264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5"/>
        </w:trPr>
        <w:tc>
          <w:tcPr>
            <w:tcW w:w="2160" w:type="dxa"/>
            <w:vAlign w:val="bottom"/>
          </w:tcPr>
          <w:p>
            <w:pPr>
              <w:ind w:left="40"/>
              <w:spacing w:after="0"/>
              <w:rPr>
                <w:sz w:val="20"/>
                <w:szCs w:val="20"/>
                <w:color w:val="auto"/>
              </w:rPr>
            </w:pPr>
            <w:r>
              <w:rPr>
                <w:rFonts w:ascii="Arial" w:cs="Arial" w:eastAsia="Arial" w:hAnsi="Arial"/>
                <w:sz w:val="18"/>
                <w:szCs w:val="18"/>
                <w:b w:val="1"/>
                <w:bCs w:val="1"/>
                <w:color w:val="auto"/>
              </w:rPr>
              <w:t>Evkeeza</w:t>
            </w:r>
          </w:p>
        </w:tc>
        <w:tc>
          <w:tcPr>
            <w:tcW w:w="4760" w:type="dxa"/>
            <w:vAlign w:val="bottom"/>
          </w:tcPr>
          <w:p>
            <w:pPr>
              <w:ind w:left="1460"/>
              <w:spacing w:after="0"/>
              <w:rPr>
                <w:sz w:val="20"/>
                <w:szCs w:val="20"/>
                <w:color w:val="auto"/>
              </w:rPr>
            </w:pPr>
            <w:r>
              <w:rPr>
                <w:rFonts w:ascii="Arial" w:cs="Arial" w:eastAsia="Arial" w:hAnsi="Arial"/>
                <w:sz w:val="18"/>
                <w:szCs w:val="18"/>
                <w:color w:val="auto"/>
              </w:rPr>
              <w:t>–Acute</w:t>
            </w:r>
          </w:p>
        </w:tc>
        <w:tc>
          <w:tcPr>
            <w:tcW w:w="4320" w:type="dxa"/>
            <w:vAlign w:val="bottom"/>
          </w:tcPr>
          <w:p>
            <w:pPr>
              <w:ind w:left="860"/>
              <w:spacing w:after="0"/>
              <w:rPr>
                <w:sz w:val="20"/>
                <w:szCs w:val="20"/>
                <w:color w:val="auto"/>
              </w:rPr>
            </w:pPr>
            <w:r>
              <w:rPr>
                <w:rFonts w:ascii="Arial" w:cs="Arial" w:eastAsia="Arial" w:hAnsi="Arial"/>
                <w:sz w:val="18"/>
                <w:szCs w:val="18"/>
                <w:color w:val="auto"/>
              </w:rPr>
              <w:t>–Approved by FDA</w:t>
            </w:r>
          </w:p>
        </w:tc>
        <w:tc>
          <w:tcPr>
            <w:tcW w:w="0" w:type="dxa"/>
            <w:vAlign w:val="bottom"/>
          </w:tcPr>
          <w:p>
            <w:pPr>
              <w:spacing w:after="0"/>
              <w:rPr>
                <w:sz w:val="1"/>
                <w:szCs w:val="1"/>
                <w:color w:val="auto"/>
              </w:rPr>
            </w:pPr>
          </w:p>
        </w:tc>
      </w:tr>
      <w:tr>
        <w:trPr>
          <w:trHeight w:val="217"/>
        </w:trPr>
        <w:tc>
          <w:tcPr>
            <w:tcW w:w="2160" w:type="dxa"/>
            <w:vAlign w:val="bottom"/>
          </w:tcPr>
          <w:p>
            <w:pPr>
              <w:ind w:left="40"/>
              <w:spacing w:after="0" w:line="217" w:lineRule="exact"/>
              <w:rPr>
                <w:sz w:val="20"/>
                <w:szCs w:val="20"/>
                <w:color w:val="auto"/>
              </w:rPr>
            </w:pPr>
            <w:r>
              <w:rPr>
                <w:rFonts w:ascii="Arial" w:cs="Arial" w:eastAsia="Arial" w:hAnsi="Arial"/>
                <w:sz w:val="16"/>
                <w:szCs w:val="16"/>
                <w:b w:val="1"/>
                <w:bCs w:val="1"/>
                <w:color w:val="auto"/>
              </w:rPr>
              <w:t>(evinacumab)</w:t>
            </w:r>
            <w:r>
              <w:rPr>
                <w:rFonts w:ascii="Arial" w:cs="Arial" w:eastAsia="Arial" w:hAnsi="Arial"/>
                <w:sz w:val="25"/>
                <w:szCs w:val="25"/>
                <w:b w:val="1"/>
                <w:bCs w:val="1"/>
                <w:color w:val="auto"/>
                <w:vertAlign w:val="superscript"/>
              </w:rPr>
              <w:t>(f)(o)</w:t>
            </w:r>
          </w:p>
        </w:tc>
        <w:tc>
          <w:tcPr>
            <w:tcW w:w="4760" w:type="dxa"/>
            <w:vAlign w:val="bottom"/>
          </w:tcPr>
          <w:p>
            <w:pPr>
              <w:ind w:left="1460"/>
              <w:spacing w:after="0"/>
              <w:rPr>
                <w:sz w:val="20"/>
                <w:szCs w:val="20"/>
                <w:color w:val="auto"/>
              </w:rPr>
            </w:pPr>
            <w:r>
              <w:rPr>
                <w:rFonts w:ascii="Arial" w:cs="Arial" w:eastAsia="Arial" w:hAnsi="Arial"/>
                <w:sz w:val="18"/>
                <w:szCs w:val="18"/>
                <w:color w:val="auto"/>
              </w:rPr>
              <w:t>pancreatitis</w:t>
            </w:r>
          </w:p>
        </w:tc>
        <w:tc>
          <w:tcPr>
            <w:tcW w:w="4320" w:type="dxa"/>
            <w:vAlign w:val="bottom"/>
          </w:tcPr>
          <w:p>
            <w:pPr>
              <w:ind w:left="860"/>
              <w:spacing w:after="0"/>
              <w:rPr>
                <w:sz w:val="20"/>
                <w:szCs w:val="20"/>
                <w:color w:val="auto"/>
              </w:rPr>
            </w:pPr>
            <w:r>
              <w:rPr>
                <w:rFonts w:ascii="Arial" w:cs="Arial" w:eastAsia="Arial" w:hAnsi="Arial"/>
                <w:sz w:val="18"/>
                <w:szCs w:val="18"/>
                <w:color w:val="auto"/>
              </w:rPr>
              <w:t>and EC for HoFH</w:t>
            </w:r>
          </w:p>
        </w:tc>
        <w:tc>
          <w:tcPr>
            <w:tcW w:w="0" w:type="dxa"/>
            <w:vAlign w:val="bottom"/>
          </w:tcPr>
          <w:p>
            <w:pPr>
              <w:spacing w:after="0"/>
              <w:rPr>
                <w:sz w:val="1"/>
                <w:szCs w:val="1"/>
                <w:color w:val="auto"/>
              </w:rPr>
            </w:pP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i w:val="1"/>
                <w:iCs w:val="1"/>
                <w:color w:val="auto"/>
              </w:rPr>
              <w:t>Antibody to ANGPTL3</w:t>
            </w:r>
          </w:p>
        </w:tc>
        <w:tc>
          <w:tcPr>
            <w:tcW w:w="4760" w:type="dxa"/>
            <w:vAlign w:val="bottom"/>
          </w:tcPr>
          <w:p>
            <w:pPr>
              <w:ind w:left="1460"/>
              <w:spacing w:after="0"/>
              <w:rPr>
                <w:sz w:val="20"/>
                <w:szCs w:val="20"/>
                <w:color w:val="auto"/>
              </w:rPr>
            </w:pPr>
            <w:r>
              <w:rPr>
                <w:rFonts w:ascii="Arial" w:cs="Arial" w:eastAsia="Arial" w:hAnsi="Arial"/>
                <w:sz w:val="18"/>
                <w:szCs w:val="18"/>
                <w:color w:val="auto"/>
              </w:rPr>
              <w:t>prevention</w:t>
            </w:r>
          </w:p>
        </w:tc>
        <w:tc>
          <w:tcPr>
            <w:tcW w:w="4320" w:type="dxa"/>
            <w:vAlign w:val="bottom"/>
            <w:vMerge w:val="restart"/>
          </w:tcPr>
          <w:p>
            <w:pPr>
              <w:ind w:left="860"/>
              <w:spacing w:after="0"/>
              <w:rPr>
                <w:sz w:val="20"/>
                <w:szCs w:val="20"/>
                <w:color w:val="auto"/>
              </w:rPr>
            </w:pPr>
            <w:r>
              <w:rPr>
                <w:rFonts w:ascii="Arial" w:cs="Arial" w:eastAsia="Arial" w:hAnsi="Arial"/>
                <w:sz w:val="18"/>
                <w:szCs w:val="18"/>
                <w:color w:val="auto"/>
              </w:rPr>
              <w:t>–Completed Phase 2</w:t>
            </w: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320" w:type="dxa"/>
            <w:vAlign w:val="bottom"/>
          </w:tcPr>
          <w:p>
            <w:pPr>
              <w:ind w:left="860"/>
              <w:spacing w:after="0"/>
              <w:rPr>
                <w:sz w:val="20"/>
                <w:szCs w:val="20"/>
                <w:color w:val="auto"/>
              </w:rPr>
            </w:pPr>
            <w:r>
              <w:rPr>
                <w:rFonts w:ascii="Arial" w:cs="Arial" w:eastAsia="Arial" w:hAnsi="Arial"/>
                <w:sz w:val="18"/>
                <w:szCs w:val="18"/>
                <w:color w:val="auto"/>
              </w:rPr>
              <w:t>study in severe</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320" w:type="dxa"/>
            <w:vAlign w:val="bottom"/>
          </w:tcPr>
          <w:p>
            <w:pPr>
              <w:ind w:left="860"/>
              <w:spacing w:after="0"/>
              <w:rPr>
                <w:sz w:val="20"/>
                <w:szCs w:val="20"/>
                <w:color w:val="auto"/>
              </w:rPr>
            </w:pPr>
            <w:r>
              <w:rPr>
                <w:rFonts w:ascii="Arial" w:cs="Arial" w:eastAsia="Arial" w:hAnsi="Arial"/>
                <w:sz w:val="18"/>
                <w:szCs w:val="18"/>
                <w:color w:val="auto"/>
              </w:rPr>
              <w:t>hypertriglyceridemia</w:t>
            </w:r>
          </w:p>
        </w:tc>
        <w:tc>
          <w:tcPr>
            <w:tcW w:w="0" w:type="dxa"/>
            <w:vAlign w:val="bottom"/>
          </w:tcPr>
          <w:p>
            <w:pPr>
              <w:spacing w:after="0"/>
              <w:rPr>
                <w:sz w:val="1"/>
                <w:szCs w:val="1"/>
                <w:color w:val="auto"/>
              </w:rPr>
            </w:pPr>
          </w:p>
        </w:tc>
      </w:tr>
      <w:tr>
        <w:trPr>
          <w:trHeight w:val="223"/>
        </w:trPr>
        <w:tc>
          <w:tcPr>
            <w:tcW w:w="2160" w:type="dxa"/>
            <w:vAlign w:val="bottom"/>
            <w:shd w:val="clear" w:color="auto" w:fill="CDEAFA"/>
          </w:tcPr>
          <w:p>
            <w:pPr>
              <w:ind w:left="40"/>
              <w:spacing w:after="0" w:line="222" w:lineRule="exact"/>
              <w:rPr>
                <w:sz w:val="20"/>
                <w:szCs w:val="20"/>
                <w:color w:val="auto"/>
              </w:rPr>
            </w:pPr>
            <w:r>
              <w:rPr>
                <w:rFonts w:ascii="Arial" w:cs="Arial" w:eastAsia="Arial" w:hAnsi="Arial"/>
                <w:sz w:val="16"/>
                <w:szCs w:val="16"/>
                <w:b w:val="1"/>
                <w:bCs w:val="1"/>
                <w:color w:val="auto"/>
              </w:rPr>
              <w:t>Garetosmab</w:t>
            </w:r>
            <w:r>
              <w:rPr>
                <w:rFonts w:ascii="Arial" w:cs="Arial" w:eastAsia="Arial" w:hAnsi="Arial"/>
                <w:sz w:val="25"/>
                <w:szCs w:val="25"/>
                <w:b w:val="1"/>
                <w:bCs w:val="1"/>
                <w:color w:val="auto"/>
                <w:vertAlign w:val="superscript"/>
              </w:rPr>
              <w:t>(f)</w:t>
            </w:r>
          </w:p>
        </w:tc>
        <w:tc>
          <w:tcPr>
            <w:tcW w:w="4760" w:type="dxa"/>
            <w:vAlign w:val="bottom"/>
            <w:shd w:val="clear" w:color="auto" w:fill="CDEAFA"/>
          </w:tcPr>
          <w:p>
            <w:pPr>
              <w:ind w:left="1460"/>
              <w:spacing w:after="0"/>
              <w:rPr>
                <w:sz w:val="20"/>
                <w:szCs w:val="20"/>
                <w:color w:val="auto"/>
              </w:rPr>
            </w:pPr>
            <w:r>
              <w:rPr>
                <w:rFonts w:ascii="Arial" w:cs="Arial" w:eastAsia="Arial" w:hAnsi="Arial"/>
                <w:sz w:val="18"/>
                <w:szCs w:val="18"/>
                <w:color w:val="auto"/>
              </w:rPr>
              <w:t>–Fibrodysplasia</w:t>
            </w:r>
          </w:p>
        </w:tc>
        <w:tc>
          <w:tcPr>
            <w:tcW w:w="4320" w:type="dxa"/>
            <w:vAlign w:val="bottom"/>
            <w:shd w:val="clear" w:color="auto" w:fill="CDEAFA"/>
          </w:tcPr>
          <w:p>
            <w:pPr>
              <w:ind w:left="2640"/>
              <w:spacing w:after="0"/>
              <w:rPr>
                <w:sz w:val="20"/>
                <w:szCs w:val="20"/>
                <w:color w:val="auto"/>
              </w:rPr>
            </w:pPr>
            <w:r>
              <w:rPr>
                <w:rFonts w:ascii="Arial" w:cs="Arial" w:eastAsia="Arial" w:hAnsi="Arial"/>
                <w:sz w:val="18"/>
                <w:szCs w:val="18"/>
                <w:color w:val="auto"/>
                <w:w w:val="92"/>
              </w:rPr>
              <w:t>–Determine next steps</w:t>
            </w:r>
          </w:p>
        </w:tc>
        <w:tc>
          <w:tcPr>
            <w:tcW w:w="0" w:type="dxa"/>
            <w:vAlign w:val="bottom"/>
          </w:tcPr>
          <w:p>
            <w:pPr>
              <w:spacing w:after="0"/>
              <w:rPr>
                <w:sz w:val="1"/>
                <w:szCs w:val="1"/>
                <w:color w:val="auto"/>
              </w:rPr>
            </w:pPr>
          </w:p>
        </w:tc>
      </w:tr>
      <w:tr>
        <w:trPr>
          <w:trHeight w:val="216"/>
        </w:trPr>
        <w:tc>
          <w:tcPr>
            <w:tcW w:w="2160" w:type="dxa"/>
            <w:vAlign w:val="bottom"/>
            <w:shd w:val="clear" w:color="auto" w:fill="CDEAFA"/>
          </w:tcPr>
          <w:p>
            <w:pPr>
              <w:ind w:left="40"/>
              <w:spacing w:after="0"/>
              <w:rPr>
                <w:sz w:val="20"/>
                <w:szCs w:val="20"/>
                <w:color w:val="auto"/>
              </w:rPr>
            </w:pPr>
            <w:r>
              <w:rPr>
                <w:rFonts w:ascii="Arial" w:cs="Arial" w:eastAsia="Arial" w:hAnsi="Arial"/>
                <w:sz w:val="18"/>
                <w:szCs w:val="18"/>
                <w:b w:val="1"/>
                <w:bCs w:val="1"/>
                <w:color w:val="auto"/>
              </w:rPr>
              <w:t>(REGN2477)</w:t>
            </w:r>
          </w:p>
        </w:tc>
        <w:tc>
          <w:tcPr>
            <w:tcW w:w="4760" w:type="dxa"/>
            <w:vAlign w:val="bottom"/>
            <w:shd w:val="clear" w:color="auto" w:fill="CDEAFA"/>
          </w:tcPr>
          <w:p>
            <w:pPr>
              <w:ind w:left="1460"/>
              <w:spacing w:after="0"/>
              <w:rPr>
                <w:sz w:val="20"/>
                <w:szCs w:val="20"/>
                <w:color w:val="auto"/>
              </w:rPr>
            </w:pPr>
            <w:r>
              <w:rPr>
                <w:rFonts w:ascii="Arial" w:cs="Arial" w:eastAsia="Arial" w:hAnsi="Arial"/>
                <w:sz w:val="18"/>
                <w:szCs w:val="18"/>
                <w:color w:val="auto"/>
              </w:rPr>
              <w:t>ossificans</w:t>
            </w:r>
          </w:p>
        </w:tc>
        <w:tc>
          <w:tcPr>
            <w:tcW w:w="4320" w:type="dxa"/>
            <w:vAlign w:val="bottom"/>
            <w:shd w:val="clear" w:color="auto" w:fill="CDEAFA"/>
          </w:tcPr>
          <w:p>
            <w:pPr>
              <w:ind w:left="2640"/>
              <w:spacing w:after="0"/>
              <w:rPr>
                <w:sz w:val="20"/>
                <w:szCs w:val="20"/>
                <w:color w:val="auto"/>
              </w:rPr>
            </w:pPr>
            <w:r>
              <w:rPr>
                <w:rFonts w:ascii="Arial" w:cs="Arial" w:eastAsia="Arial" w:hAnsi="Arial"/>
                <w:sz w:val="18"/>
                <w:szCs w:val="18"/>
                <w:color w:val="auto"/>
              </w:rPr>
              <w:t>for the program</w:t>
            </w:r>
          </w:p>
        </w:tc>
        <w:tc>
          <w:tcPr>
            <w:tcW w:w="0" w:type="dxa"/>
            <w:vAlign w:val="bottom"/>
          </w:tcPr>
          <w:p>
            <w:pPr>
              <w:spacing w:after="0"/>
              <w:rPr>
                <w:sz w:val="1"/>
                <w:szCs w:val="1"/>
                <w:color w:val="auto"/>
              </w:rPr>
            </w:pPr>
          </w:p>
        </w:tc>
      </w:tr>
      <w:tr>
        <w:trPr>
          <w:trHeight w:val="219"/>
        </w:trPr>
        <w:tc>
          <w:tcPr>
            <w:tcW w:w="2160" w:type="dxa"/>
            <w:vAlign w:val="bottom"/>
            <w:shd w:val="clear" w:color="auto" w:fill="CDEAFA"/>
          </w:tcPr>
          <w:p>
            <w:pPr>
              <w:ind w:left="40"/>
              <w:spacing w:after="0"/>
              <w:rPr>
                <w:sz w:val="20"/>
                <w:szCs w:val="20"/>
                <w:color w:val="auto"/>
              </w:rPr>
            </w:pPr>
            <w:r>
              <w:rPr>
                <w:rFonts w:ascii="Arial" w:cs="Arial" w:eastAsia="Arial" w:hAnsi="Arial"/>
                <w:sz w:val="18"/>
                <w:szCs w:val="18"/>
                <w:i w:val="1"/>
                <w:iCs w:val="1"/>
                <w:color w:val="auto"/>
              </w:rPr>
              <w:t>Antibody to Activin A</w:t>
            </w:r>
          </w:p>
        </w:tc>
        <w:tc>
          <w:tcPr>
            <w:tcW w:w="4760" w:type="dxa"/>
            <w:vAlign w:val="bottom"/>
            <w:shd w:val="clear" w:color="auto" w:fill="CDEAFA"/>
          </w:tcPr>
          <w:p>
            <w:pPr>
              <w:ind w:left="1460"/>
              <w:spacing w:after="0"/>
              <w:rPr>
                <w:sz w:val="20"/>
                <w:szCs w:val="20"/>
                <w:color w:val="auto"/>
              </w:rPr>
            </w:pPr>
            <w:r>
              <w:rPr>
                <w:rFonts w:ascii="Arial" w:cs="Arial" w:eastAsia="Arial" w:hAnsi="Arial"/>
                <w:sz w:val="18"/>
                <w:szCs w:val="18"/>
                <w:color w:val="auto"/>
              </w:rPr>
              <w:t>progressiva</w:t>
            </w:r>
          </w:p>
        </w:tc>
        <w:tc>
          <w:tcPr>
            <w:tcW w:w="4320" w:type="dxa"/>
            <w:vAlign w:val="bottom"/>
            <w:shd w:val="clear" w:color="auto" w:fill="CDEAFA"/>
          </w:tcPr>
          <w:p>
            <w:pPr>
              <w:ind w:left="264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81"/>
        </w:trPr>
        <w:tc>
          <w:tcPr>
            <w:tcW w:w="2160" w:type="dxa"/>
            <w:vAlign w:val="bottom"/>
            <w:shd w:val="clear" w:color="auto" w:fill="CDEAFA"/>
          </w:tcPr>
          <w:p>
            <w:pPr>
              <w:spacing w:after="0"/>
              <w:rPr>
                <w:sz w:val="24"/>
                <w:szCs w:val="24"/>
                <w:color w:val="auto"/>
              </w:rPr>
            </w:pPr>
          </w:p>
        </w:tc>
        <w:tc>
          <w:tcPr>
            <w:tcW w:w="4760" w:type="dxa"/>
            <w:vAlign w:val="bottom"/>
            <w:shd w:val="clear" w:color="auto" w:fill="CDEAFA"/>
          </w:tcPr>
          <w:p>
            <w:pPr>
              <w:ind w:left="1460"/>
              <w:spacing w:after="0" w:line="281" w:lineRule="exact"/>
              <w:rPr>
                <w:sz w:val="20"/>
                <w:szCs w:val="20"/>
                <w:color w:val="auto"/>
              </w:rPr>
            </w:pPr>
            <w:r>
              <w:rPr>
                <w:rFonts w:ascii="Arial" w:cs="Arial" w:eastAsia="Arial" w:hAnsi="Arial"/>
                <w:sz w:val="32"/>
                <w:szCs w:val="32"/>
                <w:color w:val="auto"/>
                <w:vertAlign w:val="subscript"/>
              </w:rPr>
              <w:t>(“FOP”)</w:t>
            </w:r>
            <w:r>
              <w:rPr>
                <w:rFonts w:ascii="Arial" w:cs="Arial" w:eastAsia="Arial" w:hAnsi="Arial"/>
                <w:sz w:val="14"/>
                <w:szCs w:val="14"/>
                <w:color w:val="auto"/>
              </w:rPr>
              <w:t>(c)(d)(e)</w:t>
            </w:r>
          </w:p>
        </w:tc>
        <w:tc>
          <w:tcPr>
            <w:tcW w:w="4320" w:type="dxa"/>
            <w:vAlign w:val="bottom"/>
            <w:shd w:val="clear" w:color="auto" w:fill="CDEAFA"/>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40"/>
              <w:spacing w:after="0" w:line="216" w:lineRule="exact"/>
              <w:rPr>
                <w:sz w:val="20"/>
                <w:szCs w:val="20"/>
                <w:color w:val="auto"/>
              </w:rPr>
            </w:pPr>
            <w:r>
              <w:rPr>
                <w:rFonts w:ascii="Arial" w:cs="Arial" w:eastAsia="Arial" w:hAnsi="Arial"/>
                <w:sz w:val="16"/>
                <w:szCs w:val="16"/>
                <w:b w:val="1"/>
                <w:bCs w:val="1"/>
                <w:color w:val="auto"/>
              </w:rPr>
              <w:t>REGN4461</w:t>
            </w:r>
            <w:r>
              <w:rPr>
                <w:rFonts w:ascii="Arial" w:cs="Arial" w:eastAsia="Arial" w:hAnsi="Arial"/>
                <w:sz w:val="25"/>
                <w:szCs w:val="25"/>
                <w:b w:val="1"/>
                <w:bCs w:val="1"/>
                <w:color w:val="auto"/>
                <w:vertAlign w:val="superscript"/>
              </w:rPr>
              <w:t>(f)</w:t>
            </w:r>
          </w:p>
        </w:tc>
        <w:tc>
          <w:tcPr>
            <w:tcW w:w="4760" w:type="dxa"/>
            <w:vAlign w:val="bottom"/>
          </w:tcPr>
          <w:p>
            <w:pPr>
              <w:ind w:left="1460"/>
              <w:spacing w:after="0"/>
              <w:rPr>
                <w:sz w:val="20"/>
                <w:szCs w:val="20"/>
                <w:color w:val="auto"/>
              </w:rPr>
            </w:pPr>
            <w:r>
              <w:rPr>
                <w:rFonts w:ascii="Arial" w:cs="Arial" w:eastAsia="Arial" w:hAnsi="Arial"/>
                <w:sz w:val="18"/>
                <w:szCs w:val="18"/>
                <w:color w:val="auto"/>
              </w:rPr>
              <w:t>–Generalized</w:t>
            </w:r>
          </w:p>
        </w:tc>
        <w:tc>
          <w:tcPr>
            <w:tcW w:w="4320" w:type="dxa"/>
            <w:vAlign w:val="bottom"/>
          </w:tcPr>
          <w:p>
            <w:pPr>
              <w:ind w:left="2640"/>
              <w:spacing w:after="0"/>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216"/>
        </w:trPr>
        <w:tc>
          <w:tcPr>
            <w:tcW w:w="2160" w:type="dxa"/>
            <w:vAlign w:val="bottom"/>
          </w:tcPr>
          <w:p>
            <w:pPr>
              <w:ind w:left="40"/>
              <w:spacing w:after="0"/>
              <w:rPr>
                <w:sz w:val="20"/>
                <w:szCs w:val="20"/>
                <w:color w:val="auto"/>
              </w:rPr>
            </w:pPr>
            <w:r>
              <w:rPr>
                <w:rFonts w:ascii="Arial" w:cs="Arial" w:eastAsia="Arial" w:hAnsi="Arial"/>
                <w:sz w:val="18"/>
                <w:szCs w:val="18"/>
                <w:i w:val="1"/>
                <w:iCs w:val="1"/>
                <w:color w:val="auto"/>
              </w:rPr>
              <w:t>Agonist antibody to leptin</w:t>
            </w:r>
          </w:p>
        </w:tc>
        <w:tc>
          <w:tcPr>
            <w:tcW w:w="4760" w:type="dxa"/>
            <w:vAlign w:val="bottom"/>
          </w:tcPr>
          <w:p>
            <w:pPr>
              <w:ind w:left="1460"/>
              <w:spacing w:after="0" w:line="216" w:lineRule="exact"/>
              <w:rPr>
                <w:sz w:val="20"/>
                <w:szCs w:val="20"/>
                <w:color w:val="auto"/>
              </w:rPr>
            </w:pPr>
            <w:r>
              <w:rPr>
                <w:rFonts w:ascii="Arial" w:cs="Arial" w:eastAsia="Arial" w:hAnsi="Arial"/>
                <w:sz w:val="16"/>
                <w:szCs w:val="16"/>
                <w:color w:val="auto"/>
              </w:rPr>
              <w:t>lipodystrophy</w:t>
            </w:r>
            <w:r>
              <w:rPr>
                <w:rFonts w:ascii="Arial" w:cs="Arial" w:eastAsia="Arial" w:hAnsi="Arial"/>
                <w:sz w:val="25"/>
                <w:szCs w:val="25"/>
                <w:color w:val="auto"/>
                <w:vertAlign w:val="superscript"/>
              </w:rPr>
              <w:t>(e)</w:t>
            </w:r>
          </w:p>
        </w:tc>
        <w:tc>
          <w:tcPr>
            <w:tcW w:w="4320" w:type="dxa"/>
            <w:vAlign w:val="bottom"/>
          </w:tcPr>
          <w:p>
            <w:pPr>
              <w:ind w:left="2640"/>
              <w:spacing w:after="0"/>
              <w:rPr>
                <w:sz w:val="20"/>
                <w:szCs w:val="20"/>
                <w:color w:val="auto"/>
              </w:rPr>
            </w:pPr>
            <w:r>
              <w:rPr>
                <w:rFonts w:ascii="Arial" w:cs="Arial" w:eastAsia="Arial" w:hAnsi="Arial"/>
                <w:sz w:val="18"/>
                <w:szCs w:val="18"/>
                <w:color w:val="auto"/>
              </w:rPr>
              <w:t>Phase 2 study in</w:t>
            </w:r>
          </w:p>
        </w:tc>
        <w:tc>
          <w:tcPr>
            <w:tcW w:w="0" w:type="dxa"/>
            <w:vAlign w:val="bottom"/>
          </w:tcPr>
          <w:p>
            <w:pPr>
              <w:spacing w:after="0"/>
              <w:rPr>
                <w:sz w:val="1"/>
                <w:szCs w:val="1"/>
                <w:color w:val="auto"/>
              </w:rPr>
            </w:pPr>
          </w:p>
        </w:tc>
      </w:tr>
      <w:tr>
        <w:trPr>
          <w:trHeight w:val="216"/>
        </w:trPr>
        <w:tc>
          <w:tcPr>
            <w:tcW w:w="2160" w:type="dxa"/>
            <w:vAlign w:val="bottom"/>
          </w:tcPr>
          <w:p>
            <w:pPr>
              <w:ind w:left="40"/>
              <w:spacing w:after="0"/>
              <w:rPr>
                <w:sz w:val="20"/>
                <w:szCs w:val="20"/>
                <w:color w:val="auto"/>
              </w:rPr>
            </w:pPr>
            <w:r>
              <w:rPr>
                <w:rFonts w:ascii="Arial" w:cs="Arial" w:eastAsia="Arial" w:hAnsi="Arial"/>
                <w:sz w:val="18"/>
                <w:szCs w:val="18"/>
                <w:i w:val="1"/>
                <w:iCs w:val="1"/>
                <w:color w:val="auto"/>
              </w:rPr>
              <w:t>receptor (“LEPR”)</w:t>
            </w:r>
          </w:p>
        </w:tc>
        <w:tc>
          <w:tcPr>
            <w:tcW w:w="4760" w:type="dxa"/>
            <w:vAlign w:val="bottom"/>
          </w:tcPr>
          <w:p>
            <w:pPr>
              <w:spacing w:after="0"/>
              <w:rPr>
                <w:sz w:val="18"/>
                <w:szCs w:val="18"/>
                <w:color w:val="auto"/>
              </w:rPr>
            </w:pPr>
          </w:p>
        </w:tc>
        <w:tc>
          <w:tcPr>
            <w:tcW w:w="4320" w:type="dxa"/>
            <w:vAlign w:val="bottom"/>
          </w:tcPr>
          <w:p>
            <w:pPr>
              <w:ind w:left="2640"/>
              <w:spacing w:after="0"/>
              <w:rPr>
                <w:sz w:val="20"/>
                <w:szCs w:val="20"/>
                <w:color w:val="auto"/>
              </w:rPr>
            </w:pPr>
            <w:r>
              <w:rPr>
                <w:rFonts w:ascii="Arial" w:cs="Arial" w:eastAsia="Arial" w:hAnsi="Arial"/>
                <w:sz w:val="18"/>
                <w:szCs w:val="18"/>
                <w:color w:val="auto"/>
              </w:rPr>
              <w:t>generalized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760" w:type="dxa"/>
            <w:vAlign w:val="bottom"/>
          </w:tcPr>
          <w:p>
            <w:pPr>
              <w:ind w:left="1460"/>
              <w:spacing w:after="0"/>
              <w:rPr>
                <w:sz w:val="20"/>
                <w:szCs w:val="20"/>
                <w:color w:val="auto"/>
              </w:rPr>
            </w:pPr>
            <w:r>
              <w:rPr>
                <w:rFonts w:ascii="Arial" w:cs="Arial" w:eastAsia="Arial" w:hAnsi="Arial"/>
                <w:sz w:val="18"/>
                <w:szCs w:val="18"/>
                <w:color w:val="auto"/>
              </w:rPr>
              <w:t>–Partial</w:t>
            </w:r>
          </w:p>
        </w:tc>
        <w:tc>
          <w:tcPr>
            <w:tcW w:w="4320" w:type="dxa"/>
            <w:vAlign w:val="bottom"/>
          </w:tcPr>
          <w:p>
            <w:pPr>
              <w:ind w:left="2640"/>
              <w:spacing w:after="0"/>
              <w:rPr>
                <w:sz w:val="20"/>
                <w:szCs w:val="20"/>
                <w:color w:val="auto"/>
              </w:rPr>
            </w:pPr>
            <w:r>
              <w:rPr>
                <w:rFonts w:ascii="Arial" w:cs="Arial" w:eastAsia="Arial" w:hAnsi="Arial"/>
                <w:sz w:val="18"/>
                <w:szCs w:val="18"/>
                <w:color w:val="auto"/>
              </w:rPr>
              <w:t>lipodystrophy (first</w:t>
            </w:r>
          </w:p>
        </w:tc>
        <w:tc>
          <w:tcPr>
            <w:tcW w:w="0" w:type="dxa"/>
            <w:vAlign w:val="bottom"/>
          </w:tcPr>
          <w:p>
            <w:pPr>
              <w:spacing w:after="0"/>
              <w:rPr>
                <w:sz w:val="1"/>
                <w:szCs w:val="1"/>
                <w:color w:val="auto"/>
              </w:rPr>
            </w:pPr>
          </w:p>
        </w:tc>
      </w:tr>
      <w:tr>
        <w:trPr>
          <w:trHeight w:val="277"/>
        </w:trPr>
        <w:tc>
          <w:tcPr>
            <w:tcW w:w="2160" w:type="dxa"/>
            <w:vAlign w:val="bottom"/>
          </w:tcPr>
          <w:p>
            <w:pPr>
              <w:spacing w:after="0"/>
              <w:rPr>
                <w:sz w:val="24"/>
                <w:szCs w:val="24"/>
                <w:color w:val="auto"/>
              </w:rPr>
            </w:pPr>
          </w:p>
        </w:tc>
        <w:tc>
          <w:tcPr>
            <w:tcW w:w="4760" w:type="dxa"/>
            <w:vAlign w:val="bottom"/>
          </w:tcPr>
          <w:p>
            <w:pPr>
              <w:ind w:left="1460"/>
              <w:spacing w:after="0"/>
              <w:rPr>
                <w:sz w:val="20"/>
                <w:szCs w:val="20"/>
                <w:color w:val="auto"/>
              </w:rPr>
            </w:pPr>
            <w:r>
              <w:rPr>
                <w:rFonts w:ascii="Arial" w:cs="Arial" w:eastAsia="Arial" w:hAnsi="Arial"/>
                <w:sz w:val="18"/>
                <w:szCs w:val="18"/>
                <w:color w:val="auto"/>
              </w:rPr>
              <w:t>lipodystrophy</w:t>
            </w:r>
          </w:p>
        </w:tc>
        <w:tc>
          <w:tcPr>
            <w:tcW w:w="4320" w:type="dxa"/>
            <w:vAlign w:val="bottom"/>
          </w:tcPr>
          <w:p>
            <w:pPr>
              <w:ind w:left="2640"/>
              <w:spacing w:after="0"/>
              <w:rPr>
                <w:sz w:val="20"/>
                <w:szCs w:val="20"/>
                <w:color w:val="auto"/>
              </w:rPr>
            </w:pPr>
            <w:r>
              <w:rPr>
                <w:rFonts w:ascii="Arial" w:cs="Arial" w:eastAsia="Arial" w:hAnsi="Arial"/>
                <w:sz w:val="18"/>
                <w:szCs w:val="18"/>
                <w:color w:val="auto"/>
              </w:rPr>
              <w:t>half 2022)</w:t>
            </w:r>
          </w:p>
        </w:tc>
        <w:tc>
          <w:tcPr>
            <w:tcW w:w="0" w:type="dxa"/>
            <w:vAlign w:val="bottom"/>
          </w:tcPr>
          <w:p>
            <w:pPr>
              <w:spacing w:after="0"/>
              <w:rPr>
                <w:sz w:val="1"/>
                <w:szCs w:val="1"/>
                <w:color w:val="auto"/>
              </w:rPr>
            </w:pPr>
          </w:p>
        </w:tc>
      </w:tr>
      <w:tr>
        <w:trPr>
          <w:trHeight w:val="222"/>
        </w:trPr>
        <w:tc>
          <w:tcPr>
            <w:tcW w:w="2160" w:type="dxa"/>
            <w:vAlign w:val="bottom"/>
            <w:shd w:val="clear" w:color="auto" w:fill="CDEAFA"/>
          </w:tcPr>
          <w:p>
            <w:pPr>
              <w:ind w:left="40"/>
              <w:spacing w:after="0"/>
              <w:rPr>
                <w:sz w:val="20"/>
                <w:szCs w:val="20"/>
                <w:color w:val="auto"/>
              </w:rPr>
            </w:pPr>
            <w:r>
              <w:rPr>
                <w:rFonts w:ascii="Arial" w:cs="Arial" w:eastAsia="Arial" w:hAnsi="Arial"/>
                <w:sz w:val="18"/>
                <w:szCs w:val="18"/>
                <w:b w:val="1"/>
                <w:bCs w:val="1"/>
                <w:color w:val="auto"/>
              </w:rPr>
              <w:t>REGN5381</w:t>
            </w:r>
          </w:p>
        </w:tc>
        <w:tc>
          <w:tcPr>
            <w:tcW w:w="4760" w:type="dxa"/>
            <w:vAlign w:val="bottom"/>
            <w:shd w:val="clear" w:color="auto" w:fill="CDEAFA"/>
          </w:tcPr>
          <w:p>
            <w:pPr>
              <w:ind w:left="220"/>
              <w:spacing w:after="0"/>
              <w:rPr>
                <w:sz w:val="20"/>
                <w:szCs w:val="20"/>
                <w:color w:val="auto"/>
              </w:rPr>
            </w:pPr>
            <w:r>
              <w:rPr>
                <w:rFonts w:ascii="Arial" w:cs="Arial" w:eastAsia="Arial" w:hAnsi="Arial"/>
                <w:sz w:val="18"/>
                <w:szCs w:val="18"/>
                <w:color w:val="auto"/>
              </w:rPr>
              <w:t>–Heart failure</w:t>
            </w:r>
          </w:p>
        </w:tc>
        <w:tc>
          <w:tcPr>
            <w:tcW w:w="4320" w:type="dxa"/>
            <w:vAlign w:val="bottom"/>
            <w:shd w:val="clear" w:color="auto" w:fill="CDEAFA"/>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160" w:type="dxa"/>
            <w:vAlign w:val="bottom"/>
            <w:shd w:val="clear" w:color="auto" w:fill="CDEAFA"/>
          </w:tcPr>
          <w:p>
            <w:pPr>
              <w:ind w:left="40"/>
              <w:spacing w:after="0"/>
              <w:rPr>
                <w:sz w:val="20"/>
                <w:szCs w:val="20"/>
                <w:color w:val="auto"/>
              </w:rPr>
            </w:pPr>
            <w:r>
              <w:rPr>
                <w:rFonts w:ascii="Arial" w:cs="Arial" w:eastAsia="Arial" w:hAnsi="Arial"/>
                <w:sz w:val="18"/>
                <w:szCs w:val="18"/>
                <w:i w:val="1"/>
                <w:iCs w:val="1"/>
                <w:color w:val="auto"/>
              </w:rPr>
              <w:t>Agonist antibody to NPR1</w:t>
            </w:r>
          </w:p>
        </w:tc>
        <w:tc>
          <w:tcPr>
            <w:tcW w:w="4760" w:type="dxa"/>
            <w:vAlign w:val="bottom"/>
            <w:shd w:val="clear" w:color="auto" w:fill="CDEAFA"/>
          </w:tcPr>
          <w:p>
            <w:pPr>
              <w:spacing w:after="0"/>
              <w:rPr>
                <w:sz w:val="21"/>
                <w:szCs w:val="21"/>
                <w:color w:val="auto"/>
              </w:rPr>
            </w:pPr>
          </w:p>
        </w:tc>
        <w:tc>
          <w:tcPr>
            <w:tcW w:w="4320" w:type="dxa"/>
            <w:vAlign w:val="bottom"/>
            <w:shd w:val="clear" w:color="auto" w:fill="CDEAFA"/>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40"/>
              <w:spacing w:after="0" w:line="216" w:lineRule="exact"/>
              <w:rPr>
                <w:sz w:val="20"/>
                <w:szCs w:val="20"/>
                <w:color w:val="auto"/>
              </w:rPr>
            </w:pPr>
            <w:r>
              <w:rPr>
                <w:rFonts w:ascii="Arial" w:cs="Arial" w:eastAsia="Arial" w:hAnsi="Arial"/>
                <w:sz w:val="16"/>
                <w:szCs w:val="16"/>
                <w:b w:val="1"/>
                <w:bCs w:val="1"/>
                <w:color w:val="auto"/>
              </w:rPr>
              <w:t>ALN-HSD</w:t>
            </w:r>
            <w:r>
              <w:rPr>
                <w:rFonts w:ascii="Arial" w:cs="Arial" w:eastAsia="Arial" w:hAnsi="Arial"/>
                <w:sz w:val="25"/>
                <w:szCs w:val="25"/>
                <w:b w:val="1"/>
                <w:bCs w:val="1"/>
                <w:color w:val="auto"/>
                <w:vertAlign w:val="superscript"/>
              </w:rPr>
              <w:t>(n)</w:t>
            </w:r>
          </w:p>
        </w:tc>
        <w:tc>
          <w:tcPr>
            <w:tcW w:w="4760" w:type="dxa"/>
            <w:vAlign w:val="bottom"/>
          </w:tcPr>
          <w:p>
            <w:pPr>
              <w:ind w:left="220"/>
              <w:spacing w:after="0"/>
              <w:rPr>
                <w:sz w:val="20"/>
                <w:szCs w:val="20"/>
                <w:color w:val="auto"/>
              </w:rPr>
            </w:pPr>
            <w:r>
              <w:rPr>
                <w:rFonts w:ascii="Arial" w:cs="Arial" w:eastAsia="Arial" w:hAnsi="Arial"/>
                <w:sz w:val="18"/>
                <w:szCs w:val="18"/>
                <w:color w:val="auto"/>
              </w:rPr>
              <w:t>–Nonalcoholic</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40"/>
              <w:spacing w:after="0"/>
              <w:rPr>
                <w:sz w:val="20"/>
                <w:szCs w:val="20"/>
                <w:color w:val="auto"/>
              </w:rPr>
            </w:pPr>
            <w:r>
              <w:rPr>
                <w:rFonts w:ascii="Arial" w:cs="Arial" w:eastAsia="Arial" w:hAnsi="Arial"/>
                <w:sz w:val="18"/>
                <w:szCs w:val="18"/>
                <w:i w:val="1"/>
                <w:iCs w:val="1"/>
                <w:color w:val="auto"/>
              </w:rPr>
              <w:t>RNAi therapeutic</w:t>
            </w:r>
          </w:p>
        </w:tc>
        <w:tc>
          <w:tcPr>
            <w:tcW w:w="4760" w:type="dxa"/>
            <w:vAlign w:val="bottom"/>
          </w:tcPr>
          <w:p>
            <w:pPr>
              <w:ind w:left="220"/>
              <w:spacing w:after="0"/>
              <w:rPr>
                <w:sz w:val="20"/>
                <w:szCs w:val="20"/>
                <w:color w:val="auto"/>
              </w:rPr>
            </w:pPr>
            <w:r>
              <w:rPr>
                <w:rFonts w:ascii="Arial" w:cs="Arial" w:eastAsia="Arial" w:hAnsi="Arial"/>
                <w:sz w:val="18"/>
                <w:szCs w:val="18"/>
                <w:color w:val="auto"/>
              </w:rPr>
              <w:t>steatohepatitis</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i w:val="1"/>
                <w:iCs w:val="1"/>
                <w:color w:val="auto"/>
              </w:rPr>
              <w:t>targeting HSD17B13</w:t>
            </w:r>
          </w:p>
        </w:tc>
        <w:tc>
          <w:tcPr>
            <w:tcW w:w="4760" w:type="dxa"/>
            <w:vAlign w:val="bottom"/>
          </w:tcPr>
          <w:p>
            <w:pPr>
              <w:ind w:left="220"/>
              <w:spacing w:after="0"/>
              <w:rPr>
                <w:sz w:val="20"/>
                <w:szCs w:val="20"/>
                <w:color w:val="auto"/>
              </w:rPr>
            </w:pPr>
            <w:r>
              <w:rPr>
                <w:rFonts w:ascii="Arial" w:cs="Arial" w:eastAsia="Arial" w:hAnsi="Arial"/>
                <w:sz w:val="18"/>
                <w:szCs w:val="18"/>
                <w:color w:val="auto"/>
              </w:rPr>
              <w:t>(“NASH”)</w:t>
            </w:r>
          </w:p>
        </w:tc>
        <w:tc>
          <w:tcPr>
            <w:tcW w:w="4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2160" w:type="dxa"/>
            <w:vAlign w:val="bottom"/>
          </w:tcPr>
          <w:p>
            <w:pPr>
              <w:spacing w:after="0"/>
              <w:rPr>
                <w:sz w:val="24"/>
                <w:szCs w:val="24"/>
                <w:color w:val="auto"/>
              </w:rPr>
            </w:pPr>
          </w:p>
        </w:tc>
        <w:tc>
          <w:tcPr>
            <w:tcW w:w="4760" w:type="dxa"/>
            <w:vAlign w:val="bottom"/>
          </w:tcPr>
          <w:p>
            <w:pPr>
              <w:ind w:left="3380"/>
              <w:spacing w:after="0"/>
              <w:rPr>
                <w:sz w:val="20"/>
                <w:szCs w:val="20"/>
                <w:color w:val="auto"/>
              </w:rPr>
            </w:pPr>
            <w:r>
              <w:rPr>
                <w:rFonts w:ascii="Arial" w:cs="Arial" w:eastAsia="Arial" w:hAnsi="Arial"/>
                <w:sz w:val="18"/>
                <w:szCs w:val="18"/>
                <w:color w:val="auto"/>
              </w:rPr>
              <w:t>13</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0C0C0"/>
            </w:tcBorders>
          </w:tcPr>
          <w:p>
            <w:pPr>
              <w:spacing w:after="0"/>
              <w:rPr>
                <w:sz w:val="21"/>
                <w:szCs w:val="21"/>
                <w:color w:val="auto"/>
              </w:rPr>
            </w:pPr>
          </w:p>
        </w:tc>
        <w:tc>
          <w:tcPr>
            <w:tcW w:w="4760" w:type="dxa"/>
            <w:vAlign w:val="bottom"/>
            <w:tcBorders>
              <w:bottom w:val="single" w:sz="8" w:color="C0C0C0"/>
            </w:tcBorders>
          </w:tcPr>
          <w:p>
            <w:pPr>
              <w:spacing w:after="0"/>
              <w:rPr>
                <w:sz w:val="21"/>
                <w:szCs w:val="21"/>
                <w:color w:val="auto"/>
              </w:rPr>
            </w:pPr>
          </w:p>
        </w:tc>
        <w:tc>
          <w:tcPr>
            <w:tcW w:w="43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type w:val="continuous"/>
        </w:sectPr>
      </w:pPr>
    </w:p>
    <w:bookmarkStart w:id="18" w:name="page19"/>
    <w:bookmarkEnd w:id="18"/>
    <w:p>
      <w:pPr>
        <w:ind w:right="600"/>
        <w:spacing w:after="0" w:line="293" w:lineRule="auto"/>
        <w:rPr>
          <w:sz w:val="20"/>
          <w:szCs w:val="20"/>
          <w:color w:val="auto"/>
        </w:rPr>
      </w:pPr>
      <w:r>
        <w:rPr>
          <w:rFonts w:ascii="Arial" w:cs="Arial" w:eastAsia="Arial" w:hAnsi="Arial"/>
          <w:sz w:val="16"/>
          <w:szCs w:val="16"/>
          <w:color w:val="auto"/>
        </w:rPr>
        <w:t>Note: For purposes of the table above, a program is classified in Phase 1, 2, or 3 clinical development after recruitment for the corresponding study or studies has commenced</w:t>
      </w:r>
    </w:p>
    <w:p>
      <w:pPr>
        <w:ind w:left="240" w:hanging="232"/>
        <w:spacing w:after="0" w:line="180" w:lineRule="auto"/>
        <w:tabs>
          <w:tab w:leader="none" w:pos="24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In collaboration with Sanofi</w:t>
      </w:r>
    </w:p>
    <w:p>
      <w:pPr>
        <w:spacing w:after="0" w:line="64" w:lineRule="exact"/>
        <w:rPr>
          <w:rFonts w:ascii="Arial" w:cs="Arial" w:eastAsia="Arial" w:hAnsi="Arial"/>
          <w:sz w:val="25"/>
          <w:szCs w:val="25"/>
          <w:color w:val="auto"/>
          <w:vertAlign w:val="superscript"/>
        </w:rPr>
      </w:pPr>
    </w:p>
    <w:p>
      <w:pPr>
        <w:ind w:left="240" w:hanging="232"/>
        <w:spacing w:after="0" w:line="182" w:lineRule="auto"/>
        <w:tabs>
          <w:tab w:leader="none" w:pos="2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In collaboration with Bayer outside of the United States</w:t>
      </w:r>
    </w:p>
    <w:p>
      <w:pPr>
        <w:spacing w:after="0" w:line="64" w:lineRule="exact"/>
        <w:rPr>
          <w:rFonts w:ascii="Arial" w:cs="Arial" w:eastAsia="Arial" w:hAnsi="Arial"/>
          <w:sz w:val="22"/>
          <w:szCs w:val="22"/>
          <w:color w:val="auto"/>
          <w:vertAlign w:val="superscript"/>
        </w:rPr>
      </w:pPr>
    </w:p>
    <w:p>
      <w:pPr>
        <w:ind w:left="240" w:hanging="232"/>
        <w:spacing w:after="0" w:line="182" w:lineRule="auto"/>
        <w:tabs>
          <w:tab w:leader="none" w:pos="2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FDA granted orphan drug designation</w:t>
      </w:r>
    </w:p>
    <w:p>
      <w:pPr>
        <w:spacing w:after="0" w:line="64" w:lineRule="exact"/>
        <w:rPr>
          <w:rFonts w:ascii="Arial" w:cs="Arial" w:eastAsia="Arial" w:hAnsi="Arial"/>
          <w:sz w:val="22"/>
          <w:szCs w:val="22"/>
          <w:color w:val="auto"/>
          <w:vertAlign w:val="superscript"/>
        </w:rPr>
      </w:pPr>
    </w:p>
    <w:p>
      <w:pPr>
        <w:ind w:left="240" w:hanging="232"/>
        <w:spacing w:after="0" w:line="182" w:lineRule="auto"/>
        <w:tabs>
          <w:tab w:leader="none" w:pos="2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FDA granted Breakthrough Therapy designation</w:t>
      </w:r>
    </w:p>
    <w:p>
      <w:pPr>
        <w:spacing w:after="0" w:line="64" w:lineRule="exact"/>
        <w:rPr>
          <w:rFonts w:ascii="Arial" w:cs="Arial" w:eastAsia="Arial" w:hAnsi="Arial"/>
          <w:sz w:val="22"/>
          <w:szCs w:val="22"/>
          <w:color w:val="auto"/>
          <w:vertAlign w:val="superscript"/>
        </w:rPr>
      </w:pPr>
    </w:p>
    <w:p>
      <w:pPr>
        <w:ind w:left="240" w:hanging="232"/>
        <w:spacing w:after="0" w:line="182" w:lineRule="auto"/>
        <w:tabs>
          <w:tab w:leader="none" w:pos="2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FDA granted Fast Track designation</w:t>
      </w:r>
    </w:p>
    <w:p>
      <w:pPr>
        <w:spacing w:after="0" w:line="105" w:lineRule="exact"/>
        <w:rPr>
          <w:rFonts w:ascii="Arial" w:cs="Arial" w:eastAsia="Arial" w:hAnsi="Arial"/>
          <w:sz w:val="22"/>
          <w:szCs w:val="22"/>
          <w:color w:val="auto"/>
          <w:vertAlign w:val="superscript"/>
        </w:rPr>
      </w:pPr>
    </w:p>
    <w:p>
      <w:pPr>
        <w:ind w:firstLine="8"/>
        <w:spacing w:after="0" w:line="191" w:lineRule="auto"/>
        <w:tabs>
          <w:tab w:leader="none" w:pos="216"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Sanofi did not opt-in to or elected not to continue to co-develop the product candidate. Under the terms of our agreement, Sanofi is entitled to receive royalties on sales of the product, if any.</w:t>
      </w:r>
    </w:p>
    <w:p>
      <w:pPr>
        <w:spacing w:after="0" w:line="1" w:lineRule="exact"/>
        <w:rPr>
          <w:rFonts w:ascii="Arial" w:cs="Arial" w:eastAsia="Arial" w:hAnsi="Arial"/>
          <w:sz w:val="27"/>
          <w:szCs w:val="27"/>
          <w:color w:val="auto"/>
          <w:vertAlign w:val="superscript"/>
        </w:rPr>
      </w:pPr>
    </w:p>
    <w:p>
      <w:pPr>
        <w:ind w:left="240" w:hanging="232"/>
        <w:spacing w:after="0" w:line="198" w:lineRule="auto"/>
        <w:tabs>
          <w:tab w:leader="none" w:pos="240"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Studied as monotherapy and in combination with other antibodies and treatments</w:t>
      </w:r>
    </w:p>
    <w:p>
      <w:pPr>
        <w:spacing w:after="0" w:line="64" w:lineRule="exact"/>
        <w:rPr>
          <w:rFonts w:ascii="Arial" w:cs="Arial" w:eastAsia="Arial" w:hAnsi="Arial"/>
          <w:sz w:val="27"/>
          <w:szCs w:val="27"/>
          <w:color w:val="auto"/>
          <w:vertAlign w:val="superscript"/>
        </w:rPr>
      </w:pPr>
    </w:p>
    <w:p>
      <w:pPr>
        <w:ind w:left="240" w:hanging="232"/>
        <w:spacing w:after="0" w:line="182" w:lineRule="auto"/>
        <w:tabs>
          <w:tab w:leader="none" w:pos="2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Information in this column relates to U.S., EU, and Japan regulatory submissions only</w:t>
      </w:r>
    </w:p>
    <w:p>
      <w:pPr>
        <w:spacing w:after="0" w:line="105" w:lineRule="exact"/>
        <w:rPr>
          <w:rFonts w:ascii="Arial" w:cs="Arial" w:eastAsia="Arial" w:hAnsi="Arial"/>
          <w:sz w:val="22"/>
          <w:szCs w:val="22"/>
          <w:color w:val="auto"/>
          <w:vertAlign w:val="superscript"/>
        </w:rPr>
      </w:pPr>
    </w:p>
    <w:p>
      <w:pPr>
        <w:ind w:right="260" w:firstLine="8"/>
        <w:spacing w:after="0" w:line="191" w:lineRule="auto"/>
        <w:tabs>
          <w:tab w:leader="none" w:pos="199"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As described in the section preceding the table above and Part I, Item 1A. “Risk Factors,” development timelines may be further subject to change as a result of the impact of the COVID-19 pandemic.</w:t>
      </w:r>
    </w:p>
    <w:p>
      <w:pPr>
        <w:spacing w:after="0" w:line="1" w:lineRule="exact"/>
        <w:rPr>
          <w:rFonts w:ascii="Arial" w:cs="Arial" w:eastAsia="Arial" w:hAnsi="Arial"/>
          <w:sz w:val="27"/>
          <w:szCs w:val="27"/>
          <w:color w:val="auto"/>
          <w:vertAlign w:val="superscript"/>
        </w:rPr>
      </w:pPr>
    </w:p>
    <w:p>
      <w:pPr>
        <w:ind w:left="240" w:hanging="232"/>
        <w:spacing w:after="0" w:line="198" w:lineRule="auto"/>
        <w:tabs>
          <w:tab w:leader="none" w:pos="240"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In collaboration with Teva and Mitsubishi Tanabe Pharma</w:t>
      </w:r>
    </w:p>
    <w:p>
      <w:pPr>
        <w:spacing w:after="0" w:line="64" w:lineRule="exact"/>
        <w:rPr>
          <w:rFonts w:ascii="Arial" w:cs="Arial" w:eastAsia="Arial" w:hAnsi="Arial"/>
          <w:sz w:val="27"/>
          <w:szCs w:val="27"/>
          <w:color w:val="auto"/>
          <w:vertAlign w:val="superscript"/>
        </w:rPr>
      </w:pPr>
    </w:p>
    <w:p>
      <w:pPr>
        <w:ind w:left="240" w:hanging="232"/>
        <w:spacing w:after="0" w:line="182" w:lineRule="auto"/>
        <w:tabs>
          <w:tab w:leader="none" w:pos="2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Certain trials conducted with the National Institute of Allergy and Infectious Diseases (“NIAID”), part of the NIH</w:t>
      </w:r>
    </w:p>
    <w:p>
      <w:pPr>
        <w:spacing w:after="0" w:line="64" w:lineRule="exact"/>
        <w:rPr>
          <w:rFonts w:ascii="Arial" w:cs="Arial" w:eastAsia="Arial" w:hAnsi="Arial"/>
          <w:sz w:val="22"/>
          <w:szCs w:val="22"/>
          <w:color w:val="auto"/>
          <w:vertAlign w:val="superscript"/>
        </w:rPr>
      </w:pPr>
    </w:p>
    <w:p>
      <w:pPr>
        <w:ind w:left="240" w:hanging="232"/>
        <w:spacing w:after="0" w:line="182" w:lineRule="auto"/>
        <w:tabs>
          <w:tab w:leader="none" w:pos="2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In collaboration with Roche outside of the United States</w:t>
      </w:r>
    </w:p>
    <w:p>
      <w:pPr>
        <w:spacing w:after="0" w:line="64" w:lineRule="exact"/>
        <w:rPr>
          <w:rFonts w:ascii="Arial" w:cs="Arial" w:eastAsia="Arial" w:hAnsi="Arial"/>
          <w:sz w:val="22"/>
          <w:szCs w:val="22"/>
          <w:color w:val="auto"/>
          <w:vertAlign w:val="superscript"/>
        </w:rPr>
      </w:pPr>
    </w:p>
    <w:p>
      <w:pPr>
        <w:ind w:left="240" w:hanging="232"/>
        <w:spacing w:after="0" w:line="182" w:lineRule="auto"/>
        <w:tabs>
          <w:tab w:leader="none" w:pos="2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In collaboration with Intellia</w:t>
      </w:r>
    </w:p>
    <w:p>
      <w:pPr>
        <w:spacing w:after="0" w:line="64" w:lineRule="exact"/>
        <w:rPr>
          <w:rFonts w:ascii="Arial" w:cs="Arial" w:eastAsia="Arial" w:hAnsi="Arial"/>
          <w:sz w:val="22"/>
          <w:szCs w:val="22"/>
          <w:color w:val="auto"/>
          <w:vertAlign w:val="superscript"/>
        </w:rPr>
      </w:pPr>
    </w:p>
    <w:p>
      <w:pPr>
        <w:ind w:left="240" w:hanging="232"/>
        <w:spacing w:after="0" w:line="182" w:lineRule="auto"/>
        <w:tabs>
          <w:tab w:leader="none" w:pos="2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In collaboration with Alnylam</w:t>
      </w:r>
    </w:p>
    <w:p>
      <w:pPr>
        <w:spacing w:after="0" w:line="64" w:lineRule="exact"/>
        <w:rPr>
          <w:rFonts w:ascii="Arial" w:cs="Arial" w:eastAsia="Arial" w:hAnsi="Arial"/>
          <w:sz w:val="22"/>
          <w:szCs w:val="22"/>
          <w:color w:val="auto"/>
          <w:vertAlign w:val="superscript"/>
        </w:rPr>
      </w:pPr>
    </w:p>
    <w:p>
      <w:pPr>
        <w:ind w:left="240" w:hanging="232"/>
        <w:spacing w:after="0" w:line="182" w:lineRule="auto"/>
        <w:tabs>
          <w:tab w:leader="none" w:pos="2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In collaboration with Ultragenyx outside of the United States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60"/>
          </w:cols>
          <w:pgMar w:left="320" w:top="413" w:right="5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Additional Information - Clinical Development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 (casirivimab and imdevimab)</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laboratory data that showed markedly decreased binding to the Omicron spike protein, REGEN-COV is highly unlikely to be active against the Omicron variant. In January 2022, the FDA revised the EUA for REGEN-COV to exclude its use in geographic regions where, based on available information including variant susceptibility and regional variant frequency, infection or exposure is likely due to a variant such as Omicron (B.1.1.529) that is not susceptible to the treatment. See “REGEN-COV - Emergency and Temporary Use Authorizations” above for further information.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completed or discontinued dosing with REGEN-COV in all COVID-19 treatment and prevention studies. However, the Company continues to progress “next generation” antibodies that are active against Omicron, Delta, and other variants of concern. Pending regulatory discussions, new therapeutic candidates could enter clinical development in the coming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REGEN-COV Treatment Study - Hospitalized Patients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Phase 3 UK-based RECOVERY trial in hospitalized patients with severe COVID-19 found that adding REGEN-COV to usual care reduced the risk of death by 20% in patients who had not mounted a natural antibody response on their own against SARS-CoV-2, compared to usual care alone. We were subsequently notified by the sponsor of the RECOVERY trial of a Good Clinical Practices (“GCPs”) inspection of the trial by the UK MHRA, which found certain deviations from GCP compliance. The MHRA report stated that it found no evidence that the identified issues had impacted the overall data integrity to such an extent that the data would be unreliable based on those findings. However, it noted that certain aspects of data quality could not be fully assured and requested that certain corrective and preventative actions be taken; the sponsor of the trial has been in discussions with the MHRA and is responding to these findings. We have shared this information with the FDA.</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Company-sponsored Phase 2/3 study in hospitalized patients, REGEN-COV met the primary virologic endpoint, showing that REGEN-COV reduced viral load in these hospitalized patients, but did not achieve statistical significance in the pre-specified primary clinical endpoint: reduction in mechanical ventilation or death from day 6 to day 29 in patients with high viral load at baseline. However, the study showed a reduction in mechanical ventilation or death from day 1 to day 29 in all patients who were SARS-CoV-2 PCR-positive at baseline. In addition, an approximately 36% reduction in all-cause mortality was seen from day 1 to day 29, supporting the results of the RECOVERY trial.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2021, the Company announced that a Phase 3 trial in patients hospitalized with COVID-19 met its primary endpoint. The trial showed that REGEN-COV significantly reduced viral load within 7 days of treatment in patients who entered the trial without having mounted their own antibody response (seronegative) and required low-flow or no supplemental oxygen. Patients who received REGEN-COV in this trial experienced a 36% reduced risk of death within 29 days of receiving treatment, and in patients who were seronegative when they entered the trial the risk of death was reduced by 56%.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REGEN-COV Prevention Study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2021, we announced positive results from the Phase 3 COVID-19 prevention trial in household contacts of SARS-CoV-2 infected individuals. The trial, which was jointly run with the NIAID, part of the NIH, met its primary and key secondary endpoints, showing that REGEN-COV 1,200 mg subcutaneous injection reduced the risk of symptomatic infections by 81% in those who were not infected.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we announced additional positive results from the Phase 3 COVID-19 prevention trial jointly run with the NIAID, showing the a single dose of REGEN-COV reduced the risk of contracting COVID-19 by 81.6% during the pre-specified follow-up period (months 2–8), maintaining the risk reduction reported during the first month after administration, which is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Descriptions of Marketed Products Studied in Additional Indications and Product Candidates in Late-Stage 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(aflibercept)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EYLEA (2 mg intravitreal injection) is a soluble fusion protein that acts as a vascular endothelial growth factor (“VEGF”) inhibitor, formulated as an injection for the eye. It is designed to block the growth of new blood vessels and decrease the ability of fluid to pass through blood vessels (vascular permeability) in the eye by blocking VEGF-A and PLGF, two growth factors involved in angiogenesis.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Aflibercept 8 mg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Aflibercept 8 mg is an investigational soluble fusion protein that acts as a VEGF inhibitor (see related description under “EYLEA (aflibercept)” above).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This concentrated aflibercept formulation is being studied in wet AMD and DME, investigating dosing intervals of every 12 weeks and every 16 weeks.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Dupixent (dupilumab)</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Dupixent is a fully human monoclonal antibody that inhibits signaling of the IL-4 and IL-13 pathways, and is not an immunosuppressant. IL-4 and IL-13 are key and central drivers of the type 2 inflammation that plays a major role in atopic dermatitis, asthma, and CRSwNP, and potentially other chronic allergic diseases.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Kevzara (sarilumab)</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Kevzara is a fully human monoclonal antibody that binds specifically to the IL-6 receptor and inhibits IL-6-mediated signaling. IL-6 is a signaling protein produced in increased quantities in patients with RA and has been associated with disease activity, joint destruction, and other systemic problems.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Itepekimab</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Itepekimab is an investigational, fully human monoclonal antibody that inhibits IL-33, a protein that is believed to play a key role in lung inflammation in COPD.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REGN1908-1909</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REGN1908-1909 is an investigational, novel cocktail of two fully human monoclonal immunoglobulin G antibodies that is designed to specifically bind and block the Fel d 1 allergen, thus preventing it from binding and triggering the endogenous antibodies that cause allergies (i.e., immunoglobulin E antibodies). Cat allergy is primarily caused by exposure to Fel d 1, the major allergen in cat dander produced by all cats.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REGN5713-5714-5715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REGN5713-5714-5715 is an investigational combination of three fully human monoclonal antibodies designed to treat allergic inflammatory conditions caused by the allergen Betv1, which is the main allergen responsible for birch pollen allergies. Birch pollen allergy is one of the most common causes of seasonal allergies that occur in the spring, and is also believed to trigger “oral allergy syndrome” food reactions to related allergens found in nuts and fruits such as apples, pears, and cherries.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Libtayo (cemiplimab)</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Libtayo is a fully human monoclonal antibody targeting the immune checkpoint receptor PD-1 on T-cells. The PD-1/PD-L1 immune checkpoint pathway is a well-known mechanism by which cancers evade immune destruction. Regeneron is studying Libtayo as monotherapy and in combination with either conventional or novel therapeutic approaches in various solid tumors and blood cancers. It is also being studied in combination with proprietary anti-cancer assets of other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Odronextamab</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Odronextamab is an investigational bispecific monoclonal antibody designed to bind to a component of the T-cell receptor (“TCR”) complex (CD3), while also binding and bridging T-cells to a protein expressed on B-cells (CD20). We are studying whether odronextamab may help to activate T-cells via their CD3 receptors and trigger targeted, T-cell mediated killing of cancerous cells in several types of B-cell non-Hodgkin lymphoma.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REGN5458</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REGN5458 is an investigational bispecific monoclonal antibody designed to bind to CD3 while also binding and bridging T-cells to the BCMA protein on multiple myeloma cells. We are studying whether REGN5458 may help to activate T-cells via their CD3 receptors and trigger targeted, T-cell mediated killing of multiple myeloma.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Pozelimab</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Pozelimab is an investigational, fully human monoclonal antibody designed to block complement factor C5 in order to treat diseases mediated by abnormal complement pathway activity, including PNH, CD55-deficient protein-losing enteropathy, and myasthenia gravis. Pozelimab is being studied as monotherapy and also in combination with Alnylam’s investigational siRNA therapy, cemdisiran.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REGEN-COV (casirivimab and imdevimab)</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REGEN-COV is an investigational cocktail of two fully human monoclonal antibodies designed to prevent and treat infection from the SARS-CoV-2 virus. The two potent, virus-neutralizing antibodies that form the cocktail bind non-competitively to the critical receptor binding domain of the virus’s spike protein.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Praluent (alirocumab)</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Praluent is a fully human monoclonal antibody that inhibits the binding of PCSK9 to the LDL receptor. Through inhibiting PCSK9, Praluent increases the number of available LDL receptors on the surface of liver cells to clear LDL, which lowers LDL cholesterol levels in the blood.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Fasinumab is an investigational, fully human monoclonal antibody that targets NGF, a protein that plays a central role in the regulation of pain signaling, and is a potential new way to manage pain without resorting to opioids.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Evkeeza (evinacumab)</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Evkeeza is a fully human monoclonal antibody that specifically binds to and blocks ANGPTL3. ANGPTL3 plays a key role in regulating plasma lipid levels, including triglycerides, LDL cholesterol, and HDL cholesterol, through inhibition of lipase enzymes (lipoprotein lipase and endothelial lipase).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Programs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infectious diseases, diseases related to aging, and rare diseases.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proteins that play an important role in biology and disease are secreted by cells or located on the cell surface. Moreover, cells communicate through secreted factors and surface molecules. Our scientists have developed two different technologies to make protein therapeutics that potently and specifically block, activate, or inhibit the action of specific cell surface or secreted molecules. The first technology fuses receptor components to the constant region of an antibody molecule to make a class of drugs we call “Traps”. EYLEA, ZALTRAP, and ARCALYST are drugs generated using our Trap technology.</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i w:val="1"/>
          <w:iCs w:val="1"/>
          <w:color w:val="auto"/>
        </w:rPr>
        <w:t>VelociSuite</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our second technology platform, which is used for discovering, developing, and producing fully human antibodies that can address both</w:t>
      </w:r>
      <w:r>
        <w:rPr>
          <w:rFonts w:ascii="Arial" w:cs="Arial" w:eastAsia="Arial" w:hAnsi="Arial"/>
          <w:sz w:val="18"/>
          <w:szCs w:val="18"/>
          <w:i w:val="1"/>
          <w:iCs w:val="1"/>
          <w:color w:val="auto"/>
        </w:rPr>
        <w:t xml:space="preserve"> </w:t>
      </w:r>
      <w:r>
        <w:rPr>
          <w:rFonts w:ascii="Arial" w:cs="Arial" w:eastAsia="Arial" w:hAnsi="Arial"/>
          <w:sz w:val="18"/>
          <w:szCs w:val="18"/>
          <w:color w:val="auto"/>
        </w:rPr>
        <w:t>secreted and cell-surface targets.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VelociSuite</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VelociSuite </w:t>
      </w:r>
      <w:r>
        <w:rPr>
          <w:rFonts w:ascii="Arial" w:cs="Arial" w:eastAsia="Arial" w:hAnsi="Arial"/>
          <w:sz w:val="17"/>
          <w:szCs w:val="17"/>
          <w:color w:val="auto"/>
        </w:rPr>
        <w:t>consists of</w:t>
      </w:r>
      <w:r>
        <w:rPr>
          <w:rFonts w:ascii="Arial" w:cs="Arial" w:eastAsia="Arial" w:hAnsi="Arial"/>
          <w:sz w:val="17"/>
          <w:szCs w:val="17"/>
          <w:i w:val="1"/>
          <w:iCs w:val="1"/>
          <w:color w:val="auto"/>
        </w:rPr>
        <w:t xml:space="preserve"> VelocImmune</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VelociGene</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VelociMouse</w:t>
      </w:r>
      <w:r>
        <w:rPr>
          <w:rFonts w:ascii="Arial" w:cs="Arial" w:eastAsia="Arial" w:hAnsi="Arial"/>
          <w:sz w:val="28"/>
          <w:szCs w:val="28"/>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VelociMab</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Veloci-Bi</w:t>
      </w:r>
      <w:r>
        <w:rPr>
          <w:rFonts w:ascii="Arial" w:cs="Arial" w:eastAsia="Arial" w:hAnsi="Arial"/>
          <w:sz w:val="28"/>
          <w:szCs w:val="28"/>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VelociT</w:t>
      </w:r>
      <w:r>
        <w:rPr>
          <w:rFonts w:ascii="Arial" w:cs="Arial" w:eastAsia="Arial" w:hAnsi="Arial"/>
          <w:sz w:val="28"/>
          <w:szCs w:val="28"/>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VelociHum</w:t>
      </w:r>
      <w:r>
        <w:rPr>
          <w:rFonts w:ascii="Arial" w:cs="Arial" w:eastAsia="Arial" w:hAnsi="Arial"/>
          <w:sz w:val="28"/>
          <w:szCs w:val="28"/>
          <w:color w:val="auto"/>
          <w:vertAlign w:val="superscript"/>
        </w:rPr>
        <w:t>®</w:t>
      </w:r>
      <w:r>
        <w:rPr>
          <w:rFonts w:ascii="Arial" w:cs="Arial" w:eastAsia="Arial" w:hAnsi="Arial"/>
          <w:sz w:val="17"/>
          <w:szCs w:val="17"/>
          <w:color w:val="auto"/>
        </w:rPr>
        <w:t>, and other related technologies. The</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mouse platform is utilized to produce fully human antibodies.</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was generated by leveraging our</w:t>
      </w:r>
      <w:r>
        <w:rPr>
          <w:rFonts w:ascii="Arial" w:cs="Arial" w:eastAsia="Arial" w:hAnsi="Arial"/>
          <w:sz w:val="17"/>
          <w:szCs w:val="17"/>
          <w:i w:val="1"/>
          <w:iCs w:val="1"/>
          <w:color w:val="auto"/>
        </w:rPr>
        <w:t xml:space="preserve"> VelociGene </w:t>
      </w:r>
      <w:r>
        <w:rPr>
          <w:rFonts w:ascii="Arial" w:cs="Arial" w:eastAsia="Arial" w:hAnsi="Arial"/>
          <w:sz w:val="17"/>
          <w:szCs w:val="17"/>
          <w:color w:val="auto"/>
        </w:rPr>
        <w:t>technology (see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below), in a process in which six megabases of mouse immune gene loci were replaced, or “humanized,” with corresponding human immune gene loci. </w:t>
      </w:r>
      <w:r>
        <w:rPr>
          <w:rFonts w:ascii="Arial" w:cs="Arial" w:eastAsia="Arial" w:hAnsi="Arial"/>
          <w:sz w:val="17"/>
          <w:szCs w:val="17"/>
          <w:i w:val="1"/>
          <w:iCs w:val="1"/>
          <w:color w:val="auto"/>
        </w:rPr>
        <w:t xml:space="preserve">VelocImmune </w:t>
      </w:r>
      <w:r>
        <w:rPr>
          <w:rFonts w:ascii="Arial" w:cs="Arial" w:eastAsia="Arial" w:hAnsi="Arial"/>
          <w:sz w:val="17"/>
          <w:szCs w:val="17"/>
          <w:color w:val="auto"/>
        </w:rPr>
        <w:t>mice can be used efficiently to generate fully human antibodies to targets of therapeutic interest.</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and our entire</w:t>
      </w:r>
      <w:r>
        <w:rPr>
          <w:rFonts w:ascii="Arial" w:cs="Arial" w:eastAsia="Arial" w:hAnsi="Arial"/>
          <w:sz w:val="17"/>
          <w:szCs w:val="17"/>
          <w:i w:val="1"/>
          <w:iCs w:val="1"/>
          <w:color w:val="auto"/>
        </w:rPr>
        <w:t xml:space="preserve"> VelociSuite </w:t>
      </w:r>
      <w:r>
        <w:rPr>
          <w:rFonts w:ascii="Arial" w:cs="Arial" w:eastAsia="Arial" w:hAnsi="Arial"/>
          <w:sz w:val="17"/>
          <w:szCs w:val="17"/>
          <w:color w:val="auto"/>
        </w:rPr>
        <w:t>offer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potential to increase the speed and efficiency through which human antibody therapeutics may be discovered and validated, thereby improving the overall efficiency of our early stage drug development activities. We are utilizing the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produce our next generation of therapeutic antibody drug candidates for preclinical and clinical development.</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platform allows custom and precise manipulation of very large sequences of DNA to produce highly customized alterations of a specified target gene, or genes, and accelerates the production of knock-out and transgenic expression models.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offers the opportunity to humanize targets by replacing the mouse gene with the human homolog. Thus,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allows scientists to rapidly identify the physical and biological effects of deleting or over-expressing the target gene, as well as to characterize and test potential therapeutic molecules.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i w:val="1"/>
          <w:iCs w:val="1"/>
          <w:color w:val="auto"/>
        </w:rPr>
        <w:t xml:space="preserve">VelociMab </w:t>
      </w:r>
      <w:r>
        <w:rPr>
          <w:rFonts w:ascii="Arial" w:cs="Arial" w:eastAsia="Arial" w:hAnsi="Arial"/>
          <w:sz w:val="18"/>
          <w:szCs w:val="18"/>
          <w:color w:val="auto"/>
        </w:rPr>
        <w:t>platform for the rapid screening of antibodies and rapid generation of expression cell lines for our Traps and our</w:t>
      </w:r>
      <w:r>
        <w:rPr>
          <w:rFonts w:ascii="Arial" w:cs="Arial" w:eastAsia="Arial" w:hAnsi="Arial"/>
          <w:sz w:val="18"/>
          <w:szCs w:val="18"/>
          <w:i w:val="1"/>
          <w:iCs w:val="1"/>
          <w:color w:val="auto"/>
        </w:rPr>
        <w:t xml:space="preserve"> VelocImmune </w:t>
      </w:r>
      <w:r>
        <w:rPr>
          <w:rFonts w:ascii="Arial" w:cs="Arial" w:eastAsia="Arial" w:hAnsi="Arial"/>
          <w:sz w:val="18"/>
          <w:szCs w:val="18"/>
          <w:color w:val="auto"/>
        </w:rPr>
        <w:t>human</w:t>
      </w:r>
      <w:r>
        <w:rPr>
          <w:rFonts w:ascii="Arial" w:cs="Arial" w:eastAsia="Arial" w:hAnsi="Arial"/>
          <w:sz w:val="18"/>
          <w:szCs w:val="18"/>
          <w:i w:val="1"/>
          <w:iCs w:val="1"/>
          <w:color w:val="auto"/>
        </w:rPr>
        <w:t xml:space="preserve"> </w:t>
      </w:r>
      <w:r>
        <w:rPr>
          <w:rFonts w:ascii="Arial" w:cs="Arial" w:eastAsia="Arial" w:hAnsi="Arial"/>
          <w:sz w:val="18"/>
          <w:szCs w:val="18"/>
          <w:color w:val="auto"/>
        </w:rPr>
        <w:t>antibodies.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utilized our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technologies to develop a class of potential drug candidates, known as bispecific antibodies. </w:t>
      </w:r>
      <w:r>
        <w:rPr>
          <w:rFonts w:ascii="Arial" w:cs="Arial" w:eastAsia="Arial" w:hAnsi="Arial"/>
          <w:sz w:val="17"/>
          <w:szCs w:val="17"/>
          <w:i w:val="1"/>
          <w:iCs w:val="1"/>
          <w:color w:val="auto"/>
        </w:rPr>
        <w:t>Veloci-Bi</w:t>
      </w:r>
      <w:r>
        <w:rPr>
          <w:rFonts w:ascii="Arial" w:cs="Arial" w:eastAsia="Arial" w:hAnsi="Arial"/>
          <w:sz w:val="17"/>
          <w:szCs w:val="17"/>
          <w:color w:val="auto"/>
        </w:rPr>
        <w:t xml:space="preserve"> allows for the generation of full-length bispecific antibodies similar to native antibodies that are amenable to production by standard antibody manufacturing techniques, and are likely to have favorable antibody-like pharmacokinetic properties. In the area of immunotherapies in oncology, we are exploring the use of bispecific antibodies that target tumor antigens and the CD3 receptor on T-cells to harness the oncolytic properties of T-cells. We are exploring additional indications and applications for our bispecific technologies, including a new class of CD28 and 4-1BB costimulatory bispecifics.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VelociT</w:t>
      </w:r>
      <w:r>
        <w:rPr>
          <w:rFonts w:ascii="Arial" w:cs="Arial" w:eastAsia="Arial" w:hAnsi="Arial"/>
          <w:sz w:val="18"/>
          <w:szCs w:val="18"/>
          <w:color w:val="auto"/>
        </w:rPr>
        <w:t xml:space="preserve"> mouse extends our research and drug discovery capabilities into cell-mediated immunity and therapeutic TCRs for oncology and other indications. </w:t>
      </w:r>
      <w:r>
        <w:rPr>
          <w:rFonts w:ascii="Arial" w:cs="Arial" w:eastAsia="Arial" w:hAnsi="Arial"/>
          <w:sz w:val="18"/>
          <w:szCs w:val="18"/>
          <w:i w:val="1"/>
          <w:iCs w:val="1"/>
          <w:color w:val="auto"/>
        </w:rPr>
        <w:t>VelociT</w:t>
      </w:r>
      <w:r>
        <w:rPr>
          <w:rFonts w:ascii="Arial" w:cs="Arial" w:eastAsia="Arial" w:hAnsi="Arial"/>
          <w:sz w:val="18"/>
          <w:szCs w:val="18"/>
          <w:color w:val="auto"/>
        </w:rPr>
        <w:t xml:space="preserve"> was developed by using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to humanize genes encoding TCRα and TCRβ variable sequences, CD4 and CD8 co-receptors, β2m, and class-I and -II major histocompatibility complexes. As a result, </w:t>
      </w:r>
      <w:r>
        <w:rPr>
          <w:rFonts w:ascii="Arial" w:cs="Arial" w:eastAsia="Arial" w:hAnsi="Arial"/>
          <w:sz w:val="18"/>
          <w:szCs w:val="18"/>
          <w:i w:val="1"/>
          <w:iCs w:val="1"/>
          <w:color w:val="auto"/>
        </w:rPr>
        <w:t>VelociT</w:t>
      </w:r>
      <w:r>
        <w:rPr>
          <w:rFonts w:ascii="Arial" w:cs="Arial" w:eastAsia="Arial" w:hAnsi="Arial"/>
          <w:sz w:val="18"/>
          <w:szCs w:val="18"/>
          <w:color w:val="auto"/>
        </w:rPr>
        <w:t xml:space="preserve"> mice generate fully human TCRs, providing for customized modeling of T-cell function in different diseases and a powerful platform for the discovery of unique TCR-based therapies. We are also able to produce antibodies that recognize intracellular peptides bound in the groove of human leukocyte antigen (“HLA”), enabling the targeting of intracellular proteins in cancer cells.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VelociHum </w:t>
      </w:r>
      <w:r>
        <w:rPr>
          <w:rFonts w:ascii="Arial" w:cs="Arial" w:eastAsia="Arial" w:hAnsi="Arial"/>
          <w:sz w:val="17"/>
          <w:szCs w:val="17"/>
          <w:color w:val="auto"/>
        </w:rPr>
        <w:t>is our immunodeficient mouse platform that can be used to accurately test human therapeutics against human immune cells and to study human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tumor models. Through genetic humanizations, </w:t>
      </w:r>
      <w:r>
        <w:rPr>
          <w:rFonts w:ascii="Arial" w:cs="Arial" w:eastAsia="Arial" w:hAnsi="Arial"/>
          <w:sz w:val="17"/>
          <w:szCs w:val="17"/>
          <w:i w:val="1"/>
          <w:iCs w:val="1"/>
          <w:color w:val="auto"/>
        </w:rPr>
        <w:t>VelociHum</w:t>
      </w:r>
      <w:r>
        <w:rPr>
          <w:rFonts w:ascii="Arial" w:cs="Arial" w:eastAsia="Arial" w:hAnsi="Arial"/>
          <w:sz w:val="17"/>
          <w:szCs w:val="17"/>
          <w:color w:val="auto"/>
        </w:rPr>
        <w:t xml:space="preserve"> mice have been optimized to allow for better development of human immune cells </w:t>
      </w:r>
      <w:r>
        <w:rPr>
          <w:rFonts w:ascii="Arial" w:cs="Arial" w:eastAsia="Arial" w:hAnsi="Arial"/>
          <w:sz w:val="17"/>
          <w:szCs w:val="17"/>
          <w:i w:val="1"/>
          <w:iCs w:val="1"/>
          <w:color w:val="auto"/>
        </w:rPr>
        <w:t>in vivo</w:t>
      </w:r>
      <w:r>
        <w:rPr>
          <w:rFonts w:ascii="Arial" w:cs="Arial" w:eastAsia="Arial" w:hAnsi="Arial"/>
          <w:sz w:val="17"/>
          <w:szCs w:val="17"/>
          <w:color w:val="auto"/>
        </w:rPr>
        <w:t>, as well as to allow for engraftment of primary patient-derived tumors that do not take in other commercially available mice.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Genetics Center</w:t>
      </w:r>
      <w:r>
        <w:rPr>
          <w:rFonts w:ascii="Arial" w:cs="Arial" w:eastAsia="Arial" w:hAnsi="Arial"/>
          <w:sz w:val="29"/>
          <w:szCs w:val="29"/>
          <w:b w:val="1"/>
          <w:bCs w:val="1"/>
          <w:color w:val="auto"/>
          <w:vertAlign w:val="superscript"/>
        </w:rPr>
        <w:t>®</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Regeneron Genetics Center (RGC</w:t>
      </w:r>
      <w:r>
        <w:rPr>
          <w:rFonts w:ascii="Arial" w:cs="Arial" w:eastAsia="Arial" w:hAnsi="Arial"/>
          <w:sz w:val="26"/>
          <w:szCs w:val="26"/>
          <w:color w:val="auto"/>
          <w:vertAlign w:val="superscript"/>
        </w:rPr>
        <w:t>™</w:t>
      </w:r>
      <w:r>
        <w:rPr>
          <w:rFonts w:ascii="Arial" w:cs="Arial" w:eastAsia="Arial" w:hAnsi="Arial"/>
          <w:sz w:val="16"/>
          <w:szCs w:val="16"/>
          <w:color w:val="auto"/>
        </w:rPr>
        <w:t>), a wholly owned subsidiary of Regeneron Pharmaceuticals, Inc., leverages de-identified clinical, genomic, and molecular data from human volunteers to 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and to advance innovation in clinical care design. RGC is undertaking multiple collaborative approaches to study design and implementation, including large population-based efforts as well as family- and founder-based approaches. RGC utilizes laboratory automation and innovative approaches to cloud computing to achieve high-quality throughput.</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Central to the work of RGC is the portfolio of collaborations with over 100 academic and clinical collaborators around the world, including the University of Colorado, Geisinger Health System, Mayo Clinic, University of Pennsylvania, UCLA Medical Center, UK Biobank, and the University of Helsinki. These collaborations provide access to biological samples and associated phenotype data from consented patient volunteers for purposes of genomic research. RGC undertakes genetic sequencing of these samples to create a unique resource of de-identified genetic data and associated phenotype data for research. Furthermore, the RGC has deployed bulk RNA sequencing, whole genome sequencing, and an O-LINK proteomic assay to complement whole exome sequencing and genotyping. In addition, the RGC leverages organoid models, silencing RNA (“siRNA”), and CRISPR knockout models to validate genetic associations that lead to new therapeutic targets. The RGC continues to publish results from its research efforts in journals and publications in collaboration with its collaborators to advance the field of genomics.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These efforts at the RGC have led to the identification of more than 10 novel genetic targets. Through our Regeneron Genetics Medicines initiative, we are currently advancing these targets using either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or other technologies, such as siRNA gene silencing, genome editing, and targeted viral-based gene delivery and expression. See the “Collaboration, License, and Other Agreements” section below for descriptions of our collaborations with Alnylam and Intellia.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Agreements Related to COVID-19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the Company announced an expansion of its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July 2020, the Company entered into an agreement with entities acting at the direction of BARDA and the U.S. Department of Defense to manufacture and deliver filled and finished drug product of REGEN-COV to the U.S. government. The agreement, as subsequently amended, provided for payments to the Company of up to $465.9 million in the aggregate for bulk manufacturing of the drug substance, as well as fill/finish, storage, and other activities.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was obligated to purchase 1.25 million doses of drug product, resulting in payments to the Company of $2.625 billion (as described under “Products - REGEN-COV - Emergency and Temporary Use Authorizations” above).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2021, the Company announced an amendment to its January 2021 agreement to supply the U.S. government with an additional 1.4 million doses of REGEN-COV. Pursuant to the agreement, the U.S. government was obligated to purchase all filled and finished doses of such additional drug product delivered by January 31, 2022, resulting in payments to the Company of $2.940 billion in the aggregate. Additionally, Roche supplied a portion of the doses to Regeneron to fulfill our agreement with the U.S. government (see “Roche” section below for further details regarding our collaboration agreement with Roche).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completed its final deliveries of drug product under the agreements described above. See “Results of Operations - Revenues” below for REGEN-COV net product sales recognized in connection with these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August 2020, we entered into a collaboration agreement with Roche to develop, manufacture, and distribute the casirivimab and imdevimab antibody cocktail. We lead global development activities for casirivimab and imdevimab, and the parties jointly fund certain ongoing studies, as well as any mutually agreed additional new global studies to evaluate further the potential of casirivimab and imdevimab in treating or preventing COVID-19.</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the agreement,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License, and Other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collaborating with Sanofi on the global development and commercialization of Dupixent, Kevzara, and itepekimab (the “Antibody Collaboration”). Under the terms of the Antibody License and Collaboration Agreement (the “LCA”), Sanofi is generally responsible for funding 80%–100% of agreed-upon development costs. We are obligated to reimburse Sanofi for 30%–50% of worldwide development expenses that were funded by Sanofi based on our share of collaboration profits from commercialization of collaboration products. However, we are only required to apply 10% of our share of the profits from the Antibody Collaboration in any calendar quarter to reimburse Sanofi for these development costs.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sales milestone payments from Sanofi. In each of 2020 and 2021, the Company earned a $50.0 million sales-based milestone from Sanofi, upon aggregate annual sales of antibodies outside the United States (including Praluent) exceeding $1.0 billion and $1.5 billion, respectively, on a rolling twelve-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month basis. We are entitled to receive up to an aggregate of $150.0 million in additional sales milestone payments from Sanofi, which includes the next sales milestone payment of $50.0 million that would be earned when such sales outside the United States exceed $2.0 billion on a rolling twelve-month basis.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became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collaborating with Sanofi on the development and commercialization of antibody-based cancer treatments in the field of immuno-oncology (the “IO Collaboration”).</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December 31, 2018, the Company and Sanofi entered into an Amended and Restated Immuno-oncology Discovery and Development Agreement (the “Amended IO Discovery Agreement”), which narrowed the scope of the existing discovery and development activities conducted by the Company (“IO Development Activities”) under the original 2015 Immuno-oncology Discovery and Development Agreement (the “2015 IO Discovery Agreement”) to developing therapeutic bispecific antibodies targeting (i) BCMA and CD3 (the “BCMAxCD3 Program”) and (ii) MUC16 and CD3 (the “MUC16xCD3 Program”) through clinical proof-of-concept. The Amended IO Discovery Agreement provided for, among other things, Sanofi’s prepayment for certain IO Development Activities regarding the BCMAxCD3 Program and the MUC16xCD3 Program. Under the terms of the Amended IO Discovery Agreement, the Company was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 We are obligated to reimburse Sanofi for half of the development costs they funded that are attributable to clinical development of antibody product candidates under the Amended IO Discovery Agreement from our share of profits from commercialized IO Collaboration products.</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 regard to the BCMAxCD3 Program and the MUC16xCD3 Program, when the applicable Program Costs Cap was reached, Sanofi had the option to license rights to the product candidate and other antibodies targeting the same targets for, with regard to BCMAxCD3, immuno-oncology indications, and with regard to MUC16xCD3, all indications, pursuant to the Immuno-oncology License and Collaboration Agreement (the “IO License and Collaboration Agreement”), as amended. During the first quarter of 2021, Sanofi did not exercise its options to license rights to these product candidates; as a result, we retain the exclusive right to develop and commercialize such product candidates and Sanofi will receive a royalty on sales (if any).</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terms of the IO License and Collaboration Agreement, the parties are co-developing and co-commercializing Libtayo. We have principal control over the development of Libtayo, and the parties share equally, on an ongoing basis, development and commercialization expenses for Libtayo. With regard to Libtayo, we lead commercialization activities in the United States, while Sanofi leads commercialization activities outside of the United States and the parties equally share profits from worldwide sales. Sanofi has exercised its option to co-commercialize Libtayo in the United States. We will be entitled to a milestone payment of $375.0 million in the event that global sales of Libtayo equal or exceed $2.0 billion in any consecutive twelve-month period.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Bayer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and aflibercept 8 mg outside the United States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and Bayer are parties to a license and collaboration agreement for the global development and commercialization of EYLEA and aflibercept 8 mg outside the United States. All agreed-upon development expenses incurred by the Company and Bayer are shared equally. Bayer markets EYLEA outside the United States, where, for countries other than Japan, the companies share equally in profits and losses from sales. In Japan, we were entitled to receive a tiered percentage of between 33.5% and 40.0% of EYLEA net sales through 2021, and thereafter, the companies share equally in profits and losses from sales.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Within the United States, we retain exclusive commercialization rights and are entitled to all profits from such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Teva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and Teva are parties to a collaboration agreement to develop and commercialize fasinumab globally, excluding certain Asian countries that are subject to our collaboration agreement with Mitsubishi Tanabe Pharma Corporation (“MTPC”). In connection with the agreement, Teva made a $250.0 million non-refundable up-front payment. We lead global development activities, and the parties share equally, on an ongoing basis, development costs under a global development plan. As of December 31, 2021, we had received an aggregate $120.0 million of development milestones from Teva, and we are entitled to receive up to an aggregate of $340.0 million in additional development milestones and up to an aggregate of $1.890 billion in contingent payments upon achievement of specified annual net sales amounts. We are responsible for the manufacture and supply of fasinumab globally.</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Odronextamab (REGN1979)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we entered into an agreement with Zai Lab Limited to develop and commercialize odronextamab in mainland China, Hong Kong, Taiwan, and Macau (the “Zai Territories”). In connection with the agreement, Zai made a $30.0 million non-refundable up-front payment to the Company. We continue to lead global development activities for odronextamab, and Zai is responsible for funding a portion of the global development costs for certain clinical trials.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responsible for the manufacture and supply of clinical and commercial product of odronextamab to Zai. If odronextamab is commercialized in the Zai Territories, we will supply the product to Zai at a tiered purchase price, which is calculated as a percentage of net sales of the product (subject to adjustment in certain circumstances), and we are eligible to receive up to $160.0 million in additional regulatory and sales milestone payments.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2018, we and Alnylam Pharmaceuticals, Inc. entered into a collaboration to discover RNA interference (“RNAi”) therapeutics for NASH and potentially other related diseases, as well as to research, co-develop and commercialize any therapeutic product candidates that emerge from these discovery efforts (including ALN-HSD, which is currently in clinical development). ALN-HSD is being co-developed with Alnylam with terms generally consistent with the form of a Co-Commercialization Collaboration Agreement in connection with the 2019 collaboration agreement as described below. Alnylam is conducting the Phase 1 clinical trial for ALN-HSD and Regeneron will be the lead party for all future development.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we and Alnylam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Under the terms of the agreement, we made an up-front payment of $400.0 million to Alnylam. For each program, we will provide Alnylam with a specified amount of funding at program initiation and at lead candidate designation, and Alnylam is eligible to receive up to an aggregate of $200.0 million in clinical proof-of-principle milestones for eye and CNS programs.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6" w:name="page27"/>
    <w:bookmarkEnd w:id="26"/>
    <w:p>
      <w:pPr>
        <w:jc w:val="both"/>
        <w:spacing w:after="0" w:line="293" w:lineRule="auto"/>
        <w:rPr>
          <w:sz w:val="20"/>
          <w:szCs w:val="20"/>
          <w:color w:val="auto"/>
        </w:rPr>
      </w:pPr>
      <w:r>
        <w:rPr>
          <w:rFonts w:ascii="Arial" w:cs="Arial" w:eastAsia="Arial" w:hAnsi="Arial"/>
          <w:sz w:val="16"/>
          <w:szCs w:val="16"/>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Investigational New Drug Applications (“INDs”) (or their equivalent in certain other countries) for programs in the eye and CNS.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the stage of designation of a lead candidate for CNS programs and liver programs, the parties have alternating rights to be a lead party for collaboration products. At the stage of designation of a lead candidate for eye programs, we have the sole right to take the product forward as a licensee. The lead party is required to take the program forward under the License Agreement structure unless the other party exercises its rights to opt-in to a Co-Commercialization Collaboration Agreement, in which case the lead party is required to take the program forward under the Co-Commercialization Collaboration Agreement structure. Alnylam does not have rights to opt-in to a Co-Commercialization Collaboration Agreement for eye programs.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a License Agreement, the lead party is designated as the licensee and has the right to develop and commercialize the collaboration product under such program. The licensee will be responsible for its own costs and expenses incurred in connection with the development and commercialization of the collaboration products under the License Agreement. The licensee will pay to the licensor certain development and/or commercialization milestone payments, as well as certain tiered royalty payments to the licensor based on the aggregate annual net sales of the collaboration product.</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CNS programs and liver programs, as soon as a party is designated as a lead party, the other company has rights to opt-in to a Co-Commercialization Collaboration Agreement as a participating party. Under a Co-Commercialization Collaboration Agreement, the party designated as the lead party will lead development and commercialization of the program and the parties will split profits and share costs equally, subject to certain co-funding opt-outs at specified clinical trial phases or under other conditions. If a party exercises its co-funding opt-out right, the lead party will be required to make certain tiered royalty payments to the other party based on the aggregate annual net sales of the collaboration product and the timing of the exercise of the co-funding opt-out right. If the non-lead party does not initially opt-in to a Co-Commercialization Collaboration Agreement, the lead party has the right to take the program forward under a License Agreement structure.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collaboration, when we are the licensee under a License Agreement or the lead party under a Co-Commercialization Collaboration Agreement, Alnylam will be responsible for the manufacture and supply of the product to us for Phase 1 and Phase 2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collaboration, we also purchased shares of Alnylam common stock for aggregate cash consideration of $400.0 million.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2019, the parties entered into a Co-Commercialization Collaboration Agreement for an siRNA therapeutic targeting the C5 component of the human complement pathway being developed by Alnylam, with Alnylam as the lead party, and a License Agreement for a combination product consisting of cemdisiran and pozelimab, with us as the licensee. Under the C5 siRNA Co-Commercialization Collaboration agreement, the parties share costs equally and will split profits (if commercialized); and under the License Agreement, the licensee is responsible for its own costs and expenses. The C5 siRNA License Agreement contains a flat low double-digit royalty payable to Alnylam on our potential future net sales of the combination product only subject to customary reductions, as well as up to $325.0 million in sales milestones.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Intellia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2016, we entered into a license and collaboration agreement with Intellia Therapeutics, Inc. to advance CRISPR/Cas9 gene-editing technology for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therapeutic development. NTLA-2001, which is in clinical development, is subject to a co-development and co-commercialization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Intellia will lead development and commercialization activities and the parties share an agreed-upon percentage of development expenses and profits (if commercialized).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2020, we expanded our existing collaboration with Intellia Therapeutics, Inc. to provide us with rights to develop products for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CRISPR/Cas9-based therapeutic targets and for the companies to jointly develop potential products for the treatment of hemophilia A and B, with Regeneron leading development and commercialization activities. In addition, we also received non-exclusive rights to independently develop and commercialize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edited products. In connection with the May 2020 agreement, we made a $70.0 million up-front payment and purchased shares of Intellia common stock for an aggregate purchase price of $30.0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BARDA</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and BARDA are parties to agreements pursuant to which HHS provided certain funding to develop, test, and manufacture a treatment for Ebola virus infection. In July 2020, HHS exercised its option under an existing agreement to provide up to $344.6 million of additional funding for the manufacture and supply of Inmazeb. We expect to deliver a pre-specified number of Inmazeb treatment doses over the course of approximately six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See “Agreements Related to COVID-19 - U.S. Government” section above for information related to our COVID-19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Kiniksa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ARCALYST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under “Products” above, pursuant to a 2017 license agreement, we granted Kiniksa Pharmaceuticals, Ltd. the right to develop and commercialize certain new indications for ARCALYST. During the first quarter of 2021, Kiniksa received marketing approval in the United States for a new indication of ARCALYST, recurrent pericarditis, and, as a result, we received a $20.0 million milestone payment from Kiniksa. The quarterly period ended March 31, 2021 was the last quarter for which the Company recorded net product sales of ARCALYST.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Following this approval, Kiniksa is solely responsible for the U.S. development and commercialization of ARCALYST in all approved indications, and Regeneron will continue to supply clinical and commercial product to Kiniksa. Kiniksa will pay Regeneron 50% of its profits from sales of ARCALYST and the parties will not share in any losses incurred by Kiniksa in connection with commercialization of ARCALYST.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Ultragenyx</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under “Products” above, in January 2022 we entered into a license and collaboration agreement for Ultragenyx Pharmaceutical Inc. to develop and commercialize Evkeeza in countries outside of the United States. In connection with the agreement, Ultragenyx made a $30.0 million non-refundable up-front payment to the Company. Ultragenyx will share in certain costs for global trials led by the Company and also have the right to continue to clinically develop Evkeeza in countries outside of the U.S. We will supply commercial product to Ultragenyx at a tiered purchase price, which is calculated as a percentage of net sales of the product (subject to adjustment in certain circumstances), and are eligible to receive additional regulatory and sales milestone payments.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also granted Ultragenyx an exclusive option to negotiate a separate agreement to collaborate on the development and commercialization of garetosmab outside of the United States under terms to be agreed upon by both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manufacture bulk drug materials and products at our manufacturing facilities in Rensselaer, New York and Limerick, Ireland. These facilities consist of owned and leased research, manufacturing, office, laboratory, and warehouse space. In addition, during 2022, we expect to continue the construction of a fill/finish facility in Rensselaer, New York.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approximately 100,000 liters of cell culture capacity at our Rensselaer facility, and are approved by the FDA and other regulatory agencies to manufacture our bulk drug materials and products. In addition, we currently have approximately 130,000 liters of cell culture capacity at our Limerick facility which has received certain manufacturing approvals by regulatory agencies, including the FDA.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bulk drug materials and products are also manufactured by our collaborators, and certain raw materials or products necessary for the manufacture and formulation of our products and product candidates are provided by single-source unaffiliated third-party suppliers. In addition, we rely on our collaborators or third parties to perform packaging, filling, finishing, labeling, distribution, laboratory testing, and other services related to the manufacture of our products and product candidates, and to supply various raw materials and other products. See Part I, Item 1A. “Risk Factors - Risks Related to Manufacturing and Supply” for further information.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Commercial</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medicines are marketed through our commercial group, which includes experienced professionals in the fields of marketing, professional education, patient education, reimbursement and market access, trade and distribution, commercial operations, commercial analytics, market research, and forecasting.</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sell our marketed products in the United States primarily to wholesalers and specialty distributors that serve pharmacies, hospitals, government agencies, physicians, and other healthcare providers. We had sales to two customers (Besse Medical, a subsidiary of AmerisourceBergen Corporation, and McKesson Corporation) that each accounted for more than 10% of total gross product revenue for the year ended December 31, 2021. On a combined basis, our product sales to these customers accounted for 48% of our total gross product revenue for the year ended December 31, 2021. We promote approved medicines to healthcare professionals via our team of U.S.-based field employees, as well as medical journals, medical exhibitions, distribution of literature and samples, and online channels. In addition, we advertise certain products directly to U.S. consumers and maintain websites with information about our medicines. The commercial group also evaluates opportunities for our targets and product candidates and prepares for market launches of new medicines.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we are a party to several collaboration agreements, whereby our collaborator is responsible for recording product sales of certain products either solely outside the United States or globally. We have exercised our option to co-commercialize some products in accordance with such collaboration agreements. Refer to “Collaboration, License, and Other Agreements” section above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substantial competition from pharmaceutical, biotechnology, and chemical companies. Our ability to compete depends, to a great extent, on how fast we can develop safe and effective product candidates, complete clinical testing and approval processes, and supply commercial quantities of the product to the market. Competition among products approved for sale is based on efficacy, safety, reliability, availability, price, patent position, and other factors.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Marketed Products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table below provides an overview of the current competitive landscape for the key products marketed by us and/or our collaborators under our collaboration agreements with them in such products’ currently approved indications. The table below is provided for illustrative purposes only and is not exhaustive. For additional information regarding the substantial competition these marketed products face, including potential future competition from product candidates in clinical development, see also Part I, Item 1A. “Risk Factors - Risks Related to Commercialization of Our Marketed Products, Product Candidates, and New Indications for Our Marketed Products - </w:t>
      </w:r>
      <w:r>
        <w:rPr>
          <w:rFonts w:ascii="Arial" w:cs="Arial" w:eastAsia="Arial" w:hAnsi="Arial"/>
          <w:sz w:val="18"/>
          <w:szCs w:val="18"/>
          <w:i w:val="1"/>
          <w:iCs w:val="1"/>
          <w:color w:val="auto"/>
        </w:rPr>
        <w:t>The commercial success of our products and product candidates is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competition.</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160" w:type="dxa"/>
            <w:vAlign w:val="bottom"/>
          </w:tcPr>
          <w:p>
            <w:pPr>
              <w:ind w:left="380"/>
              <w:spacing w:after="0"/>
              <w:rPr>
                <w:sz w:val="20"/>
                <w:szCs w:val="20"/>
                <w:color w:val="auto"/>
              </w:rPr>
            </w:pPr>
            <w:r>
              <w:rPr>
                <w:rFonts w:ascii="Arial" w:cs="Arial" w:eastAsia="Arial" w:hAnsi="Arial"/>
                <w:sz w:val="18"/>
                <w:szCs w:val="18"/>
                <w:b w:val="1"/>
                <w:bCs w:val="1"/>
                <w:color w:val="auto"/>
              </w:rPr>
              <w:t>Marketed Product</w:t>
            </w:r>
          </w:p>
        </w:tc>
        <w:tc>
          <w:tcPr>
            <w:tcW w:w="120" w:type="dxa"/>
            <w:vAlign w:val="bottom"/>
          </w:tcPr>
          <w:p>
            <w:pPr>
              <w:spacing w:after="0"/>
              <w:rPr>
                <w:sz w:val="24"/>
                <w:szCs w:val="24"/>
                <w:color w:val="auto"/>
              </w:rPr>
            </w:pPr>
          </w:p>
        </w:tc>
        <w:tc>
          <w:tcPr>
            <w:tcW w:w="2120" w:type="dxa"/>
            <w:vAlign w:val="bottom"/>
          </w:tcPr>
          <w:p>
            <w:pPr>
              <w:ind w:left="280"/>
              <w:spacing w:after="0"/>
              <w:rPr>
                <w:sz w:val="20"/>
                <w:szCs w:val="20"/>
                <w:color w:val="auto"/>
              </w:rPr>
            </w:pPr>
            <w:r>
              <w:rPr>
                <w:rFonts w:ascii="Arial" w:cs="Arial" w:eastAsia="Arial" w:hAnsi="Arial"/>
                <w:sz w:val="18"/>
                <w:szCs w:val="18"/>
                <w:b w:val="1"/>
                <w:bCs w:val="1"/>
                <w:color w:val="auto"/>
              </w:rPr>
              <w:t>Competitor Product</w:t>
            </w:r>
          </w:p>
        </w:tc>
        <w:tc>
          <w:tcPr>
            <w:tcW w:w="120" w:type="dxa"/>
            <w:vAlign w:val="bottom"/>
          </w:tcPr>
          <w:p>
            <w:pPr>
              <w:spacing w:after="0"/>
              <w:rPr>
                <w:sz w:val="24"/>
                <w:szCs w:val="24"/>
                <w:color w:val="auto"/>
              </w:rPr>
            </w:pPr>
          </w:p>
        </w:tc>
        <w:tc>
          <w:tcPr>
            <w:tcW w:w="2240" w:type="dxa"/>
            <w:vAlign w:val="bottom"/>
            <w:gridSpan w:val="2"/>
          </w:tcPr>
          <w:p>
            <w:pPr>
              <w:ind w:left="620"/>
              <w:spacing w:after="0"/>
              <w:rPr>
                <w:sz w:val="20"/>
                <w:szCs w:val="20"/>
                <w:color w:val="auto"/>
              </w:rPr>
            </w:pPr>
            <w:r>
              <w:rPr>
                <w:rFonts w:ascii="Arial" w:cs="Arial" w:eastAsia="Arial" w:hAnsi="Arial"/>
                <w:sz w:val="18"/>
                <w:szCs w:val="18"/>
                <w:b w:val="1"/>
                <w:bCs w:val="1"/>
                <w:color w:val="auto"/>
              </w:rPr>
              <w:t>Competitor</w:t>
            </w:r>
          </w:p>
        </w:tc>
        <w:tc>
          <w:tcPr>
            <w:tcW w:w="2340" w:type="dxa"/>
            <w:vAlign w:val="bottom"/>
            <w:gridSpan w:val="2"/>
          </w:tcPr>
          <w:p>
            <w:pPr>
              <w:ind w:left="720"/>
              <w:spacing w:after="0"/>
              <w:rPr>
                <w:sz w:val="20"/>
                <w:szCs w:val="20"/>
                <w:color w:val="auto"/>
              </w:rPr>
            </w:pPr>
            <w:r>
              <w:rPr>
                <w:rFonts w:ascii="Arial" w:cs="Arial" w:eastAsia="Arial" w:hAnsi="Arial"/>
                <w:sz w:val="18"/>
                <w:szCs w:val="18"/>
                <w:b w:val="1"/>
                <w:bCs w:val="1"/>
                <w:color w:val="auto"/>
              </w:rPr>
              <w:t>Indication</w:t>
            </w:r>
          </w:p>
        </w:tc>
        <w:tc>
          <w:tcPr>
            <w:tcW w:w="2140" w:type="dxa"/>
            <w:vAlign w:val="bottom"/>
          </w:tcPr>
          <w:p>
            <w:pPr>
              <w:ind w:left="620"/>
              <w:spacing w:after="0"/>
              <w:rPr>
                <w:sz w:val="20"/>
                <w:szCs w:val="20"/>
                <w:color w:val="auto"/>
              </w:rPr>
            </w:pPr>
            <w:r>
              <w:rPr>
                <w:rFonts w:ascii="Arial" w:cs="Arial" w:eastAsia="Arial" w:hAnsi="Arial"/>
                <w:sz w:val="18"/>
                <w:szCs w:val="18"/>
                <w:b w:val="1"/>
                <w:bCs w:val="1"/>
                <w:color w:val="auto"/>
              </w:rPr>
              <w:t>Territory</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96"/>
        </w:trPr>
        <w:tc>
          <w:tcPr>
            <w:tcW w:w="2160" w:type="dxa"/>
            <w:vAlign w:val="bottom"/>
            <w:tcBorders>
              <w:top w:val="single" w:sz="8" w:color="auto"/>
            </w:tcBorders>
            <w:shd w:val="clear" w:color="auto" w:fill="CDEAFA"/>
          </w:tcPr>
          <w:p>
            <w:pPr>
              <w:ind w:left="40"/>
              <w:spacing w:after="0" w:line="196" w:lineRule="exact"/>
              <w:rPr>
                <w:sz w:val="20"/>
                <w:szCs w:val="20"/>
                <w:color w:val="auto"/>
              </w:rPr>
            </w:pPr>
            <w:r>
              <w:rPr>
                <w:rFonts w:ascii="Arial" w:cs="Arial" w:eastAsia="Arial" w:hAnsi="Arial"/>
                <w:sz w:val="18"/>
                <w:szCs w:val="18"/>
                <w:color w:val="auto"/>
              </w:rPr>
              <w:t>EYLEA</w:t>
            </w:r>
          </w:p>
        </w:tc>
        <w:tc>
          <w:tcPr>
            <w:tcW w:w="120" w:type="dxa"/>
            <w:vAlign w:val="bottom"/>
            <w:tcBorders>
              <w:top w:val="single" w:sz="8" w:color="CDEAFA"/>
            </w:tcBorders>
            <w:shd w:val="clear" w:color="auto" w:fill="CDEAFA"/>
          </w:tcPr>
          <w:p>
            <w:pPr>
              <w:spacing w:after="0"/>
              <w:rPr>
                <w:sz w:val="17"/>
                <w:szCs w:val="17"/>
                <w:color w:val="auto"/>
              </w:rPr>
            </w:pPr>
          </w:p>
        </w:tc>
        <w:tc>
          <w:tcPr>
            <w:tcW w:w="2120" w:type="dxa"/>
            <w:vAlign w:val="bottom"/>
            <w:tcBorders>
              <w:top w:val="single" w:sz="8" w:color="auto"/>
            </w:tcBorders>
            <w:shd w:val="clear" w:color="auto" w:fill="CDEAFA"/>
          </w:tcPr>
          <w:p>
            <w:pPr>
              <w:ind w:left="40"/>
              <w:spacing w:after="0" w:line="195" w:lineRule="exact"/>
              <w:rPr>
                <w:sz w:val="20"/>
                <w:szCs w:val="20"/>
                <w:color w:val="auto"/>
              </w:rPr>
            </w:pPr>
            <w:r>
              <w:rPr>
                <w:rFonts w:ascii="Arial" w:cs="Arial" w:eastAsia="Arial" w:hAnsi="Arial"/>
                <w:sz w:val="14"/>
                <w:szCs w:val="14"/>
                <w:color w:val="auto"/>
              </w:rPr>
              <w:t>Lucentis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(ranibizumab</w:t>
            </w:r>
          </w:p>
        </w:tc>
        <w:tc>
          <w:tcPr>
            <w:tcW w:w="120" w:type="dxa"/>
            <w:vAlign w:val="bottom"/>
            <w:tcBorders>
              <w:top w:val="single" w:sz="8" w:color="CDEAFA"/>
            </w:tcBorders>
            <w:shd w:val="clear" w:color="auto" w:fill="CDEAFA"/>
          </w:tcPr>
          <w:p>
            <w:pPr>
              <w:spacing w:after="0"/>
              <w:rPr>
                <w:sz w:val="17"/>
                <w:szCs w:val="17"/>
                <w:color w:val="auto"/>
              </w:rPr>
            </w:pPr>
          </w:p>
        </w:tc>
        <w:tc>
          <w:tcPr>
            <w:tcW w:w="2120" w:type="dxa"/>
            <w:vAlign w:val="bottom"/>
            <w:tcBorders>
              <w:top w:val="single" w:sz="8" w:color="auto"/>
            </w:tcBorders>
            <w:shd w:val="clear" w:color="auto" w:fill="CDEAFA"/>
          </w:tcPr>
          <w:p>
            <w:pPr>
              <w:ind w:left="40"/>
              <w:spacing w:after="0" w:line="196" w:lineRule="exact"/>
              <w:rPr>
                <w:sz w:val="20"/>
                <w:szCs w:val="20"/>
                <w:color w:val="auto"/>
              </w:rPr>
            </w:pPr>
            <w:r>
              <w:rPr>
                <w:rFonts w:ascii="Arial" w:cs="Arial" w:eastAsia="Arial" w:hAnsi="Arial"/>
                <w:sz w:val="18"/>
                <w:szCs w:val="18"/>
                <w:color w:val="auto"/>
              </w:rPr>
              <w:t>Novartis AG and</w:t>
            </w:r>
          </w:p>
        </w:tc>
        <w:tc>
          <w:tcPr>
            <w:tcW w:w="120" w:type="dxa"/>
            <w:vAlign w:val="bottom"/>
            <w:tcBorders>
              <w:top w:val="single" w:sz="8" w:color="CDEAFA"/>
            </w:tcBorders>
            <w:shd w:val="clear" w:color="auto" w:fill="CDEAFA"/>
          </w:tcPr>
          <w:p>
            <w:pPr>
              <w:spacing w:after="0"/>
              <w:rPr>
                <w:sz w:val="17"/>
                <w:szCs w:val="17"/>
                <w:color w:val="auto"/>
              </w:rPr>
            </w:pPr>
          </w:p>
        </w:tc>
        <w:tc>
          <w:tcPr>
            <w:tcW w:w="2240" w:type="dxa"/>
            <w:vAlign w:val="bottom"/>
            <w:tcBorders>
              <w:top w:val="single" w:sz="8" w:color="auto"/>
            </w:tcBorders>
            <w:shd w:val="clear" w:color="auto" w:fill="CDEAFA"/>
          </w:tcPr>
          <w:p>
            <w:pPr>
              <w:ind w:left="40"/>
              <w:spacing w:after="0" w:line="196" w:lineRule="exact"/>
              <w:rPr>
                <w:sz w:val="20"/>
                <w:szCs w:val="20"/>
                <w:color w:val="auto"/>
              </w:rPr>
            </w:pPr>
            <w:r>
              <w:rPr>
                <w:rFonts w:ascii="Arial" w:cs="Arial" w:eastAsia="Arial" w:hAnsi="Arial"/>
                <w:sz w:val="18"/>
                <w:szCs w:val="18"/>
                <w:color w:val="auto"/>
              </w:rPr>
              <w:t>Wet AMD, DME, macular</w:t>
            </w:r>
          </w:p>
        </w:tc>
        <w:tc>
          <w:tcPr>
            <w:tcW w:w="100" w:type="dxa"/>
            <w:vAlign w:val="bottom"/>
            <w:tcBorders>
              <w:top w:val="single" w:sz="8" w:color="CDEAFA"/>
            </w:tcBorders>
            <w:shd w:val="clear" w:color="auto" w:fill="CDEAFA"/>
          </w:tcPr>
          <w:p>
            <w:pPr>
              <w:spacing w:after="0"/>
              <w:rPr>
                <w:sz w:val="17"/>
                <w:szCs w:val="17"/>
                <w:color w:val="auto"/>
              </w:rPr>
            </w:pPr>
          </w:p>
        </w:tc>
        <w:tc>
          <w:tcPr>
            <w:tcW w:w="2140" w:type="dxa"/>
            <w:vAlign w:val="bottom"/>
            <w:tcBorders>
              <w:top w:val="single" w:sz="8" w:color="auto"/>
            </w:tcBorders>
            <w:shd w:val="clear" w:color="auto" w:fill="CDEAFA"/>
          </w:tcPr>
          <w:p>
            <w:pPr>
              <w:ind w:left="40"/>
              <w:spacing w:after="0" w:line="196"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6"/>
        </w:trPr>
        <w:tc>
          <w:tcPr>
            <w:tcW w:w="21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120" w:type="dxa"/>
            <w:vAlign w:val="bottom"/>
            <w:shd w:val="clear" w:color="auto" w:fill="CDEAFA"/>
          </w:tcPr>
          <w:p>
            <w:pPr>
              <w:ind w:left="40"/>
              <w:spacing w:after="0"/>
              <w:rPr>
                <w:sz w:val="20"/>
                <w:szCs w:val="20"/>
                <w:color w:val="auto"/>
              </w:rPr>
            </w:pPr>
            <w:r>
              <w:rPr>
                <w:rFonts w:ascii="Arial" w:cs="Arial" w:eastAsia="Arial" w:hAnsi="Arial"/>
                <w:sz w:val="18"/>
                <w:szCs w:val="18"/>
                <w:color w:val="auto"/>
              </w:rPr>
              <w:t>injection)</w:t>
            </w:r>
          </w:p>
        </w:tc>
        <w:tc>
          <w:tcPr>
            <w:tcW w:w="120" w:type="dxa"/>
            <w:vAlign w:val="bottom"/>
            <w:shd w:val="clear" w:color="auto" w:fill="CDEAFA"/>
          </w:tcPr>
          <w:p>
            <w:pPr>
              <w:spacing w:after="0"/>
              <w:rPr>
                <w:sz w:val="18"/>
                <w:szCs w:val="18"/>
                <w:color w:val="auto"/>
              </w:rPr>
            </w:pPr>
          </w:p>
        </w:tc>
        <w:tc>
          <w:tcPr>
            <w:tcW w:w="22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Genentech/Roche</w:t>
            </w: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edema following RVO</w:t>
            </w:r>
          </w:p>
        </w:tc>
        <w:tc>
          <w:tcPr>
            <w:tcW w:w="214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1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1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(including CRVO and</w:t>
            </w:r>
          </w:p>
        </w:tc>
        <w:tc>
          <w:tcPr>
            <w:tcW w:w="214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1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1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w w:val="99"/>
              </w:rPr>
              <w:t>BRVO), diabetic retinopathy,</w:t>
            </w:r>
          </w:p>
        </w:tc>
        <w:tc>
          <w:tcPr>
            <w:tcW w:w="214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DEAFA"/>
          </w:tcPr>
          <w:p>
            <w:pPr>
              <w:spacing w:after="0"/>
              <w:rPr>
                <w:sz w:val="20"/>
                <w:szCs w:val="20"/>
                <w:color w:val="auto"/>
              </w:rPr>
            </w:pPr>
          </w:p>
        </w:tc>
        <w:tc>
          <w:tcPr>
            <w:tcW w:w="120" w:type="dxa"/>
            <w:vAlign w:val="bottom"/>
            <w:shd w:val="clear" w:color="auto" w:fill="CDEAFA"/>
          </w:tcPr>
          <w:p>
            <w:pPr>
              <w:spacing w:after="0"/>
              <w:rPr>
                <w:sz w:val="20"/>
                <w:szCs w:val="20"/>
                <w:color w:val="auto"/>
              </w:rPr>
            </w:pPr>
          </w:p>
        </w:tc>
        <w:tc>
          <w:tcPr>
            <w:tcW w:w="2120" w:type="dxa"/>
            <w:vAlign w:val="bottom"/>
            <w:shd w:val="clear" w:color="auto" w:fill="CDEAFA"/>
          </w:tcPr>
          <w:p>
            <w:pPr>
              <w:spacing w:after="0"/>
              <w:rPr>
                <w:sz w:val="20"/>
                <w:szCs w:val="20"/>
                <w:color w:val="auto"/>
              </w:rPr>
            </w:pPr>
          </w:p>
        </w:tc>
        <w:tc>
          <w:tcPr>
            <w:tcW w:w="120" w:type="dxa"/>
            <w:vAlign w:val="bottom"/>
            <w:shd w:val="clear" w:color="auto" w:fill="CDEAFA"/>
          </w:tcPr>
          <w:p>
            <w:pPr>
              <w:spacing w:after="0"/>
              <w:rPr>
                <w:sz w:val="20"/>
                <w:szCs w:val="20"/>
                <w:color w:val="auto"/>
              </w:rPr>
            </w:pPr>
          </w:p>
        </w:tc>
        <w:tc>
          <w:tcPr>
            <w:tcW w:w="2120" w:type="dxa"/>
            <w:vAlign w:val="bottom"/>
            <w:shd w:val="clear" w:color="auto" w:fill="CDEAFA"/>
          </w:tcPr>
          <w:p>
            <w:pPr>
              <w:spacing w:after="0"/>
              <w:rPr>
                <w:sz w:val="20"/>
                <w:szCs w:val="20"/>
                <w:color w:val="auto"/>
              </w:rPr>
            </w:pPr>
          </w:p>
        </w:tc>
        <w:tc>
          <w:tcPr>
            <w:tcW w:w="120" w:type="dxa"/>
            <w:vAlign w:val="bottom"/>
            <w:shd w:val="clear" w:color="auto" w:fill="CDEAFA"/>
          </w:tcPr>
          <w:p>
            <w:pPr>
              <w:spacing w:after="0"/>
              <w:rPr>
                <w:sz w:val="20"/>
                <w:szCs w:val="20"/>
                <w:color w:val="auto"/>
              </w:rPr>
            </w:pP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mCNV, and ROP</w:t>
            </w:r>
          </w:p>
        </w:tc>
        <w:tc>
          <w:tcPr>
            <w:tcW w:w="2140" w:type="dxa"/>
            <w:vAlign w:val="bottom"/>
            <w:shd w:val="clear" w:color="auto" w:fill="CDEAFA"/>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DEAFA"/>
          </w:tcPr>
          <w:p>
            <w:pPr>
              <w:spacing w:after="0"/>
              <w:rPr>
                <w:sz w:val="17"/>
                <w:szCs w:val="17"/>
                <w:color w:val="auto"/>
              </w:rPr>
            </w:pPr>
          </w:p>
        </w:tc>
        <w:tc>
          <w:tcPr>
            <w:tcW w:w="120" w:type="dxa"/>
            <w:vAlign w:val="bottom"/>
            <w:shd w:val="clear" w:color="auto" w:fill="CDEAFA"/>
          </w:tcPr>
          <w:p>
            <w:pPr>
              <w:spacing w:after="0"/>
              <w:rPr>
                <w:sz w:val="17"/>
                <w:szCs w:val="17"/>
                <w:color w:val="auto"/>
              </w:rPr>
            </w:pPr>
          </w:p>
        </w:tc>
        <w:tc>
          <w:tcPr>
            <w:tcW w:w="2120" w:type="dxa"/>
            <w:vAlign w:val="bottom"/>
            <w:shd w:val="clear" w:color="auto" w:fill="CDEAFA"/>
          </w:tcPr>
          <w:p>
            <w:pPr>
              <w:ind w:left="40"/>
              <w:spacing w:after="0" w:line="202" w:lineRule="exact"/>
              <w:rPr>
                <w:sz w:val="20"/>
                <w:szCs w:val="20"/>
                <w:color w:val="auto"/>
              </w:rPr>
            </w:pPr>
            <w:r>
              <w:rPr>
                <w:rFonts w:ascii="Arial" w:cs="Arial" w:eastAsia="Arial" w:hAnsi="Arial"/>
                <w:sz w:val="15"/>
                <w:szCs w:val="15"/>
                <w:color w:val="auto"/>
              </w:rPr>
              <w:t>Byooviz</w:t>
            </w:r>
            <w:r>
              <w:rPr>
                <w:rFonts w:ascii="Arial" w:cs="Arial" w:eastAsia="Arial" w:hAnsi="Arial"/>
                <w:sz w:val="23"/>
                <w:szCs w:val="23"/>
                <w:color w:val="auto"/>
                <w:vertAlign w:val="superscript"/>
              </w:rPr>
              <w:t>™</w:t>
            </w:r>
            <w:r>
              <w:rPr>
                <w:rFonts w:ascii="Arial" w:cs="Arial" w:eastAsia="Arial" w:hAnsi="Arial"/>
                <w:sz w:val="15"/>
                <w:szCs w:val="15"/>
                <w:color w:val="auto"/>
              </w:rPr>
              <w:t xml:space="preserve"> (ranibizumab-</w:t>
            </w:r>
          </w:p>
        </w:tc>
        <w:tc>
          <w:tcPr>
            <w:tcW w:w="120" w:type="dxa"/>
            <w:vAlign w:val="bottom"/>
            <w:shd w:val="clear" w:color="auto" w:fill="CDEAFA"/>
          </w:tcPr>
          <w:p>
            <w:pPr>
              <w:spacing w:after="0"/>
              <w:rPr>
                <w:sz w:val="17"/>
                <w:szCs w:val="17"/>
                <w:color w:val="auto"/>
              </w:rPr>
            </w:pPr>
          </w:p>
        </w:tc>
        <w:tc>
          <w:tcPr>
            <w:tcW w:w="2240" w:type="dxa"/>
            <w:vAlign w:val="bottom"/>
            <w:gridSpan w:val="2"/>
            <w:shd w:val="clear" w:color="auto" w:fill="CDEAFA"/>
          </w:tcPr>
          <w:p>
            <w:pPr>
              <w:ind w:left="40"/>
              <w:spacing w:after="0" w:line="202" w:lineRule="exact"/>
              <w:rPr>
                <w:sz w:val="20"/>
                <w:szCs w:val="20"/>
                <w:color w:val="auto"/>
              </w:rPr>
            </w:pPr>
            <w:r>
              <w:rPr>
                <w:rFonts w:ascii="Arial" w:cs="Arial" w:eastAsia="Arial" w:hAnsi="Arial"/>
                <w:sz w:val="18"/>
                <w:szCs w:val="18"/>
                <w:color w:val="auto"/>
              </w:rPr>
              <w:t>Samsung Bioepis Co.,</w:t>
            </w:r>
          </w:p>
        </w:tc>
        <w:tc>
          <w:tcPr>
            <w:tcW w:w="2340" w:type="dxa"/>
            <w:vAlign w:val="bottom"/>
            <w:gridSpan w:val="2"/>
            <w:shd w:val="clear" w:color="auto" w:fill="CDEAFA"/>
          </w:tcPr>
          <w:p>
            <w:pPr>
              <w:ind w:left="40"/>
              <w:spacing w:after="0" w:line="202" w:lineRule="exact"/>
              <w:rPr>
                <w:sz w:val="20"/>
                <w:szCs w:val="20"/>
                <w:color w:val="auto"/>
              </w:rPr>
            </w:pPr>
            <w:r>
              <w:rPr>
                <w:rFonts w:ascii="Arial" w:cs="Arial" w:eastAsia="Arial" w:hAnsi="Arial"/>
                <w:sz w:val="18"/>
                <w:szCs w:val="18"/>
                <w:color w:val="auto"/>
              </w:rPr>
              <w:t>Wet AMD, DME, macular</w:t>
            </w:r>
          </w:p>
        </w:tc>
        <w:tc>
          <w:tcPr>
            <w:tcW w:w="2140" w:type="dxa"/>
            <w:vAlign w:val="bottom"/>
            <w:shd w:val="clear" w:color="auto" w:fill="CDEAFA"/>
          </w:tcPr>
          <w:p>
            <w:pPr>
              <w:ind w:left="40"/>
              <w:spacing w:after="0" w:line="202" w:lineRule="exact"/>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216"/>
        </w:trPr>
        <w:tc>
          <w:tcPr>
            <w:tcW w:w="21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120" w:type="dxa"/>
            <w:vAlign w:val="bottom"/>
            <w:shd w:val="clear" w:color="auto" w:fill="CDEAFA"/>
          </w:tcPr>
          <w:p>
            <w:pPr>
              <w:ind w:left="40"/>
              <w:spacing w:after="0"/>
              <w:rPr>
                <w:sz w:val="20"/>
                <w:szCs w:val="20"/>
                <w:color w:val="auto"/>
              </w:rPr>
            </w:pPr>
            <w:r>
              <w:rPr>
                <w:rFonts w:ascii="Arial" w:cs="Arial" w:eastAsia="Arial" w:hAnsi="Arial"/>
                <w:sz w:val="18"/>
                <w:szCs w:val="18"/>
                <w:color w:val="auto"/>
              </w:rPr>
              <w:t>nuna) (biosimilar</w:t>
            </w:r>
          </w:p>
        </w:tc>
        <w:tc>
          <w:tcPr>
            <w:tcW w:w="120" w:type="dxa"/>
            <w:vAlign w:val="bottom"/>
            <w:shd w:val="clear" w:color="auto" w:fill="CDEAFA"/>
          </w:tcPr>
          <w:p>
            <w:pPr>
              <w:spacing w:after="0"/>
              <w:rPr>
                <w:sz w:val="18"/>
                <w:szCs w:val="18"/>
                <w:color w:val="auto"/>
              </w:rPr>
            </w:pPr>
          </w:p>
        </w:tc>
        <w:tc>
          <w:tcPr>
            <w:tcW w:w="22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Ltd./Biogen Inc.</w:t>
            </w: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edema following RVO</w:t>
            </w:r>
          </w:p>
        </w:tc>
        <w:tc>
          <w:tcPr>
            <w:tcW w:w="214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120" w:type="dxa"/>
            <w:vAlign w:val="bottom"/>
            <w:shd w:val="clear" w:color="auto" w:fill="CDEAFA"/>
          </w:tcPr>
          <w:p>
            <w:pPr>
              <w:ind w:left="40"/>
              <w:spacing w:after="0"/>
              <w:rPr>
                <w:sz w:val="20"/>
                <w:szCs w:val="20"/>
                <w:color w:val="auto"/>
              </w:rPr>
            </w:pPr>
            <w:r>
              <w:rPr>
                <w:rFonts w:ascii="Arial" w:cs="Arial" w:eastAsia="Arial" w:hAnsi="Arial"/>
                <w:sz w:val="18"/>
                <w:szCs w:val="18"/>
                <w:color w:val="auto"/>
              </w:rPr>
              <w:t>referencing Lucentis)</w:t>
            </w:r>
          </w:p>
        </w:tc>
        <w:tc>
          <w:tcPr>
            <w:tcW w:w="120" w:type="dxa"/>
            <w:vAlign w:val="bottom"/>
            <w:shd w:val="clear" w:color="auto" w:fill="CDEAFA"/>
          </w:tcPr>
          <w:p>
            <w:pPr>
              <w:spacing w:after="0"/>
              <w:rPr>
                <w:sz w:val="18"/>
                <w:szCs w:val="18"/>
                <w:color w:val="auto"/>
              </w:rPr>
            </w:pPr>
          </w:p>
        </w:tc>
        <w:tc>
          <w:tcPr>
            <w:tcW w:w="21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(including CRVO and</w:t>
            </w:r>
          </w:p>
        </w:tc>
        <w:tc>
          <w:tcPr>
            <w:tcW w:w="214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1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1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w w:val="99"/>
              </w:rPr>
              <w:t>BRVO), diabetic retinopathy,</w:t>
            </w:r>
          </w:p>
        </w:tc>
        <w:tc>
          <w:tcPr>
            <w:tcW w:w="214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DEAFA"/>
          </w:tcPr>
          <w:p>
            <w:pPr>
              <w:spacing w:after="0"/>
              <w:rPr>
                <w:sz w:val="20"/>
                <w:szCs w:val="20"/>
                <w:color w:val="auto"/>
              </w:rPr>
            </w:pPr>
          </w:p>
        </w:tc>
        <w:tc>
          <w:tcPr>
            <w:tcW w:w="120" w:type="dxa"/>
            <w:vAlign w:val="bottom"/>
            <w:shd w:val="clear" w:color="auto" w:fill="CDEAFA"/>
          </w:tcPr>
          <w:p>
            <w:pPr>
              <w:spacing w:after="0"/>
              <w:rPr>
                <w:sz w:val="20"/>
                <w:szCs w:val="20"/>
                <w:color w:val="auto"/>
              </w:rPr>
            </w:pPr>
          </w:p>
        </w:tc>
        <w:tc>
          <w:tcPr>
            <w:tcW w:w="2120" w:type="dxa"/>
            <w:vAlign w:val="bottom"/>
            <w:shd w:val="clear" w:color="auto" w:fill="CDEAFA"/>
          </w:tcPr>
          <w:p>
            <w:pPr>
              <w:spacing w:after="0"/>
              <w:rPr>
                <w:sz w:val="20"/>
                <w:szCs w:val="20"/>
                <w:color w:val="auto"/>
              </w:rPr>
            </w:pPr>
          </w:p>
        </w:tc>
        <w:tc>
          <w:tcPr>
            <w:tcW w:w="120" w:type="dxa"/>
            <w:vAlign w:val="bottom"/>
            <w:shd w:val="clear" w:color="auto" w:fill="CDEAFA"/>
          </w:tcPr>
          <w:p>
            <w:pPr>
              <w:spacing w:after="0"/>
              <w:rPr>
                <w:sz w:val="20"/>
                <w:szCs w:val="20"/>
                <w:color w:val="auto"/>
              </w:rPr>
            </w:pPr>
          </w:p>
        </w:tc>
        <w:tc>
          <w:tcPr>
            <w:tcW w:w="2120" w:type="dxa"/>
            <w:vAlign w:val="bottom"/>
            <w:shd w:val="clear" w:color="auto" w:fill="CDEAFA"/>
          </w:tcPr>
          <w:p>
            <w:pPr>
              <w:spacing w:after="0"/>
              <w:rPr>
                <w:sz w:val="20"/>
                <w:szCs w:val="20"/>
                <w:color w:val="auto"/>
              </w:rPr>
            </w:pPr>
          </w:p>
        </w:tc>
        <w:tc>
          <w:tcPr>
            <w:tcW w:w="120" w:type="dxa"/>
            <w:vAlign w:val="bottom"/>
            <w:shd w:val="clear" w:color="auto" w:fill="CDEAFA"/>
          </w:tcPr>
          <w:p>
            <w:pPr>
              <w:spacing w:after="0"/>
              <w:rPr>
                <w:sz w:val="20"/>
                <w:szCs w:val="20"/>
                <w:color w:val="auto"/>
              </w:rPr>
            </w:pP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and mCNV</w:t>
            </w:r>
          </w:p>
        </w:tc>
        <w:tc>
          <w:tcPr>
            <w:tcW w:w="2140" w:type="dxa"/>
            <w:vAlign w:val="bottom"/>
            <w:shd w:val="clear" w:color="auto" w:fill="CDEAFA"/>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16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2120" w:type="dxa"/>
            <w:vAlign w:val="bottom"/>
            <w:shd w:val="clear" w:color="auto" w:fill="CDEAFA"/>
          </w:tcPr>
          <w:p>
            <w:pPr>
              <w:ind w:left="40"/>
              <w:spacing w:after="0" w:line="242" w:lineRule="exact"/>
              <w:rPr>
                <w:sz w:val="20"/>
                <w:szCs w:val="20"/>
                <w:color w:val="auto"/>
              </w:rPr>
            </w:pPr>
            <w:r>
              <w:rPr>
                <w:rFonts w:ascii="Arial" w:cs="Arial" w:eastAsia="Arial" w:hAnsi="Arial"/>
                <w:sz w:val="17"/>
                <w:szCs w:val="17"/>
                <w:color w:val="auto"/>
              </w:rPr>
              <w:t>Susvimo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(ranibizumab</w:t>
            </w:r>
          </w:p>
        </w:tc>
        <w:tc>
          <w:tcPr>
            <w:tcW w:w="120" w:type="dxa"/>
            <w:vAlign w:val="bottom"/>
            <w:shd w:val="clear" w:color="auto" w:fill="CDEAFA"/>
          </w:tcPr>
          <w:p>
            <w:pPr>
              <w:spacing w:after="0"/>
              <w:rPr>
                <w:sz w:val="21"/>
                <w:szCs w:val="21"/>
                <w:color w:val="auto"/>
              </w:rPr>
            </w:pPr>
          </w:p>
        </w:tc>
        <w:tc>
          <w:tcPr>
            <w:tcW w:w="22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Genentech/Roche</w:t>
            </w: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Wet AMD</w:t>
            </w:r>
          </w:p>
        </w:tc>
        <w:tc>
          <w:tcPr>
            <w:tcW w:w="2140" w:type="dxa"/>
            <w:vAlign w:val="bottom"/>
            <w:shd w:val="clear" w:color="auto" w:fill="CDEAFA"/>
          </w:tcPr>
          <w:p>
            <w:pPr>
              <w:ind w:left="4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160" w:type="dxa"/>
            <w:vAlign w:val="bottom"/>
            <w:shd w:val="clear" w:color="auto" w:fill="CDEAFA"/>
          </w:tcPr>
          <w:p>
            <w:pPr>
              <w:spacing w:after="0"/>
              <w:rPr>
                <w:sz w:val="20"/>
                <w:szCs w:val="20"/>
                <w:color w:val="auto"/>
              </w:rPr>
            </w:pPr>
          </w:p>
        </w:tc>
        <w:tc>
          <w:tcPr>
            <w:tcW w:w="120" w:type="dxa"/>
            <w:vAlign w:val="bottom"/>
            <w:shd w:val="clear" w:color="auto" w:fill="CDEAFA"/>
          </w:tcPr>
          <w:p>
            <w:pPr>
              <w:spacing w:after="0"/>
              <w:rPr>
                <w:sz w:val="20"/>
                <w:szCs w:val="20"/>
                <w:color w:val="auto"/>
              </w:rPr>
            </w:pPr>
          </w:p>
        </w:tc>
        <w:tc>
          <w:tcPr>
            <w:tcW w:w="2120" w:type="dxa"/>
            <w:vAlign w:val="bottom"/>
            <w:shd w:val="clear" w:color="auto" w:fill="CDEAFA"/>
          </w:tcPr>
          <w:p>
            <w:pPr>
              <w:ind w:left="40"/>
              <w:spacing w:after="0"/>
              <w:rPr>
                <w:sz w:val="20"/>
                <w:szCs w:val="20"/>
                <w:color w:val="auto"/>
              </w:rPr>
            </w:pPr>
            <w:r>
              <w:rPr>
                <w:rFonts w:ascii="Arial" w:cs="Arial" w:eastAsia="Arial" w:hAnsi="Arial"/>
                <w:sz w:val="18"/>
                <w:szCs w:val="18"/>
                <w:color w:val="auto"/>
              </w:rPr>
              <w:t>ocular implant)</w:t>
            </w:r>
          </w:p>
        </w:tc>
        <w:tc>
          <w:tcPr>
            <w:tcW w:w="120" w:type="dxa"/>
            <w:vAlign w:val="bottom"/>
            <w:shd w:val="clear" w:color="auto" w:fill="CDEAFA"/>
          </w:tcPr>
          <w:p>
            <w:pPr>
              <w:spacing w:after="0"/>
              <w:rPr>
                <w:sz w:val="20"/>
                <w:szCs w:val="20"/>
                <w:color w:val="auto"/>
              </w:rPr>
            </w:pPr>
          </w:p>
        </w:tc>
        <w:tc>
          <w:tcPr>
            <w:tcW w:w="2240" w:type="dxa"/>
            <w:vAlign w:val="bottom"/>
            <w:gridSpan w:val="2"/>
            <w:vMerge w:val="restart"/>
            <w:shd w:val="clear" w:color="auto" w:fill="CDEAFA"/>
          </w:tcPr>
          <w:p>
            <w:pPr>
              <w:ind w:left="40"/>
              <w:spacing w:after="0"/>
              <w:rPr>
                <w:sz w:val="20"/>
                <w:szCs w:val="20"/>
                <w:color w:val="auto"/>
              </w:rPr>
            </w:pPr>
            <w:r>
              <w:rPr>
                <w:rFonts w:ascii="Arial" w:cs="Arial" w:eastAsia="Arial" w:hAnsi="Arial"/>
                <w:sz w:val="18"/>
                <w:szCs w:val="18"/>
                <w:color w:val="auto"/>
              </w:rPr>
              <w:t>Genentech/Roche</w:t>
            </w:r>
          </w:p>
        </w:tc>
        <w:tc>
          <w:tcPr>
            <w:tcW w:w="2340" w:type="dxa"/>
            <w:vAlign w:val="bottom"/>
            <w:gridSpan w:val="2"/>
            <w:vMerge w:val="restart"/>
            <w:shd w:val="clear" w:color="auto" w:fill="CDEAFA"/>
          </w:tcPr>
          <w:p>
            <w:pPr>
              <w:ind w:left="40"/>
              <w:spacing w:after="0"/>
              <w:rPr>
                <w:sz w:val="20"/>
                <w:szCs w:val="20"/>
                <w:color w:val="auto"/>
              </w:rPr>
            </w:pPr>
            <w:r>
              <w:rPr>
                <w:rFonts w:ascii="Arial" w:cs="Arial" w:eastAsia="Arial" w:hAnsi="Arial"/>
                <w:sz w:val="18"/>
                <w:szCs w:val="18"/>
                <w:color w:val="auto"/>
              </w:rPr>
              <w:t>Wet AMD, DME</w:t>
            </w:r>
          </w:p>
        </w:tc>
        <w:tc>
          <w:tcPr>
            <w:tcW w:w="2140" w:type="dxa"/>
            <w:vAlign w:val="bottom"/>
            <w:vMerge w:val="restart"/>
            <w:shd w:val="clear" w:color="auto" w:fill="CDEAFA"/>
          </w:tcPr>
          <w:p>
            <w:pPr>
              <w:ind w:left="4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7"/>
        </w:trPr>
        <w:tc>
          <w:tcPr>
            <w:tcW w:w="2160" w:type="dxa"/>
            <w:vAlign w:val="bottom"/>
            <w:shd w:val="clear" w:color="auto" w:fill="CDEAFA"/>
          </w:tcPr>
          <w:p>
            <w:pPr>
              <w:spacing w:after="0"/>
              <w:rPr>
                <w:sz w:val="22"/>
                <w:szCs w:val="22"/>
                <w:color w:val="auto"/>
              </w:rPr>
            </w:pPr>
          </w:p>
        </w:tc>
        <w:tc>
          <w:tcPr>
            <w:tcW w:w="120" w:type="dxa"/>
            <w:vAlign w:val="bottom"/>
            <w:shd w:val="clear" w:color="auto" w:fill="CDEAFA"/>
          </w:tcPr>
          <w:p>
            <w:pPr>
              <w:spacing w:after="0"/>
              <w:rPr>
                <w:sz w:val="22"/>
                <w:szCs w:val="22"/>
                <w:color w:val="auto"/>
              </w:rPr>
            </w:pPr>
          </w:p>
        </w:tc>
        <w:tc>
          <w:tcPr>
            <w:tcW w:w="2120" w:type="dxa"/>
            <w:vAlign w:val="bottom"/>
            <w:shd w:val="clear" w:color="auto" w:fill="CDEAFA"/>
          </w:tcPr>
          <w:p>
            <w:pPr>
              <w:ind w:left="40"/>
              <w:spacing w:after="0" w:line="256" w:lineRule="exact"/>
              <w:rPr>
                <w:sz w:val="20"/>
                <w:szCs w:val="20"/>
                <w:color w:val="auto"/>
              </w:rPr>
            </w:pPr>
            <w:r>
              <w:rPr>
                <w:rFonts w:ascii="Arial" w:cs="Arial" w:eastAsia="Arial" w:hAnsi="Arial"/>
                <w:sz w:val="18"/>
                <w:szCs w:val="18"/>
                <w:color w:val="auto"/>
                <w:w w:val="90"/>
              </w:rPr>
              <w:t>Vabysmo</w:t>
            </w:r>
            <w:r>
              <w:rPr>
                <w:rFonts w:ascii="Arial" w:cs="Arial" w:eastAsia="Arial" w:hAnsi="Arial"/>
                <w:sz w:val="29"/>
                <w:szCs w:val="29"/>
                <w:color w:val="auto"/>
                <w:w w:val="90"/>
                <w:vertAlign w:val="superscript"/>
              </w:rPr>
              <w:t>™</w:t>
            </w:r>
            <w:r>
              <w:rPr>
                <w:rFonts w:ascii="Arial" w:cs="Arial" w:eastAsia="Arial" w:hAnsi="Arial"/>
                <w:sz w:val="18"/>
                <w:szCs w:val="18"/>
                <w:color w:val="auto"/>
                <w:w w:val="90"/>
              </w:rPr>
              <w:t xml:space="preserve"> (faricimab-svoa)</w:t>
            </w:r>
          </w:p>
        </w:tc>
        <w:tc>
          <w:tcPr>
            <w:tcW w:w="120" w:type="dxa"/>
            <w:vAlign w:val="bottom"/>
            <w:shd w:val="clear" w:color="auto" w:fill="CDEAFA"/>
          </w:tcPr>
          <w:p>
            <w:pPr>
              <w:spacing w:after="0"/>
              <w:rPr>
                <w:sz w:val="22"/>
                <w:szCs w:val="22"/>
                <w:color w:val="auto"/>
              </w:rPr>
            </w:pPr>
          </w:p>
        </w:tc>
        <w:tc>
          <w:tcPr>
            <w:tcW w:w="2240" w:type="dxa"/>
            <w:vAlign w:val="bottom"/>
            <w:gridSpan w:val="2"/>
            <w:vMerge w:val="continue"/>
            <w:shd w:val="clear" w:color="auto" w:fill="CDEAFA"/>
          </w:tcPr>
          <w:p>
            <w:pPr>
              <w:spacing w:after="0"/>
              <w:rPr>
                <w:sz w:val="22"/>
                <w:szCs w:val="22"/>
                <w:color w:val="auto"/>
              </w:rPr>
            </w:pPr>
          </w:p>
        </w:tc>
        <w:tc>
          <w:tcPr>
            <w:tcW w:w="2340" w:type="dxa"/>
            <w:vAlign w:val="bottom"/>
            <w:gridSpan w:val="2"/>
            <w:vMerge w:val="continue"/>
            <w:shd w:val="clear" w:color="auto" w:fill="CDEAFA"/>
          </w:tcPr>
          <w:p>
            <w:pPr>
              <w:spacing w:after="0"/>
              <w:rPr>
                <w:sz w:val="22"/>
                <w:szCs w:val="22"/>
                <w:color w:val="auto"/>
              </w:rPr>
            </w:pPr>
          </w:p>
        </w:tc>
        <w:tc>
          <w:tcPr>
            <w:tcW w:w="2140" w:type="dxa"/>
            <w:vAlign w:val="bottom"/>
            <w:vMerge w:val="continue"/>
            <w:shd w:val="clear" w:color="auto" w:fill="CDEAFA"/>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DEAFA"/>
          </w:tcPr>
          <w:p>
            <w:pPr>
              <w:spacing w:after="0"/>
              <w:rPr>
                <w:sz w:val="17"/>
                <w:szCs w:val="17"/>
                <w:color w:val="auto"/>
              </w:rPr>
            </w:pPr>
          </w:p>
        </w:tc>
        <w:tc>
          <w:tcPr>
            <w:tcW w:w="120" w:type="dxa"/>
            <w:vAlign w:val="bottom"/>
            <w:shd w:val="clear" w:color="auto" w:fill="CDEAFA"/>
          </w:tcPr>
          <w:p>
            <w:pPr>
              <w:spacing w:after="0"/>
              <w:rPr>
                <w:sz w:val="17"/>
                <w:szCs w:val="17"/>
                <w:color w:val="auto"/>
              </w:rPr>
            </w:pPr>
          </w:p>
        </w:tc>
        <w:tc>
          <w:tcPr>
            <w:tcW w:w="2120" w:type="dxa"/>
            <w:vAlign w:val="bottom"/>
            <w:shd w:val="clear" w:color="auto" w:fill="CDEAFA"/>
          </w:tcPr>
          <w:p>
            <w:pPr>
              <w:ind w:left="40"/>
              <w:spacing w:after="0" w:line="202" w:lineRule="exact"/>
              <w:rPr>
                <w:sz w:val="20"/>
                <w:szCs w:val="20"/>
                <w:color w:val="auto"/>
              </w:rPr>
            </w:pPr>
            <w:r>
              <w:rPr>
                <w:rFonts w:ascii="Arial" w:cs="Arial" w:eastAsia="Arial" w:hAnsi="Arial"/>
                <w:sz w:val="15"/>
                <w:szCs w:val="15"/>
                <w:color w:val="auto"/>
              </w:rPr>
              <w:t>Avastin</w:t>
            </w:r>
            <w:r>
              <w:rPr>
                <w:rFonts w:ascii="Arial" w:cs="Arial" w:eastAsia="Arial" w:hAnsi="Arial"/>
                <w:sz w:val="23"/>
                <w:szCs w:val="23"/>
                <w:color w:val="auto"/>
                <w:vertAlign w:val="superscript"/>
              </w:rPr>
              <w:t>®</w:t>
            </w:r>
            <w:r>
              <w:rPr>
                <w:rFonts w:ascii="Arial" w:cs="Arial" w:eastAsia="Arial" w:hAnsi="Arial"/>
                <w:sz w:val="15"/>
                <w:szCs w:val="15"/>
                <w:color w:val="auto"/>
              </w:rPr>
              <w:t xml:space="preserve"> (bevacizumab)</w:t>
            </w:r>
          </w:p>
        </w:tc>
        <w:tc>
          <w:tcPr>
            <w:tcW w:w="120" w:type="dxa"/>
            <w:vAlign w:val="bottom"/>
            <w:shd w:val="clear" w:color="auto" w:fill="CDEAFA"/>
          </w:tcPr>
          <w:p>
            <w:pPr>
              <w:spacing w:after="0"/>
              <w:rPr>
                <w:sz w:val="17"/>
                <w:szCs w:val="17"/>
                <w:color w:val="auto"/>
              </w:rPr>
            </w:pPr>
          </w:p>
        </w:tc>
        <w:tc>
          <w:tcPr>
            <w:tcW w:w="2240" w:type="dxa"/>
            <w:vAlign w:val="bottom"/>
            <w:gridSpan w:val="2"/>
            <w:shd w:val="clear" w:color="auto" w:fill="CDEAFA"/>
          </w:tcPr>
          <w:p>
            <w:pPr>
              <w:ind w:left="40"/>
              <w:spacing w:after="0" w:line="202" w:lineRule="exact"/>
              <w:rPr>
                <w:sz w:val="20"/>
                <w:szCs w:val="20"/>
                <w:color w:val="auto"/>
              </w:rPr>
            </w:pPr>
            <w:r>
              <w:rPr>
                <w:rFonts w:ascii="Arial" w:cs="Arial" w:eastAsia="Arial" w:hAnsi="Arial"/>
                <w:sz w:val="18"/>
                <w:szCs w:val="18"/>
                <w:color w:val="auto"/>
              </w:rPr>
              <w:t>Genentech/Roche</w:t>
            </w:r>
          </w:p>
        </w:tc>
        <w:tc>
          <w:tcPr>
            <w:tcW w:w="2340" w:type="dxa"/>
            <w:vAlign w:val="bottom"/>
            <w:gridSpan w:val="2"/>
            <w:shd w:val="clear" w:color="auto" w:fill="CDEAFA"/>
          </w:tcPr>
          <w:p>
            <w:pPr>
              <w:ind w:left="40"/>
              <w:spacing w:after="0" w:line="202" w:lineRule="exact"/>
              <w:rPr>
                <w:sz w:val="20"/>
                <w:szCs w:val="20"/>
                <w:color w:val="auto"/>
              </w:rPr>
            </w:pPr>
            <w:r>
              <w:rPr>
                <w:rFonts w:ascii="Arial" w:cs="Arial" w:eastAsia="Arial" w:hAnsi="Arial"/>
                <w:sz w:val="18"/>
                <w:szCs w:val="18"/>
                <w:color w:val="auto"/>
              </w:rPr>
              <w:t>Wet AMD, DME, and</w:t>
            </w:r>
          </w:p>
        </w:tc>
        <w:tc>
          <w:tcPr>
            <w:tcW w:w="2140" w:type="dxa"/>
            <w:vAlign w:val="bottom"/>
            <w:shd w:val="clear" w:color="auto" w:fill="CDEAFA"/>
          </w:tcPr>
          <w:p>
            <w:pPr>
              <w:ind w:left="40"/>
              <w:spacing w:after="0" w:line="202"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6"/>
        </w:trPr>
        <w:tc>
          <w:tcPr>
            <w:tcW w:w="21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120" w:type="dxa"/>
            <w:vAlign w:val="bottom"/>
            <w:shd w:val="clear" w:color="auto" w:fill="CDEAFA"/>
          </w:tcPr>
          <w:p>
            <w:pPr>
              <w:ind w:left="40"/>
              <w:spacing w:after="0"/>
              <w:rPr>
                <w:sz w:val="20"/>
                <w:szCs w:val="20"/>
                <w:color w:val="auto"/>
              </w:rPr>
            </w:pPr>
            <w:r>
              <w:rPr>
                <w:rFonts w:ascii="Arial" w:cs="Arial" w:eastAsia="Arial" w:hAnsi="Arial"/>
                <w:sz w:val="18"/>
                <w:szCs w:val="18"/>
                <w:color w:val="auto"/>
                <w:w w:val="98"/>
              </w:rPr>
              <w:t>(off-label and repackaged)</w:t>
            </w:r>
          </w:p>
        </w:tc>
        <w:tc>
          <w:tcPr>
            <w:tcW w:w="120" w:type="dxa"/>
            <w:vAlign w:val="bottom"/>
            <w:shd w:val="clear" w:color="auto" w:fill="CDEAFA"/>
          </w:tcPr>
          <w:p>
            <w:pPr>
              <w:spacing w:after="0"/>
              <w:rPr>
                <w:sz w:val="18"/>
                <w:szCs w:val="18"/>
                <w:color w:val="auto"/>
              </w:rPr>
            </w:pPr>
          </w:p>
        </w:tc>
        <w:tc>
          <w:tcPr>
            <w:tcW w:w="212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macular edema following</w:t>
            </w:r>
          </w:p>
        </w:tc>
        <w:tc>
          <w:tcPr>
            <w:tcW w:w="214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212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212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RVO</w:t>
            </w:r>
          </w:p>
        </w:tc>
        <w:tc>
          <w:tcPr>
            <w:tcW w:w="2140" w:type="dxa"/>
            <w:vAlign w:val="bottom"/>
            <w:shd w:val="clear" w:color="auto" w:fill="CDEAFA"/>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gridSpan w:val="2"/>
          </w:tcPr>
          <w:p>
            <w:pPr>
              <w:jc w:val="right"/>
              <w:ind w:right="8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1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1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2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21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29" w:name="page30"/>
    <w:bookmarkEnd w:id="29"/>
    <w:p>
      <w:pPr>
        <w:jc w:val="center"/>
        <w:ind w:left="340"/>
        <w:spacing w:after="0"/>
        <w:rPr>
          <w:sz w:val="20"/>
          <w:szCs w:val="20"/>
          <w:color w:val="auto"/>
        </w:rPr>
      </w:pPr>
      <w:r>
        <w:rPr>
          <w:rFonts w:ascii="Arial" w:cs="Arial" w:eastAsia="Arial" w:hAnsi="Arial"/>
          <w:sz w:val="16"/>
          <w:szCs w:val="16"/>
          <w:b w:val="1"/>
          <w:bCs w:val="1"/>
          <w:color w:val="auto"/>
        </w:rPr>
        <w:t>Marketed Product</w:t>
      </w:r>
    </w:p>
    <w:p>
      <w:pPr>
        <w:spacing w:after="0" w:line="5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i w:val="1"/>
          <w:iCs w:val="1"/>
          <w:color w:val="auto"/>
        </w:rPr>
        <w:t>(continued)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EYLEA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Dupixent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Libtayo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Praluent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Competitor Product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Beovu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(brolucizumab)</w:t>
      </w:r>
    </w:p>
    <w:p>
      <w:pPr>
        <w:spacing w:after="0"/>
        <w:rPr>
          <w:sz w:val="20"/>
          <w:szCs w:val="20"/>
          <w:color w:val="auto"/>
        </w:rPr>
      </w:pPr>
      <w:r>
        <w:rPr>
          <w:rFonts w:ascii="Arial" w:cs="Arial" w:eastAsia="Arial" w:hAnsi="Arial"/>
          <w:sz w:val="18"/>
          <w:szCs w:val="18"/>
          <w:color w:val="auto"/>
        </w:rPr>
        <w:t>Injection</w:t>
      </w:r>
    </w:p>
    <w:p>
      <w:pPr>
        <w:spacing w:after="0" w:line="7"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Ozurdex</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(dexamethasone intravitreal implant)</w:t>
      </w:r>
    </w:p>
    <w:p>
      <w:pPr>
        <w:spacing w:after="0" w:line="186" w:lineRule="auto"/>
        <w:rPr>
          <w:sz w:val="20"/>
          <w:szCs w:val="20"/>
          <w:color w:val="auto"/>
        </w:rPr>
      </w:pPr>
      <w:r>
        <w:rPr>
          <w:rFonts w:ascii="Arial" w:cs="Arial" w:eastAsia="Arial" w:hAnsi="Arial"/>
          <w:sz w:val="18"/>
          <w:szCs w:val="18"/>
          <w:color w:val="auto"/>
        </w:rPr>
        <w:t>Iluvien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(fluocinolone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acetonide intravitreal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implant)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Conbercept</w:t>
      </w:r>
    </w:p>
    <w:p>
      <w:pPr>
        <w:spacing w:after="0" w:line="200" w:lineRule="exact"/>
        <w:rPr>
          <w:sz w:val="20"/>
          <w:szCs w:val="20"/>
          <w:color w:val="auto"/>
        </w:rPr>
      </w:pPr>
    </w:p>
    <w:p>
      <w:pPr>
        <w:spacing w:after="0" w:line="230" w:lineRule="exact"/>
        <w:rPr>
          <w:sz w:val="20"/>
          <w:szCs w:val="20"/>
          <w:color w:val="auto"/>
        </w:rPr>
      </w:pPr>
    </w:p>
    <w:p>
      <w:pPr>
        <w:ind w:right="720"/>
        <w:spacing w:after="0" w:line="258" w:lineRule="auto"/>
        <w:rPr>
          <w:sz w:val="20"/>
          <w:szCs w:val="20"/>
          <w:color w:val="auto"/>
        </w:rPr>
      </w:pPr>
      <w:r>
        <w:rPr>
          <w:rFonts w:ascii="Arial" w:cs="Arial" w:eastAsia="Arial" w:hAnsi="Arial"/>
          <w:sz w:val="15"/>
          <w:szCs w:val="15"/>
          <w:color w:val="auto"/>
        </w:rPr>
        <w:t>Eucrisa</w:t>
      </w:r>
      <w:r>
        <w:rPr>
          <w:rFonts w:ascii="Arial" w:cs="Arial" w:eastAsia="Arial" w:hAnsi="Arial"/>
          <w:sz w:val="24"/>
          <w:szCs w:val="24"/>
          <w:color w:val="auto"/>
          <w:vertAlign w:val="superscript"/>
        </w:rPr>
        <w:t>®</w:t>
      </w:r>
      <w:r>
        <w:rPr>
          <w:rFonts w:ascii="Arial" w:cs="Arial" w:eastAsia="Arial" w:hAnsi="Arial"/>
          <w:sz w:val="15"/>
          <w:szCs w:val="15"/>
          <w:color w:val="auto"/>
        </w:rPr>
        <w:t>/Staquis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(crisaborole)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Olumiant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(baricitinib)</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Cibinqo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(abrocitinib)</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Rinvoq</w:t>
      </w:r>
      <w:r>
        <w:rPr>
          <w:rFonts w:ascii="Arial" w:cs="Arial" w:eastAsia="Arial" w:hAnsi="Arial"/>
          <w:sz w:val="29"/>
          <w:szCs w:val="29"/>
          <w:color w:val="auto"/>
          <w:vertAlign w:val="superscript"/>
        </w:rPr>
        <w:t>®</w:t>
      </w:r>
      <w:r>
        <w:rPr>
          <w:rFonts w:ascii="Arial" w:cs="Arial" w:eastAsia="Arial" w:hAnsi="Arial"/>
          <w:sz w:val="18"/>
          <w:szCs w:val="18"/>
          <w:color w:val="auto"/>
        </w:rPr>
        <w:t xml:space="preserve"> (upadacitinib)</w:t>
      </w:r>
    </w:p>
    <w:p>
      <w:pPr>
        <w:spacing w:after="0" w:line="99" w:lineRule="exact"/>
        <w:rPr>
          <w:sz w:val="20"/>
          <w:szCs w:val="20"/>
          <w:color w:val="auto"/>
        </w:rPr>
      </w:pPr>
    </w:p>
    <w:p>
      <w:pPr>
        <w:ind w:right="680"/>
        <w:spacing w:after="0"/>
        <w:rPr>
          <w:sz w:val="20"/>
          <w:szCs w:val="20"/>
          <w:color w:val="auto"/>
        </w:rPr>
      </w:pPr>
      <w:r>
        <w:rPr>
          <w:rFonts w:ascii="Arial" w:cs="Arial" w:eastAsia="Arial" w:hAnsi="Arial"/>
          <w:sz w:val="16"/>
          <w:szCs w:val="16"/>
          <w:color w:val="auto"/>
        </w:rPr>
        <w:t>Adbry</w:t>
      </w:r>
      <w:r>
        <w:rPr>
          <w:rFonts w:ascii="Arial" w:cs="Arial" w:eastAsia="Arial" w:hAnsi="Arial"/>
          <w:sz w:val="26"/>
          <w:szCs w:val="26"/>
          <w:color w:val="auto"/>
          <w:vertAlign w:val="superscript"/>
        </w:rPr>
        <w:t>™</w:t>
      </w:r>
      <w:r>
        <w:rPr>
          <w:rFonts w:ascii="Arial" w:cs="Arial" w:eastAsia="Arial" w:hAnsi="Arial"/>
          <w:sz w:val="16"/>
          <w:szCs w:val="16"/>
          <w:color w:val="auto"/>
        </w:rPr>
        <w:t>/Adtralza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(tralokinumab)</w:t>
      </w:r>
    </w:p>
    <w:p>
      <w:pPr>
        <w:spacing w:after="0"/>
        <w:rPr>
          <w:sz w:val="20"/>
          <w:szCs w:val="20"/>
          <w:color w:val="auto"/>
        </w:rPr>
      </w:pPr>
      <w:r>
        <w:rPr>
          <w:rFonts w:ascii="Arial" w:cs="Arial" w:eastAsia="Arial" w:hAnsi="Arial"/>
          <w:sz w:val="18"/>
          <w:szCs w:val="18"/>
          <w:color w:val="auto"/>
        </w:rPr>
        <w:t>Corectim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(delgocitinib)</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Xolair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(omalizumab)</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Nucala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(mepolizumab)</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Cinqair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(reslizumab)</w:t>
      </w:r>
    </w:p>
    <w:p>
      <w:pPr>
        <w:jc w:val="both"/>
        <w:ind w:right="240"/>
        <w:spacing w:after="0" w:line="227" w:lineRule="auto"/>
        <w:rPr>
          <w:sz w:val="20"/>
          <w:szCs w:val="20"/>
          <w:color w:val="auto"/>
        </w:rPr>
      </w:pPr>
      <w:r>
        <w:rPr>
          <w:rFonts w:ascii="Arial" w:cs="Arial" w:eastAsia="Arial" w:hAnsi="Arial"/>
          <w:sz w:val="15"/>
          <w:szCs w:val="15"/>
          <w:color w:val="auto"/>
        </w:rPr>
        <w:t>Fasenra</w:t>
      </w:r>
      <w:r>
        <w:rPr>
          <w:rFonts w:ascii="Arial" w:cs="Arial" w:eastAsia="Arial" w:hAnsi="Arial"/>
          <w:sz w:val="24"/>
          <w:szCs w:val="24"/>
          <w:color w:val="auto"/>
          <w:vertAlign w:val="superscript"/>
        </w:rPr>
        <w:t>®</w:t>
      </w:r>
      <w:r>
        <w:rPr>
          <w:rFonts w:ascii="Arial" w:cs="Arial" w:eastAsia="Arial" w:hAnsi="Arial"/>
          <w:sz w:val="15"/>
          <w:szCs w:val="15"/>
          <w:color w:val="auto"/>
        </w:rPr>
        <w:t xml:space="preserve"> (benralizumab) Tezspire</w:t>
      </w:r>
      <w:r>
        <w:rPr>
          <w:rFonts w:ascii="Arial" w:cs="Arial" w:eastAsia="Arial" w:hAnsi="Arial"/>
          <w:sz w:val="24"/>
          <w:szCs w:val="24"/>
          <w:color w:val="auto"/>
          <w:vertAlign w:val="superscript"/>
        </w:rPr>
        <w:t>™</w:t>
      </w:r>
      <w:r>
        <w:rPr>
          <w:rFonts w:ascii="Arial" w:cs="Arial" w:eastAsia="Arial" w:hAnsi="Arial"/>
          <w:sz w:val="15"/>
          <w:szCs w:val="15"/>
          <w:color w:val="auto"/>
        </w:rPr>
        <w:t xml:space="preserve"> (tezepelumab-ekko)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Keytruda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(pembrolizumab)</w:t>
      </w:r>
    </w:p>
    <w:p>
      <w:pPr>
        <w:spacing w:after="0" w:line="184" w:lineRule="auto"/>
        <w:rPr>
          <w:sz w:val="20"/>
          <w:szCs w:val="20"/>
          <w:color w:val="auto"/>
        </w:rPr>
      </w:pPr>
      <w:r>
        <w:rPr>
          <w:rFonts w:ascii="Arial" w:cs="Arial" w:eastAsia="Arial" w:hAnsi="Arial"/>
          <w:sz w:val="18"/>
          <w:szCs w:val="18"/>
          <w:color w:val="auto"/>
        </w:rPr>
        <w:t>Opdivo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(nivolumab)</w:t>
      </w:r>
    </w:p>
    <w:p>
      <w:pPr>
        <w:spacing w:after="0" w:line="191" w:lineRule="auto"/>
        <w:rPr>
          <w:sz w:val="20"/>
          <w:szCs w:val="20"/>
          <w:color w:val="auto"/>
        </w:rPr>
      </w:pPr>
      <w:r>
        <w:rPr>
          <w:rFonts w:ascii="Arial" w:cs="Arial" w:eastAsia="Arial" w:hAnsi="Arial"/>
          <w:sz w:val="17"/>
          <w:szCs w:val="17"/>
          <w:color w:val="auto"/>
        </w:rPr>
        <w:t>Tecentriq</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(atezolizumab)</w:t>
      </w:r>
    </w:p>
    <w:p>
      <w:pPr>
        <w:spacing w:after="0" w:line="185" w:lineRule="auto"/>
        <w:rPr>
          <w:sz w:val="20"/>
          <w:szCs w:val="20"/>
          <w:color w:val="auto"/>
        </w:rPr>
      </w:pPr>
      <w:r>
        <w:rPr>
          <w:rFonts w:ascii="Arial" w:cs="Arial" w:eastAsia="Arial" w:hAnsi="Arial"/>
          <w:sz w:val="18"/>
          <w:szCs w:val="18"/>
          <w:color w:val="auto"/>
        </w:rPr>
        <w:t>Imfinzi</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(durvalumab)</w:t>
      </w:r>
    </w:p>
    <w:p>
      <w:pPr>
        <w:spacing w:after="0" w:line="184" w:lineRule="auto"/>
        <w:rPr>
          <w:sz w:val="20"/>
          <w:szCs w:val="20"/>
          <w:color w:val="auto"/>
        </w:rPr>
      </w:pPr>
      <w:r>
        <w:rPr>
          <w:rFonts w:ascii="Arial" w:cs="Arial" w:eastAsia="Arial" w:hAnsi="Arial"/>
          <w:sz w:val="18"/>
          <w:szCs w:val="18"/>
          <w:color w:val="auto"/>
        </w:rPr>
        <w:t>Bavencio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(avelumab)</w:t>
      </w:r>
    </w:p>
    <w:p>
      <w:pPr>
        <w:spacing w:after="0" w:line="185" w:lineRule="auto"/>
        <w:rPr>
          <w:sz w:val="20"/>
          <w:szCs w:val="20"/>
          <w:color w:val="auto"/>
        </w:rPr>
      </w:pPr>
      <w:r>
        <w:rPr>
          <w:rFonts w:ascii="Arial" w:cs="Arial" w:eastAsia="Arial" w:hAnsi="Arial"/>
          <w:sz w:val="18"/>
          <w:szCs w:val="18"/>
          <w:color w:val="auto"/>
        </w:rPr>
        <w:t>Jemperli</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(dostarlimab)</w:t>
      </w:r>
    </w:p>
    <w:p>
      <w:pPr>
        <w:spacing w:after="0" w:line="199" w:lineRule="auto"/>
        <w:rPr>
          <w:sz w:val="20"/>
          <w:szCs w:val="20"/>
          <w:color w:val="auto"/>
        </w:rPr>
      </w:pPr>
      <w:r>
        <w:rPr>
          <w:rFonts w:ascii="Arial" w:cs="Arial" w:eastAsia="Arial" w:hAnsi="Arial"/>
          <w:sz w:val="18"/>
          <w:szCs w:val="18"/>
          <w:color w:val="auto"/>
        </w:rPr>
        <w:t>Repatha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(evolocumab)</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120" w:type="dxa"/>
            <w:vAlign w:val="bottom"/>
          </w:tcPr>
          <w:p>
            <w:pPr>
              <w:ind w:left="620"/>
              <w:spacing w:after="0"/>
              <w:rPr>
                <w:sz w:val="20"/>
                <w:szCs w:val="20"/>
                <w:color w:val="auto"/>
              </w:rPr>
            </w:pPr>
            <w:r>
              <w:rPr>
                <w:rFonts w:ascii="Arial" w:cs="Arial" w:eastAsia="Arial" w:hAnsi="Arial"/>
                <w:sz w:val="18"/>
                <w:szCs w:val="18"/>
                <w:b w:val="1"/>
                <w:bCs w:val="1"/>
                <w:color w:val="auto"/>
              </w:rPr>
              <w:t>Competitor</w:t>
            </w:r>
          </w:p>
        </w:tc>
        <w:tc>
          <w:tcPr>
            <w:tcW w:w="120" w:type="dxa"/>
            <w:vAlign w:val="bottom"/>
          </w:tcPr>
          <w:p>
            <w:pPr>
              <w:spacing w:after="0"/>
              <w:rPr>
                <w:sz w:val="20"/>
                <w:szCs w:val="20"/>
                <w:color w:val="auto"/>
              </w:rPr>
            </w:pPr>
          </w:p>
        </w:tc>
        <w:tc>
          <w:tcPr>
            <w:tcW w:w="2240" w:type="dxa"/>
            <w:vAlign w:val="bottom"/>
          </w:tcPr>
          <w:p>
            <w:pPr>
              <w:ind w:left="720"/>
              <w:spacing w:after="0"/>
              <w:rPr>
                <w:sz w:val="20"/>
                <w:szCs w:val="20"/>
                <w:color w:val="auto"/>
              </w:rPr>
            </w:pPr>
            <w:r>
              <w:rPr>
                <w:rFonts w:ascii="Arial" w:cs="Arial" w:eastAsia="Arial" w:hAnsi="Arial"/>
                <w:sz w:val="18"/>
                <w:szCs w:val="18"/>
                <w:b w:val="1"/>
                <w:bCs w:val="1"/>
                <w:color w:val="auto"/>
              </w:rPr>
              <w:t>Indication</w:t>
            </w:r>
          </w:p>
        </w:tc>
        <w:tc>
          <w:tcPr>
            <w:tcW w:w="0" w:type="dxa"/>
            <w:vAlign w:val="bottom"/>
          </w:tcPr>
          <w:p>
            <w:pPr>
              <w:spacing w:after="0"/>
              <w:rPr>
                <w:sz w:val="1"/>
                <w:szCs w:val="1"/>
                <w:color w:val="auto"/>
              </w:rPr>
            </w:pPr>
          </w:p>
        </w:tc>
      </w:tr>
      <w:tr>
        <w:trPr>
          <w:trHeight w:val="40"/>
        </w:trPr>
        <w:tc>
          <w:tcPr>
            <w:tcW w:w="12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Novartis</w:t>
            </w:r>
          </w:p>
        </w:tc>
        <w:tc>
          <w:tcPr>
            <w:tcW w:w="120" w:type="dxa"/>
            <w:vAlign w:val="bottom"/>
          </w:tcPr>
          <w:p>
            <w:pPr>
              <w:spacing w:after="0"/>
              <w:rPr>
                <w:sz w:val="19"/>
                <w:szCs w:val="19"/>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Wet AMD</w:t>
            </w:r>
          </w:p>
        </w:tc>
        <w:tc>
          <w:tcPr>
            <w:tcW w:w="0" w:type="dxa"/>
            <w:vAlign w:val="bottom"/>
          </w:tcPr>
          <w:p>
            <w:pPr>
              <w:spacing w:after="0"/>
              <w:rPr>
                <w:sz w:val="1"/>
                <w:szCs w:val="1"/>
                <w:color w:val="auto"/>
              </w:rPr>
            </w:pPr>
          </w:p>
        </w:tc>
      </w:tr>
      <w:tr>
        <w:trPr>
          <w:trHeight w:val="458"/>
        </w:trPr>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Allergan/AbbVie Inc.</w:t>
            </w:r>
          </w:p>
        </w:tc>
        <w:tc>
          <w:tcPr>
            <w:tcW w:w="120" w:type="dxa"/>
            <w:vAlign w:val="bottom"/>
          </w:tcPr>
          <w:p>
            <w:pPr>
              <w:spacing w:after="0"/>
              <w:rPr>
                <w:sz w:val="24"/>
                <w:szCs w:val="24"/>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DME, RVO</w:t>
            </w: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Alimera Sciences, Inc.</w:t>
            </w:r>
          </w:p>
        </w:tc>
        <w:tc>
          <w:tcPr>
            <w:tcW w:w="120" w:type="dxa"/>
            <w:vAlign w:val="bottom"/>
          </w:tcPr>
          <w:p>
            <w:pPr>
              <w:spacing w:after="0"/>
              <w:rPr>
                <w:sz w:val="24"/>
                <w:szCs w:val="24"/>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DME</w:t>
            </w:r>
          </w:p>
        </w:tc>
        <w:tc>
          <w:tcPr>
            <w:tcW w:w="0" w:type="dxa"/>
            <w:vAlign w:val="bottom"/>
          </w:tcPr>
          <w:p>
            <w:pPr>
              <w:spacing w:after="0"/>
              <w:rPr>
                <w:sz w:val="1"/>
                <w:szCs w:val="1"/>
                <w:color w:val="auto"/>
              </w:rPr>
            </w:pPr>
          </w:p>
        </w:tc>
      </w:tr>
      <w:tr>
        <w:trPr>
          <w:trHeight w:val="674"/>
        </w:trPr>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Chengdu Kanghong</w:t>
            </w:r>
          </w:p>
        </w:tc>
        <w:tc>
          <w:tcPr>
            <w:tcW w:w="120" w:type="dxa"/>
            <w:vAlign w:val="bottom"/>
          </w:tcPr>
          <w:p>
            <w:pPr>
              <w:spacing w:after="0"/>
              <w:rPr>
                <w:sz w:val="24"/>
                <w:szCs w:val="24"/>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Wet AMD, DME, mCNV</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w w:val="94"/>
              </w:rPr>
              <w:t>Pharmaceutical Group Co.,</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Ltd.</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Pfizer Inc.</w:t>
            </w: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Mild-to-moderate atopic</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dermatitis</w:t>
            </w: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Eli Lilly and Company/</w:t>
            </w:r>
          </w:p>
        </w:tc>
        <w:tc>
          <w:tcPr>
            <w:tcW w:w="120" w:type="dxa"/>
            <w:vAlign w:val="bottom"/>
          </w:tcPr>
          <w:p>
            <w:pPr>
              <w:spacing w:after="0"/>
              <w:rPr>
                <w:sz w:val="21"/>
                <w:szCs w:val="21"/>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Moderate-to-severe atopic</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Incyte Corporation</w:t>
            </w: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dermatitis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Pfizer</w:t>
            </w: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Moderate-to-severe atopic</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dermatitis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AbbVie</w:t>
            </w: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Moderate-to-severe atopic</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dermatitis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LEO Pharma Inc.</w:t>
            </w: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Moderate-to-severe atopic</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dermatitis</w:t>
            </w: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Japan Tobacco Inc./Torii</w:t>
            </w:r>
          </w:p>
        </w:tc>
        <w:tc>
          <w:tcPr>
            <w:tcW w:w="120" w:type="dxa"/>
            <w:vAlign w:val="bottom"/>
          </w:tcPr>
          <w:p>
            <w:pPr>
              <w:spacing w:after="0"/>
              <w:rPr>
                <w:sz w:val="21"/>
                <w:szCs w:val="21"/>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Atopic dermatitis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Pharmaceutical Co., Ltd.</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Roche/Novartis</w:t>
            </w:r>
          </w:p>
        </w:tc>
        <w:tc>
          <w:tcPr>
            <w:tcW w:w="120" w:type="dxa"/>
            <w:vAlign w:val="bottom"/>
          </w:tcPr>
          <w:p>
            <w:pPr>
              <w:spacing w:after="0"/>
              <w:rPr>
                <w:sz w:val="20"/>
                <w:szCs w:val="20"/>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Asthma, nasal polyps</w:t>
            </w: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GlaxoSmithKline (“GSK”)</w:t>
            </w:r>
          </w:p>
        </w:tc>
        <w:tc>
          <w:tcPr>
            <w:tcW w:w="120" w:type="dxa"/>
            <w:vAlign w:val="bottom"/>
          </w:tcPr>
          <w:p>
            <w:pPr>
              <w:spacing w:after="0"/>
              <w:rPr>
                <w:sz w:val="24"/>
                <w:szCs w:val="24"/>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Asthma, nasal polyps</w:t>
            </w: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Teva</w:t>
            </w:r>
          </w:p>
        </w:tc>
        <w:tc>
          <w:tcPr>
            <w:tcW w:w="120" w:type="dxa"/>
            <w:vAlign w:val="bottom"/>
          </w:tcPr>
          <w:p>
            <w:pPr>
              <w:spacing w:after="0"/>
              <w:rPr>
                <w:sz w:val="24"/>
                <w:szCs w:val="24"/>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Asthma</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AstraZeneca</w:t>
            </w:r>
          </w:p>
        </w:tc>
        <w:tc>
          <w:tcPr>
            <w:tcW w:w="120" w:type="dxa"/>
            <w:vAlign w:val="bottom"/>
          </w:tcPr>
          <w:p>
            <w:pPr>
              <w:spacing w:after="0"/>
              <w:rPr>
                <w:sz w:val="22"/>
                <w:szCs w:val="22"/>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Asthma</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AstraZeneca/Amgen</w:t>
            </w:r>
          </w:p>
        </w:tc>
        <w:tc>
          <w:tcPr>
            <w:tcW w:w="120" w:type="dxa"/>
            <w:vAlign w:val="bottom"/>
          </w:tcPr>
          <w:p>
            <w:pPr>
              <w:spacing w:after="0"/>
              <w:rPr>
                <w:sz w:val="22"/>
                <w:szCs w:val="22"/>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Asthma</w:t>
            </w: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Merck &amp; Co., Inc.</w:t>
            </w:r>
          </w:p>
        </w:tc>
        <w:tc>
          <w:tcPr>
            <w:tcW w:w="120" w:type="dxa"/>
            <w:vAlign w:val="bottom"/>
          </w:tcPr>
          <w:p>
            <w:pPr>
              <w:spacing w:after="0"/>
              <w:rPr>
                <w:sz w:val="24"/>
                <w:szCs w:val="24"/>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Various cancers</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Bristol-Myers Squibb</w:t>
            </w:r>
          </w:p>
        </w:tc>
        <w:tc>
          <w:tcPr>
            <w:tcW w:w="120" w:type="dxa"/>
            <w:vAlign w:val="bottom"/>
          </w:tcPr>
          <w:p>
            <w:pPr>
              <w:spacing w:after="0"/>
              <w:rPr>
                <w:sz w:val="22"/>
                <w:szCs w:val="22"/>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Various cancers</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Roche</w:t>
            </w:r>
          </w:p>
        </w:tc>
        <w:tc>
          <w:tcPr>
            <w:tcW w:w="120" w:type="dxa"/>
            <w:vAlign w:val="bottom"/>
          </w:tcPr>
          <w:p>
            <w:pPr>
              <w:spacing w:after="0"/>
              <w:rPr>
                <w:sz w:val="22"/>
                <w:szCs w:val="22"/>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Various cancers</w:t>
            </w:r>
          </w:p>
        </w:tc>
        <w:tc>
          <w:tcPr>
            <w:tcW w:w="0" w:type="dxa"/>
            <w:vAlign w:val="bottom"/>
          </w:tcPr>
          <w:p>
            <w:pPr>
              <w:spacing w:after="0"/>
              <w:rPr>
                <w:sz w:val="1"/>
                <w:szCs w:val="1"/>
                <w:color w:val="auto"/>
              </w:rPr>
            </w:pPr>
          </w:p>
        </w:tc>
      </w:tr>
      <w:tr>
        <w:trPr>
          <w:trHeight w:val="40"/>
        </w:trPr>
        <w:tc>
          <w:tcPr>
            <w:tcW w:w="120" w:type="dxa"/>
            <w:vAlign w:val="bottom"/>
          </w:tcPr>
          <w:p>
            <w:pPr>
              <w:spacing w:after="0"/>
              <w:rPr>
                <w:sz w:val="3"/>
                <w:szCs w:val="3"/>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AstraZeneca</w:t>
            </w:r>
          </w:p>
        </w:tc>
        <w:tc>
          <w:tcPr>
            <w:tcW w:w="120" w:type="dxa"/>
            <w:vAlign w:val="bottom"/>
          </w:tcPr>
          <w:p>
            <w:pPr>
              <w:spacing w:after="0"/>
              <w:rPr>
                <w:sz w:val="3"/>
                <w:szCs w:val="3"/>
                <w:color w:val="auto"/>
              </w:rPr>
            </w:pPr>
          </w:p>
        </w:tc>
        <w:tc>
          <w:tcPr>
            <w:tcW w:w="2240" w:type="dxa"/>
            <w:vAlign w:val="bottom"/>
            <w:vMerge w:val="restart"/>
          </w:tcPr>
          <w:p>
            <w:pPr>
              <w:ind w:left="40"/>
              <w:spacing w:after="0"/>
              <w:rPr>
                <w:sz w:val="20"/>
                <w:szCs w:val="20"/>
                <w:color w:val="auto"/>
              </w:rPr>
            </w:pPr>
            <w:r>
              <w:rPr>
                <w:rFonts w:ascii="Arial" w:cs="Arial" w:eastAsia="Arial" w:hAnsi="Arial"/>
                <w:sz w:val="18"/>
                <w:szCs w:val="18"/>
                <w:color w:val="auto"/>
              </w:rPr>
              <w:t>Various cancers</w:t>
            </w:r>
          </w:p>
        </w:tc>
        <w:tc>
          <w:tcPr>
            <w:tcW w:w="0" w:type="dxa"/>
            <w:vAlign w:val="bottom"/>
          </w:tcPr>
          <w:p>
            <w:pPr>
              <w:spacing w:after="0"/>
              <w:rPr>
                <w:sz w:val="1"/>
                <w:szCs w:val="1"/>
                <w:color w:val="auto"/>
              </w:rPr>
            </w:pPr>
          </w:p>
        </w:tc>
      </w:tr>
      <w:tr>
        <w:trPr>
          <w:trHeight w:val="216"/>
        </w:trPr>
        <w:tc>
          <w:tcPr>
            <w:tcW w:w="120" w:type="dxa"/>
            <w:vAlign w:val="bottom"/>
            <w:shd w:val="clear" w:color="auto" w:fill="CDEAFA"/>
          </w:tcPr>
          <w:p>
            <w:pPr>
              <w:spacing w:after="0"/>
              <w:rPr>
                <w:sz w:val="18"/>
                <w:szCs w:val="18"/>
                <w:color w:val="auto"/>
              </w:rPr>
            </w:pPr>
          </w:p>
        </w:tc>
        <w:tc>
          <w:tcPr>
            <w:tcW w:w="2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20" w:type="dxa"/>
            <w:vAlign w:val="bottom"/>
            <w:shd w:val="clear" w:color="auto" w:fill="CDEAFA"/>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2240" w:type="dxa"/>
            <w:vAlign w:val="bottom"/>
            <w:vMerge w:val="restart"/>
          </w:tcPr>
          <w:p>
            <w:pPr>
              <w:ind w:left="40"/>
              <w:spacing w:after="0"/>
              <w:rPr>
                <w:sz w:val="20"/>
                <w:szCs w:val="20"/>
                <w:color w:val="auto"/>
              </w:rPr>
            </w:pPr>
            <w:r>
              <w:rPr>
                <w:rFonts w:ascii="Arial" w:cs="Arial" w:eastAsia="Arial" w:hAnsi="Arial"/>
                <w:sz w:val="18"/>
                <w:szCs w:val="18"/>
                <w:color w:val="auto"/>
              </w:rPr>
              <w:t>Various cancers</w:t>
            </w:r>
          </w:p>
        </w:tc>
        <w:tc>
          <w:tcPr>
            <w:tcW w:w="0" w:type="dxa"/>
            <w:vAlign w:val="bottom"/>
          </w:tcPr>
          <w:p>
            <w:pPr>
              <w:spacing w:after="0"/>
              <w:rPr>
                <w:sz w:val="1"/>
                <w:szCs w:val="1"/>
                <w:color w:val="auto"/>
              </w:rPr>
            </w:pPr>
          </w:p>
        </w:tc>
      </w:tr>
      <w:tr>
        <w:trPr>
          <w:trHeight w:val="230"/>
        </w:trPr>
        <w:tc>
          <w:tcPr>
            <w:tcW w:w="120" w:type="dxa"/>
            <w:vAlign w:val="bottom"/>
            <w:shd w:val="clear" w:color="auto" w:fill="CDEAFA"/>
          </w:tcPr>
          <w:p>
            <w:pPr>
              <w:spacing w:after="0"/>
              <w:rPr>
                <w:sz w:val="20"/>
                <w:szCs w:val="20"/>
                <w:color w:val="auto"/>
              </w:rPr>
            </w:pPr>
          </w:p>
        </w:tc>
        <w:tc>
          <w:tcPr>
            <w:tcW w:w="2120" w:type="dxa"/>
            <w:vAlign w:val="bottom"/>
            <w:shd w:val="clear" w:color="auto" w:fill="CDEAFA"/>
          </w:tcPr>
          <w:p>
            <w:pPr>
              <w:ind w:left="40"/>
              <w:spacing w:after="0"/>
              <w:rPr>
                <w:sz w:val="20"/>
                <w:szCs w:val="20"/>
                <w:color w:val="auto"/>
              </w:rPr>
            </w:pPr>
            <w:r>
              <w:rPr>
                <w:rFonts w:ascii="Arial" w:cs="Arial" w:eastAsia="Arial" w:hAnsi="Arial"/>
                <w:sz w:val="18"/>
                <w:szCs w:val="18"/>
                <w:color w:val="auto"/>
              </w:rPr>
              <w:t>Pfizer/Merck KGaA</w:t>
            </w:r>
          </w:p>
        </w:tc>
        <w:tc>
          <w:tcPr>
            <w:tcW w:w="12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0" w:type="dxa"/>
            <w:vAlign w:val="bottom"/>
            <w:tcBorders>
              <w:bottom w:val="single" w:sz="8" w:color="CDEAFA"/>
            </w:tcBorders>
            <w:shd w:val="clear" w:color="auto" w:fill="CDEAFA"/>
          </w:tcPr>
          <w:p>
            <w:pPr>
              <w:spacing w:after="0"/>
              <w:rPr>
                <w:sz w:val="22"/>
                <w:szCs w:val="22"/>
                <w:color w:val="auto"/>
              </w:rPr>
            </w:pPr>
          </w:p>
        </w:tc>
        <w:tc>
          <w:tcPr>
            <w:tcW w:w="2120" w:type="dxa"/>
            <w:vAlign w:val="bottom"/>
            <w:tcBorders>
              <w:bottom w:val="single" w:sz="8" w:color="CDEAFA"/>
            </w:tcBorders>
            <w:shd w:val="clear" w:color="auto" w:fill="CDEAFA"/>
          </w:tcPr>
          <w:p>
            <w:pPr>
              <w:ind w:left="40"/>
              <w:spacing w:after="0"/>
              <w:rPr>
                <w:sz w:val="20"/>
                <w:szCs w:val="20"/>
                <w:color w:val="auto"/>
              </w:rPr>
            </w:pPr>
            <w:r>
              <w:rPr>
                <w:rFonts w:ascii="Arial" w:cs="Arial" w:eastAsia="Arial" w:hAnsi="Arial"/>
                <w:sz w:val="18"/>
                <w:szCs w:val="18"/>
                <w:color w:val="auto"/>
              </w:rPr>
              <w:t>GSK</w:t>
            </w:r>
          </w:p>
        </w:tc>
        <w:tc>
          <w:tcPr>
            <w:tcW w:w="120" w:type="dxa"/>
            <w:vAlign w:val="bottom"/>
          </w:tcPr>
          <w:p>
            <w:pPr>
              <w:spacing w:after="0"/>
              <w:rPr>
                <w:sz w:val="22"/>
                <w:szCs w:val="22"/>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Various cancers</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2120" w:type="dxa"/>
            <w:vAlign w:val="bottom"/>
          </w:tcPr>
          <w:p>
            <w:pPr>
              <w:ind w:left="40"/>
              <w:spacing w:after="0" w:line="201" w:lineRule="exact"/>
              <w:rPr>
                <w:sz w:val="20"/>
                <w:szCs w:val="20"/>
                <w:color w:val="auto"/>
              </w:rPr>
            </w:pPr>
            <w:r>
              <w:rPr>
                <w:rFonts w:ascii="Arial" w:cs="Arial" w:eastAsia="Arial" w:hAnsi="Arial"/>
                <w:sz w:val="18"/>
                <w:szCs w:val="18"/>
                <w:color w:val="auto"/>
              </w:rPr>
              <w:t>Amgen</w:t>
            </w:r>
          </w:p>
        </w:tc>
        <w:tc>
          <w:tcPr>
            <w:tcW w:w="120" w:type="dxa"/>
            <w:vAlign w:val="bottom"/>
          </w:tcPr>
          <w:p>
            <w:pPr>
              <w:spacing w:after="0"/>
              <w:rPr>
                <w:sz w:val="17"/>
                <w:szCs w:val="17"/>
                <w:color w:val="auto"/>
              </w:rPr>
            </w:pPr>
          </w:p>
        </w:tc>
        <w:tc>
          <w:tcPr>
            <w:tcW w:w="2240" w:type="dxa"/>
            <w:vAlign w:val="bottom"/>
          </w:tcPr>
          <w:p>
            <w:pPr>
              <w:ind w:left="40"/>
              <w:spacing w:after="0" w:line="201" w:lineRule="exact"/>
              <w:rPr>
                <w:sz w:val="20"/>
                <w:szCs w:val="20"/>
                <w:color w:val="auto"/>
              </w:rPr>
            </w:pPr>
            <w:r>
              <w:rPr>
                <w:rFonts w:ascii="Arial" w:cs="Arial" w:eastAsia="Arial" w:hAnsi="Arial"/>
                <w:sz w:val="18"/>
                <w:szCs w:val="18"/>
                <w:color w:val="auto"/>
              </w:rPr>
              <w:t>(1) Reduce the risk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w w:val="95"/>
              </w:rPr>
              <w:t>myocardial infarction, stroke,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and coronary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revascularization in adults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with established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cardiovascular disease, (2)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w w:val="98"/>
              </w:rPr>
              <w:t>primary hyperlipidemia, and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(3) HoFH</w:t>
            </w: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2120" w:type="dxa"/>
            <w:vAlign w:val="bottom"/>
          </w:tcPr>
          <w:p>
            <w:pPr>
              <w:ind w:left="10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-2331085</wp:posOffset>
            </wp:positionV>
            <wp:extent cx="7132320" cy="977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97726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-6659880</wp:posOffset>
            </wp:positionV>
            <wp:extent cx="7132320" cy="1457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137160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Territory</w:t>
      </w:r>
      <w:r>
        <w:rPr>
          <w:rFonts w:ascii="Arial" w:cs="Arial" w:eastAsia="Arial" w:hAnsi="Arial"/>
          <w:sz w:val="29"/>
          <w:szCs w:val="29"/>
          <w:b w:val="1"/>
          <w:bCs w:val="1"/>
          <w:color w:val="auto"/>
          <w:vertAlign w:val="superscript"/>
        </w:rPr>
        <w:t>(1)</w:t>
      </w:r>
    </w:p>
    <w:p>
      <w:pPr>
        <w:spacing w:after="0"/>
        <w:rPr>
          <w:sz w:val="20"/>
          <w:szCs w:val="20"/>
          <w:color w:val="auto"/>
        </w:rPr>
      </w:pPr>
      <w:r>
        <w:rPr>
          <w:rFonts w:ascii="Arial" w:cs="Arial" w:eastAsia="Arial" w:hAnsi="Arial"/>
          <w:sz w:val="18"/>
          <w:szCs w:val="18"/>
          <w:color w:val="auto"/>
        </w:rPr>
        <w:t>Worldwide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United States, EU</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EU</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EU</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EU, Japan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Worldwide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Worldwide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EU</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Worldwide (asthma); United States, EU (nasal polyps) Worldwide (asthma); United States, EU (nasal polyps) United States, EU</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Worldwide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66" w:lineRule="exact"/>
        <w:rPr>
          <w:sz w:val="20"/>
          <w:szCs w:val="20"/>
          <w:color w:val="auto"/>
        </w:rPr>
      </w:pPr>
    </w:p>
    <w:p>
      <w:pPr>
        <w:ind w:right="760"/>
        <w:spacing w:after="0" w:line="301" w:lineRule="auto"/>
        <w:rPr>
          <w:sz w:val="20"/>
          <w:szCs w:val="20"/>
          <w:color w:val="auto"/>
        </w:rPr>
      </w:pPr>
      <w:r>
        <w:rPr>
          <w:rFonts w:ascii="Arial" w:cs="Arial" w:eastAsia="Arial" w:hAnsi="Arial"/>
          <w:sz w:val="18"/>
          <w:szCs w:val="18"/>
          <w:color w:val="auto"/>
        </w:rPr>
        <w:t>Worldwide Worldwide Worldwide Worldwide Worldwide United States, EU Worldwide</w:t>
      </w:r>
    </w:p>
    <w:p>
      <w:pPr>
        <w:sectPr>
          <w:pgSz w:w="11900" w:h="16838" w:orient="portrait"/>
          <w:cols w:equalWidth="0" w:num="4">
            <w:col w:w="1760" w:space="520"/>
            <w:col w:w="2060" w:space="20"/>
            <w:col w:w="4600" w:space="140"/>
            <w:col w:w="2060"/>
          </w:cols>
          <w:pgMar w:left="360" w:top="405" w:right="3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0"/>
        </w:trPr>
        <w:tc>
          <w:tcPr>
            <w:tcW w:w="21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Marketed Product</w:t>
            </w:r>
          </w:p>
        </w:tc>
        <w:tc>
          <w:tcPr>
            <w:tcW w:w="120" w:type="dxa"/>
            <w:vAlign w:val="bottom"/>
          </w:tcPr>
          <w:p>
            <w:pPr>
              <w:spacing w:after="0"/>
              <w:rPr>
                <w:sz w:val="19"/>
                <w:szCs w:val="19"/>
                <w:color w:val="auto"/>
              </w:rPr>
            </w:pPr>
          </w:p>
        </w:tc>
        <w:tc>
          <w:tcPr>
            <w:tcW w:w="21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Competitor Product</w:t>
            </w:r>
          </w:p>
        </w:tc>
        <w:tc>
          <w:tcPr>
            <w:tcW w:w="120" w:type="dxa"/>
            <w:vAlign w:val="bottom"/>
          </w:tcPr>
          <w:p>
            <w:pPr>
              <w:spacing w:after="0"/>
              <w:rPr>
                <w:sz w:val="19"/>
                <w:szCs w:val="19"/>
                <w:color w:val="auto"/>
              </w:rPr>
            </w:pPr>
          </w:p>
        </w:tc>
        <w:tc>
          <w:tcPr>
            <w:tcW w:w="212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Competitor</w:t>
            </w:r>
          </w:p>
        </w:tc>
        <w:tc>
          <w:tcPr>
            <w:tcW w:w="120" w:type="dxa"/>
            <w:vAlign w:val="bottom"/>
          </w:tcPr>
          <w:p>
            <w:pPr>
              <w:spacing w:after="0"/>
              <w:rPr>
                <w:sz w:val="19"/>
                <w:szCs w:val="19"/>
                <w:color w:val="auto"/>
              </w:rPr>
            </w:pPr>
          </w:p>
        </w:tc>
        <w:tc>
          <w:tcPr>
            <w:tcW w:w="234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rPr>
              <w:t>Indication</w:t>
            </w:r>
          </w:p>
        </w:tc>
        <w:tc>
          <w:tcPr>
            <w:tcW w:w="214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Territory</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71"/>
        </w:trPr>
        <w:tc>
          <w:tcPr>
            <w:tcW w:w="2160" w:type="dxa"/>
            <w:vAlign w:val="bottom"/>
          </w:tcPr>
          <w:p>
            <w:pPr>
              <w:jc w:val="right"/>
              <w:ind w:right="550"/>
              <w:spacing w:after="0"/>
              <w:rPr>
                <w:sz w:val="20"/>
                <w:szCs w:val="20"/>
                <w:color w:val="auto"/>
              </w:rPr>
            </w:pPr>
            <w:r>
              <w:rPr>
                <w:rFonts w:ascii="Arial" w:cs="Arial" w:eastAsia="Arial" w:hAnsi="Arial"/>
                <w:sz w:val="18"/>
                <w:szCs w:val="18"/>
                <w:b w:val="1"/>
                <w:bCs w:val="1"/>
                <w:i w:val="1"/>
                <w:iCs w:val="1"/>
                <w:color w:val="auto"/>
              </w:rPr>
              <w:t>(continued)</w:t>
            </w:r>
          </w:p>
        </w:tc>
        <w:tc>
          <w:tcPr>
            <w:tcW w:w="120" w:type="dxa"/>
            <w:vAlign w:val="bottom"/>
          </w:tcPr>
          <w:p>
            <w:pPr>
              <w:spacing w:after="0"/>
              <w:rPr>
                <w:sz w:val="23"/>
                <w:szCs w:val="23"/>
                <w:color w:val="auto"/>
              </w:rPr>
            </w:pPr>
          </w:p>
        </w:tc>
        <w:tc>
          <w:tcPr>
            <w:tcW w:w="21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2"/>
            <w:vMerge w:val="continue"/>
          </w:tcPr>
          <w:p>
            <w:pPr>
              <w:spacing w:after="0"/>
              <w:rPr>
                <w:sz w:val="23"/>
                <w:szCs w:val="23"/>
                <w:color w:val="auto"/>
              </w:rPr>
            </w:pPr>
          </w:p>
        </w:tc>
        <w:tc>
          <w:tcPr>
            <w:tcW w:w="2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160" w:type="dxa"/>
            <w:vAlign w:val="bottom"/>
            <w:tcBorders>
              <w:top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w w:val="92"/>
              </w:rPr>
              <w:t xml:space="preserve">Praluent </w:t>
            </w:r>
            <w:r>
              <w:rPr>
                <w:rFonts w:ascii="Arial" w:cs="Arial" w:eastAsia="Arial" w:hAnsi="Arial"/>
                <w:sz w:val="18"/>
                <w:szCs w:val="18"/>
                <w:i w:val="1"/>
                <w:iCs w:val="1"/>
                <w:color w:val="auto"/>
                <w:w w:val="92"/>
              </w:rPr>
              <w:t>(continued)</w:t>
            </w:r>
          </w:p>
        </w:tc>
        <w:tc>
          <w:tcPr>
            <w:tcW w:w="120" w:type="dxa"/>
            <w:vAlign w:val="bottom"/>
          </w:tcPr>
          <w:p>
            <w:pPr>
              <w:spacing w:after="0"/>
              <w:rPr>
                <w:sz w:val="17"/>
                <w:szCs w:val="17"/>
                <w:color w:val="auto"/>
              </w:rPr>
            </w:pPr>
          </w:p>
        </w:tc>
        <w:tc>
          <w:tcPr>
            <w:tcW w:w="21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4"/>
                <w:szCs w:val="14"/>
                <w:color w:val="auto"/>
              </w:rPr>
              <w:t>Leqvio</w:t>
            </w:r>
            <w:r>
              <w:rPr>
                <w:rFonts w:ascii="Arial" w:cs="Arial" w:eastAsia="Arial" w:hAnsi="Arial"/>
                <w:sz w:val="22"/>
                <w:szCs w:val="22"/>
                <w:color w:val="auto"/>
                <w:vertAlign w:val="superscript"/>
              </w:rPr>
              <w:t>®</w:t>
            </w:r>
            <w:r>
              <w:rPr>
                <w:rFonts w:ascii="Arial" w:cs="Arial" w:eastAsia="Arial" w:hAnsi="Arial"/>
                <w:sz w:val="14"/>
                <w:szCs w:val="14"/>
                <w:color w:val="auto"/>
              </w:rPr>
              <w:t xml:space="preserve"> (inclisiran)</w:t>
            </w:r>
          </w:p>
        </w:tc>
        <w:tc>
          <w:tcPr>
            <w:tcW w:w="120" w:type="dxa"/>
            <w:vAlign w:val="bottom"/>
          </w:tcPr>
          <w:p>
            <w:pPr>
              <w:spacing w:after="0"/>
              <w:rPr>
                <w:sz w:val="17"/>
                <w:szCs w:val="17"/>
                <w:color w:val="auto"/>
              </w:rPr>
            </w:pPr>
          </w:p>
        </w:tc>
        <w:tc>
          <w:tcPr>
            <w:tcW w:w="2120" w:type="dxa"/>
            <w:vAlign w:val="bottom"/>
            <w:tcBorders>
              <w:top w:val="single" w:sz="8" w:color="auto"/>
            </w:tcBorders>
          </w:tcPr>
          <w:p>
            <w:pPr>
              <w:ind w:left="40"/>
              <w:spacing w:after="0" w:line="196" w:lineRule="exact"/>
              <w:rPr>
                <w:sz w:val="20"/>
                <w:szCs w:val="20"/>
                <w:color w:val="auto"/>
              </w:rPr>
            </w:pPr>
            <w:r>
              <w:rPr>
                <w:rFonts w:ascii="Arial" w:cs="Arial" w:eastAsia="Arial" w:hAnsi="Arial"/>
                <w:sz w:val="18"/>
                <w:szCs w:val="18"/>
                <w:color w:val="auto"/>
              </w:rPr>
              <w:t>Novartis</w:t>
            </w:r>
          </w:p>
        </w:tc>
        <w:tc>
          <w:tcPr>
            <w:tcW w:w="120" w:type="dxa"/>
            <w:vAlign w:val="bottom"/>
          </w:tcPr>
          <w:p>
            <w:pPr>
              <w:spacing w:after="0"/>
              <w:rPr>
                <w:sz w:val="17"/>
                <w:szCs w:val="17"/>
                <w:color w:val="auto"/>
              </w:rPr>
            </w:pPr>
          </w:p>
        </w:tc>
        <w:tc>
          <w:tcPr>
            <w:tcW w:w="2240" w:type="dxa"/>
            <w:vAlign w:val="bottom"/>
            <w:tcBorders>
              <w:top w:val="single" w:sz="8" w:color="auto"/>
            </w:tcBorders>
          </w:tcPr>
          <w:p>
            <w:pPr>
              <w:ind w:left="40"/>
              <w:spacing w:after="0" w:line="196" w:lineRule="exact"/>
              <w:rPr>
                <w:sz w:val="20"/>
                <w:szCs w:val="20"/>
                <w:color w:val="auto"/>
              </w:rPr>
            </w:pPr>
            <w:r>
              <w:rPr>
                <w:rFonts w:ascii="Arial" w:cs="Arial" w:eastAsia="Arial" w:hAnsi="Arial"/>
                <w:sz w:val="18"/>
                <w:szCs w:val="18"/>
                <w:color w:val="auto"/>
                <w:w w:val="91"/>
              </w:rPr>
              <w:t>Primary hypercholesterolemia</w:t>
            </w:r>
          </w:p>
        </w:tc>
        <w:tc>
          <w:tcPr>
            <w:tcW w:w="100" w:type="dxa"/>
            <w:vAlign w:val="bottom"/>
          </w:tcPr>
          <w:p>
            <w:pPr>
              <w:spacing w:after="0"/>
              <w:rPr>
                <w:sz w:val="17"/>
                <w:szCs w:val="17"/>
                <w:color w:val="auto"/>
              </w:rPr>
            </w:pPr>
          </w:p>
        </w:tc>
        <w:tc>
          <w:tcPr>
            <w:tcW w:w="2140" w:type="dxa"/>
            <w:vAlign w:val="bottom"/>
            <w:tcBorders>
              <w:top w:val="single" w:sz="8" w:color="auto"/>
            </w:tcBorders>
          </w:tcPr>
          <w:p>
            <w:pPr>
              <w:ind w:left="40"/>
              <w:spacing w:after="0" w:line="196" w:lineRule="exact"/>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(heterozygous familial and</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non-familial) or mixed</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dyslipidemia</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DEAFA"/>
          </w:tcPr>
          <w:p>
            <w:pPr>
              <w:jc w:val="right"/>
              <w:ind w:right="1430"/>
              <w:spacing w:after="0" w:line="202" w:lineRule="exact"/>
              <w:rPr>
                <w:sz w:val="20"/>
                <w:szCs w:val="20"/>
                <w:color w:val="auto"/>
              </w:rPr>
            </w:pPr>
            <w:r>
              <w:rPr>
                <w:rFonts w:ascii="Arial" w:cs="Arial" w:eastAsia="Arial" w:hAnsi="Arial"/>
                <w:sz w:val="18"/>
                <w:szCs w:val="18"/>
                <w:color w:val="auto"/>
                <w:w w:val="93"/>
              </w:rPr>
              <w:t>Kevzara</w:t>
            </w:r>
          </w:p>
        </w:tc>
        <w:tc>
          <w:tcPr>
            <w:tcW w:w="120" w:type="dxa"/>
            <w:vAlign w:val="bottom"/>
            <w:shd w:val="clear" w:color="auto" w:fill="CDEAFA"/>
          </w:tcPr>
          <w:p>
            <w:pPr>
              <w:spacing w:after="0"/>
              <w:rPr>
                <w:sz w:val="17"/>
                <w:szCs w:val="17"/>
                <w:color w:val="auto"/>
              </w:rPr>
            </w:pPr>
          </w:p>
        </w:tc>
        <w:tc>
          <w:tcPr>
            <w:tcW w:w="2120" w:type="dxa"/>
            <w:vAlign w:val="bottom"/>
            <w:shd w:val="clear" w:color="auto" w:fill="CDEAFA"/>
          </w:tcPr>
          <w:p>
            <w:pPr>
              <w:ind w:left="40"/>
              <w:spacing w:after="0" w:line="202" w:lineRule="exact"/>
              <w:rPr>
                <w:sz w:val="20"/>
                <w:szCs w:val="20"/>
                <w:color w:val="auto"/>
              </w:rPr>
            </w:pPr>
            <w:r>
              <w:rPr>
                <w:rFonts w:ascii="Arial" w:cs="Arial" w:eastAsia="Arial" w:hAnsi="Arial"/>
                <w:sz w:val="15"/>
                <w:szCs w:val="15"/>
                <w:color w:val="auto"/>
              </w:rPr>
              <w:t>Actemra</w:t>
            </w:r>
            <w:r>
              <w:rPr>
                <w:rFonts w:ascii="Arial" w:cs="Arial" w:eastAsia="Arial" w:hAnsi="Arial"/>
                <w:sz w:val="23"/>
                <w:szCs w:val="23"/>
                <w:color w:val="auto"/>
                <w:vertAlign w:val="superscript"/>
              </w:rPr>
              <w:t>®</w:t>
            </w:r>
            <w:r>
              <w:rPr>
                <w:rFonts w:ascii="Arial" w:cs="Arial" w:eastAsia="Arial" w:hAnsi="Arial"/>
                <w:sz w:val="15"/>
                <w:szCs w:val="15"/>
                <w:color w:val="auto"/>
              </w:rPr>
              <w:t xml:space="preserve"> (tocilizumab)</w:t>
            </w:r>
          </w:p>
        </w:tc>
        <w:tc>
          <w:tcPr>
            <w:tcW w:w="120" w:type="dxa"/>
            <w:vAlign w:val="bottom"/>
            <w:shd w:val="clear" w:color="auto" w:fill="CDEAFA"/>
          </w:tcPr>
          <w:p>
            <w:pPr>
              <w:spacing w:after="0"/>
              <w:rPr>
                <w:sz w:val="17"/>
                <w:szCs w:val="17"/>
                <w:color w:val="auto"/>
              </w:rPr>
            </w:pPr>
          </w:p>
        </w:tc>
        <w:tc>
          <w:tcPr>
            <w:tcW w:w="2120" w:type="dxa"/>
            <w:vAlign w:val="bottom"/>
            <w:shd w:val="clear" w:color="auto" w:fill="CDEAFA"/>
          </w:tcPr>
          <w:p>
            <w:pPr>
              <w:ind w:left="40"/>
              <w:spacing w:after="0" w:line="202" w:lineRule="exact"/>
              <w:rPr>
                <w:sz w:val="20"/>
                <w:szCs w:val="20"/>
                <w:color w:val="auto"/>
              </w:rPr>
            </w:pPr>
            <w:r>
              <w:rPr>
                <w:rFonts w:ascii="Arial" w:cs="Arial" w:eastAsia="Arial" w:hAnsi="Arial"/>
                <w:sz w:val="18"/>
                <w:szCs w:val="18"/>
                <w:color w:val="auto"/>
                <w:w w:val="99"/>
              </w:rPr>
              <w:t>Genentech/Roche/Chugai</w:t>
            </w:r>
          </w:p>
        </w:tc>
        <w:tc>
          <w:tcPr>
            <w:tcW w:w="120" w:type="dxa"/>
            <w:vAlign w:val="bottom"/>
            <w:shd w:val="clear" w:color="auto" w:fill="CDEAFA"/>
          </w:tcPr>
          <w:p>
            <w:pPr>
              <w:spacing w:after="0"/>
              <w:rPr>
                <w:sz w:val="17"/>
                <w:szCs w:val="17"/>
                <w:color w:val="auto"/>
              </w:rPr>
            </w:pPr>
          </w:p>
        </w:tc>
        <w:tc>
          <w:tcPr>
            <w:tcW w:w="2340" w:type="dxa"/>
            <w:vAlign w:val="bottom"/>
            <w:gridSpan w:val="2"/>
            <w:shd w:val="clear" w:color="auto" w:fill="CDEAFA"/>
          </w:tcPr>
          <w:p>
            <w:pPr>
              <w:ind w:left="40"/>
              <w:spacing w:after="0" w:line="202" w:lineRule="exact"/>
              <w:rPr>
                <w:sz w:val="20"/>
                <w:szCs w:val="20"/>
                <w:color w:val="auto"/>
              </w:rPr>
            </w:pPr>
            <w:r>
              <w:rPr>
                <w:rFonts w:ascii="Arial" w:cs="Arial" w:eastAsia="Arial" w:hAnsi="Arial"/>
                <w:sz w:val="18"/>
                <w:szCs w:val="18"/>
                <w:color w:val="auto"/>
              </w:rPr>
              <w:t>Rheumatoid arthritis</w:t>
            </w:r>
          </w:p>
        </w:tc>
        <w:tc>
          <w:tcPr>
            <w:tcW w:w="2140" w:type="dxa"/>
            <w:vAlign w:val="bottom"/>
            <w:shd w:val="clear" w:color="auto" w:fill="CDEAFA"/>
          </w:tcPr>
          <w:p>
            <w:pPr>
              <w:ind w:left="40"/>
              <w:spacing w:after="0" w:line="202" w:lineRule="exact"/>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29"/>
        </w:trPr>
        <w:tc>
          <w:tcPr>
            <w:tcW w:w="216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212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2120" w:type="dxa"/>
            <w:vAlign w:val="bottom"/>
            <w:shd w:val="clear" w:color="auto" w:fill="CDEAFA"/>
          </w:tcPr>
          <w:p>
            <w:pPr>
              <w:ind w:left="40"/>
              <w:spacing w:after="0"/>
              <w:rPr>
                <w:sz w:val="20"/>
                <w:szCs w:val="20"/>
                <w:color w:val="auto"/>
              </w:rPr>
            </w:pPr>
            <w:r>
              <w:rPr>
                <w:rFonts w:ascii="Arial" w:cs="Arial" w:eastAsia="Arial" w:hAnsi="Arial"/>
                <w:sz w:val="18"/>
                <w:szCs w:val="18"/>
                <w:color w:val="auto"/>
              </w:rPr>
              <w:t>Pharmaceutical Co., Ltd.</w:t>
            </w:r>
          </w:p>
        </w:tc>
        <w:tc>
          <w:tcPr>
            <w:tcW w:w="120" w:type="dxa"/>
            <w:vAlign w:val="bottom"/>
            <w:shd w:val="clear" w:color="auto" w:fill="CDEAFA"/>
          </w:tcPr>
          <w:p>
            <w:pPr>
              <w:spacing w:after="0"/>
              <w:rPr>
                <w:sz w:val="19"/>
                <w:szCs w:val="19"/>
                <w:color w:val="auto"/>
              </w:rPr>
            </w:pPr>
          </w:p>
        </w:tc>
        <w:tc>
          <w:tcPr>
            <w:tcW w:w="224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2140" w:type="dxa"/>
            <w:vAlign w:val="bottom"/>
            <w:shd w:val="clear" w:color="auto" w:fill="CDEAFA"/>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60" w:type="dxa"/>
            <w:vAlign w:val="bottom"/>
            <w:shd w:val="clear" w:color="auto" w:fill="CDEAFA"/>
          </w:tcPr>
          <w:p>
            <w:pPr>
              <w:spacing w:after="0"/>
              <w:rPr>
                <w:sz w:val="22"/>
                <w:szCs w:val="22"/>
                <w:color w:val="auto"/>
              </w:rPr>
            </w:pPr>
          </w:p>
        </w:tc>
        <w:tc>
          <w:tcPr>
            <w:tcW w:w="120" w:type="dxa"/>
            <w:vAlign w:val="bottom"/>
            <w:shd w:val="clear" w:color="auto" w:fill="CDEAFA"/>
          </w:tcPr>
          <w:p>
            <w:pPr>
              <w:spacing w:after="0"/>
              <w:rPr>
                <w:sz w:val="22"/>
                <w:szCs w:val="22"/>
                <w:color w:val="auto"/>
              </w:rPr>
            </w:pPr>
          </w:p>
        </w:tc>
        <w:tc>
          <w:tcPr>
            <w:tcW w:w="2120" w:type="dxa"/>
            <w:vAlign w:val="bottom"/>
            <w:shd w:val="clear" w:color="auto" w:fill="CDEAFA"/>
          </w:tcPr>
          <w:p>
            <w:pPr>
              <w:ind w:left="40"/>
              <w:spacing w:after="0" w:line="256" w:lineRule="exact"/>
              <w:rPr>
                <w:sz w:val="20"/>
                <w:szCs w:val="20"/>
                <w:color w:val="auto"/>
              </w:rPr>
            </w:pPr>
            <w:r>
              <w:rPr>
                <w:rFonts w:ascii="Arial" w:cs="Arial" w:eastAsia="Arial" w:hAnsi="Arial"/>
                <w:sz w:val="18"/>
                <w:szCs w:val="18"/>
                <w:color w:val="auto"/>
              </w:rPr>
              <w:t>Orencia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(abatacept)</w:t>
            </w:r>
          </w:p>
        </w:tc>
        <w:tc>
          <w:tcPr>
            <w:tcW w:w="120" w:type="dxa"/>
            <w:vAlign w:val="bottom"/>
            <w:shd w:val="clear" w:color="auto" w:fill="CDEAFA"/>
          </w:tcPr>
          <w:p>
            <w:pPr>
              <w:spacing w:after="0"/>
              <w:rPr>
                <w:sz w:val="22"/>
                <w:szCs w:val="22"/>
                <w:color w:val="auto"/>
              </w:rPr>
            </w:pPr>
          </w:p>
        </w:tc>
        <w:tc>
          <w:tcPr>
            <w:tcW w:w="2120" w:type="dxa"/>
            <w:vAlign w:val="bottom"/>
            <w:shd w:val="clear" w:color="auto" w:fill="CDEAFA"/>
          </w:tcPr>
          <w:p>
            <w:pPr>
              <w:ind w:left="40"/>
              <w:spacing w:after="0"/>
              <w:rPr>
                <w:sz w:val="20"/>
                <w:szCs w:val="20"/>
                <w:color w:val="auto"/>
              </w:rPr>
            </w:pPr>
            <w:r>
              <w:rPr>
                <w:rFonts w:ascii="Arial" w:cs="Arial" w:eastAsia="Arial" w:hAnsi="Arial"/>
                <w:sz w:val="18"/>
                <w:szCs w:val="18"/>
                <w:color w:val="auto"/>
              </w:rPr>
              <w:t>Bristol-Myers Squibb</w:t>
            </w:r>
          </w:p>
        </w:tc>
        <w:tc>
          <w:tcPr>
            <w:tcW w:w="120" w:type="dxa"/>
            <w:vAlign w:val="bottom"/>
            <w:shd w:val="clear" w:color="auto" w:fill="CDEAFA"/>
          </w:tcPr>
          <w:p>
            <w:pPr>
              <w:spacing w:after="0"/>
              <w:rPr>
                <w:sz w:val="22"/>
                <w:szCs w:val="22"/>
                <w:color w:val="auto"/>
              </w:rPr>
            </w:pP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Rheumatoid arthritis</w:t>
            </w:r>
          </w:p>
        </w:tc>
        <w:tc>
          <w:tcPr>
            <w:tcW w:w="2140" w:type="dxa"/>
            <w:vAlign w:val="bottom"/>
            <w:shd w:val="clear" w:color="auto" w:fill="CDEAFA"/>
          </w:tcPr>
          <w:p>
            <w:pPr>
              <w:ind w:left="4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57"/>
        </w:trPr>
        <w:tc>
          <w:tcPr>
            <w:tcW w:w="2160" w:type="dxa"/>
            <w:vAlign w:val="bottom"/>
            <w:shd w:val="clear" w:color="auto" w:fill="CDEAFA"/>
          </w:tcPr>
          <w:p>
            <w:pPr>
              <w:spacing w:after="0"/>
              <w:rPr>
                <w:sz w:val="22"/>
                <w:szCs w:val="22"/>
                <w:color w:val="auto"/>
              </w:rPr>
            </w:pPr>
          </w:p>
        </w:tc>
        <w:tc>
          <w:tcPr>
            <w:tcW w:w="120" w:type="dxa"/>
            <w:vAlign w:val="bottom"/>
            <w:shd w:val="clear" w:color="auto" w:fill="CDEAFA"/>
          </w:tcPr>
          <w:p>
            <w:pPr>
              <w:spacing w:after="0"/>
              <w:rPr>
                <w:sz w:val="22"/>
                <w:szCs w:val="22"/>
                <w:color w:val="auto"/>
              </w:rPr>
            </w:pPr>
          </w:p>
        </w:tc>
        <w:tc>
          <w:tcPr>
            <w:tcW w:w="2120" w:type="dxa"/>
            <w:vAlign w:val="bottom"/>
            <w:shd w:val="clear" w:color="auto" w:fill="CDEAFA"/>
          </w:tcPr>
          <w:p>
            <w:pPr>
              <w:ind w:left="40"/>
              <w:spacing w:after="0" w:line="256" w:lineRule="exact"/>
              <w:rPr>
                <w:sz w:val="20"/>
                <w:szCs w:val="20"/>
                <w:color w:val="auto"/>
              </w:rPr>
            </w:pPr>
            <w:r>
              <w:rPr>
                <w:rFonts w:ascii="Arial" w:cs="Arial" w:eastAsia="Arial" w:hAnsi="Arial"/>
                <w:sz w:val="18"/>
                <w:szCs w:val="18"/>
                <w:color w:val="auto"/>
              </w:rPr>
              <w:t>Xeljanz</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(tofacitinib)</w:t>
            </w:r>
          </w:p>
        </w:tc>
        <w:tc>
          <w:tcPr>
            <w:tcW w:w="120" w:type="dxa"/>
            <w:vAlign w:val="bottom"/>
            <w:shd w:val="clear" w:color="auto" w:fill="CDEAFA"/>
          </w:tcPr>
          <w:p>
            <w:pPr>
              <w:spacing w:after="0"/>
              <w:rPr>
                <w:sz w:val="22"/>
                <w:szCs w:val="22"/>
                <w:color w:val="auto"/>
              </w:rPr>
            </w:pPr>
          </w:p>
        </w:tc>
        <w:tc>
          <w:tcPr>
            <w:tcW w:w="2120" w:type="dxa"/>
            <w:vAlign w:val="bottom"/>
            <w:shd w:val="clear" w:color="auto" w:fill="CDEAFA"/>
          </w:tcPr>
          <w:p>
            <w:pPr>
              <w:ind w:left="40"/>
              <w:spacing w:after="0"/>
              <w:rPr>
                <w:sz w:val="20"/>
                <w:szCs w:val="20"/>
                <w:color w:val="auto"/>
              </w:rPr>
            </w:pPr>
            <w:r>
              <w:rPr>
                <w:rFonts w:ascii="Arial" w:cs="Arial" w:eastAsia="Arial" w:hAnsi="Arial"/>
                <w:sz w:val="18"/>
                <w:szCs w:val="18"/>
                <w:color w:val="auto"/>
              </w:rPr>
              <w:t>Pfizer</w:t>
            </w:r>
          </w:p>
        </w:tc>
        <w:tc>
          <w:tcPr>
            <w:tcW w:w="120" w:type="dxa"/>
            <w:vAlign w:val="bottom"/>
            <w:shd w:val="clear" w:color="auto" w:fill="CDEAFA"/>
          </w:tcPr>
          <w:p>
            <w:pPr>
              <w:spacing w:after="0"/>
              <w:rPr>
                <w:sz w:val="22"/>
                <w:szCs w:val="22"/>
                <w:color w:val="auto"/>
              </w:rPr>
            </w:pP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Rheumatoid arthritis</w:t>
            </w:r>
          </w:p>
        </w:tc>
        <w:tc>
          <w:tcPr>
            <w:tcW w:w="2140" w:type="dxa"/>
            <w:vAlign w:val="bottom"/>
            <w:shd w:val="clear" w:color="auto" w:fill="CDEAFA"/>
          </w:tcPr>
          <w:p>
            <w:pPr>
              <w:ind w:left="4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57"/>
        </w:trPr>
        <w:tc>
          <w:tcPr>
            <w:tcW w:w="2160" w:type="dxa"/>
            <w:vAlign w:val="bottom"/>
            <w:shd w:val="clear" w:color="auto" w:fill="CDEAFA"/>
          </w:tcPr>
          <w:p>
            <w:pPr>
              <w:spacing w:after="0"/>
              <w:rPr>
                <w:sz w:val="22"/>
                <w:szCs w:val="22"/>
                <w:color w:val="auto"/>
              </w:rPr>
            </w:pPr>
          </w:p>
        </w:tc>
        <w:tc>
          <w:tcPr>
            <w:tcW w:w="120" w:type="dxa"/>
            <w:vAlign w:val="bottom"/>
            <w:shd w:val="clear" w:color="auto" w:fill="CDEAFA"/>
          </w:tcPr>
          <w:p>
            <w:pPr>
              <w:spacing w:after="0"/>
              <w:rPr>
                <w:sz w:val="22"/>
                <w:szCs w:val="22"/>
                <w:color w:val="auto"/>
              </w:rPr>
            </w:pPr>
          </w:p>
        </w:tc>
        <w:tc>
          <w:tcPr>
            <w:tcW w:w="2120" w:type="dxa"/>
            <w:vAlign w:val="bottom"/>
            <w:shd w:val="clear" w:color="auto" w:fill="CDEAFA"/>
          </w:tcPr>
          <w:p>
            <w:pPr>
              <w:ind w:left="40"/>
              <w:spacing w:after="0" w:line="256" w:lineRule="exact"/>
              <w:rPr>
                <w:sz w:val="20"/>
                <w:szCs w:val="20"/>
                <w:color w:val="auto"/>
              </w:rPr>
            </w:pPr>
            <w:r>
              <w:rPr>
                <w:rFonts w:ascii="Arial" w:cs="Arial" w:eastAsia="Arial" w:hAnsi="Arial"/>
                <w:sz w:val="18"/>
                <w:szCs w:val="18"/>
                <w:color w:val="auto"/>
              </w:rPr>
              <w:t>Olumiant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(baricitinib)</w:t>
            </w:r>
          </w:p>
        </w:tc>
        <w:tc>
          <w:tcPr>
            <w:tcW w:w="120" w:type="dxa"/>
            <w:vAlign w:val="bottom"/>
            <w:shd w:val="clear" w:color="auto" w:fill="CDEAFA"/>
          </w:tcPr>
          <w:p>
            <w:pPr>
              <w:spacing w:after="0"/>
              <w:rPr>
                <w:sz w:val="22"/>
                <w:szCs w:val="22"/>
                <w:color w:val="auto"/>
              </w:rPr>
            </w:pPr>
          </w:p>
        </w:tc>
        <w:tc>
          <w:tcPr>
            <w:tcW w:w="2120" w:type="dxa"/>
            <w:vAlign w:val="bottom"/>
            <w:shd w:val="clear" w:color="auto" w:fill="CDEAFA"/>
          </w:tcPr>
          <w:p>
            <w:pPr>
              <w:ind w:left="40"/>
              <w:spacing w:after="0"/>
              <w:rPr>
                <w:sz w:val="20"/>
                <w:szCs w:val="20"/>
                <w:color w:val="auto"/>
              </w:rPr>
            </w:pPr>
            <w:r>
              <w:rPr>
                <w:rFonts w:ascii="Arial" w:cs="Arial" w:eastAsia="Arial" w:hAnsi="Arial"/>
                <w:sz w:val="18"/>
                <w:szCs w:val="18"/>
                <w:color w:val="auto"/>
              </w:rPr>
              <w:t>Eli Lilly/Incyte</w:t>
            </w:r>
          </w:p>
        </w:tc>
        <w:tc>
          <w:tcPr>
            <w:tcW w:w="120" w:type="dxa"/>
            <w:vAlign w:val="bottom"/>
            <w:shd w:val="clear" w:color="auto" w:fill="CDEAFA"/>
          </w:tcPr>
          <w:p>
            <w:pPr>
              <w:spacing w:after="0"/>
              <w:rPr>
                <w:sz w:val="22"/>
                <w:szCs w:val="22"/>
                <w:color w:val="auto"/>
              </w:rPr>
            </w:pP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Rheumatoid arthritis</w:t>
            </w:r>
          </w:p>
        </w:tc>
        <w:tc>
          <w:tcPr>
            <w:tcW w:w="2140" w:type="dxa"/>
            <w:vAlign w:val="bottom"/>
            <w:shd w:val="clear" w:color="auto" w:fill="CDEAFA"/>
          </w:tcPr>
          <w:p>
            <w:pPr>
              <w:ind w:left="4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57"/>
        </w:trPr>
        <w:tc>
          <w:tcPr>
            <w:tcW w:w="2160" w:type="dxa"/>
            <w:vAlign w:val="bottom"/>
            <w:shd w:val="clear" w:color="auto" w:fill="CDEAFA"/>
          </w:tcPr>
          <w:p>
            <w:pPr>
              <w:spacing w:after="0"/>
              <w:rPr>
                <w:sz w:val="22"/>
                <w:szCs w:val="22"/>
                <w:color w:val="auto"/>
              </w:rPr>
            </w:pPr>
          </w:p>
        </w:tc>
        <w:tc>
          <w:tcPr>
            <w:tcW w:w="120" w:type="dxa"/>
            <w:vAlign w:val="bottom"/>
            <w:shd w:val="clear" w:color="auto" w:fill="CDEAFA"/>
          </w:tcPr>
          <w:p>
            <w:pPr>
              <w:spacing w:after="0"/>
              <w:rPr>
                <w:sz w:val="22"/>
                <w:szCs w:val="22"/>
                <w:color w:val="auto"/>
              </w:rPr>
            </w:pPr>
          </w:p>
        </w:tc>
        <w:tc>
          <w:tcPr>
            <w:tcW w:w="2120" w:type="dxa"/>
            <w:vAlign w:val="bottom"/>
            <w:shd w:val="clear" w:color="auto" w:fill="CDEAFA"/>
          </w:tcPr>
          <w:p>
            <w:pPr>
              <w:ind w:left="40"/>
              <w:spacing w:after="0" w:line="256" w:lineRule="exact"/>
              <w:rPr>
                <w:sz w:val="20"/>
                <w:szCs w:val="20"/>
                <w:color w:val="auto"/>
              </w:rPr>
            </w:pPr>
            <w:r>
              <w:rPr>
                <w:rFonts w:ascii="Arial" w:cs="Arial" w:eastAsia="Arial" w:hAnsi="Arial"/>
                <w:sz w:val="18"/>
                <w:szCs w:val="18"/>
                <w:color w:val="auto"/>
              </w:rPr>
              <w:t>Rinvoq</w:t>
            </w:r>
            <w:r>
              <w:rPr>
                <w:rFonts w:ascii="Arial" w:cs="Arial" w:eastAsia="Arial" w:hAnsi="Arial"/>
                <w:sz w:val="29"/>
                <w:szCs w:val="29"/>
                <w:color w:val="auto"/>
                <w:vertAlign w:val="superscript"/>
              </w:rPr>
              <w:t>®</w:t>
            </w:r>
            <w:r>
              <w:rPr>
                <w:rFonts w:ascii="Arial" w:cs="Arial" w:eastAsia="Arial" w:hAnsi="Arial"/>
                <w:sz w:val="18"/>
                <w:szCs w:val="18"/>
                <w:color w:val="auto"/>
              </w:rPr>
              <w:t xml:space="preserve"> (upadacitinib)</w:t>
            </w:r>
          </w:p>
        </w:tc>
        <w:tc>
          <w:tcPr>
            <w:tcW w:w="120" w:type="dxa"/>
            <w:vAlign w:val="bottom"/>
            <w:shd w:val="clear" w:color="auto" w:fill="CDEAFA"/>
          </w:tcPr>
          <w:p>
            <w:pPr>
              <w:spacing w:after="0"/>
              <w:rPr>
                <w:sz w:val="22"/>
                <w:szCs w:val="22"/>
                <w:color w:val="auto"/>
              </w:rPr>
            </w:pPr>
          </w:p>
        </w:tc>
        <w:tc>
          <w:tcPr>
            <w:tcW w:w="2120" w:type="dxa"/>
            <w:vAlign w:val="bottom"/>
            <w:shd w:val="clear" w:color="auto" w:fill="CDEAFA"/>
          </w:tcPr>
          <w:p>
            <w:pPr>
              <w:ind w:left="40"/>
              <w:spacing w:after="0"/>
              <w:rPr>
                <w:sz w:val="20"/>
                <w:szCs w:val="20"/>
                <w:color w:val="auto"/>
              </w:rPr>
            </w:pPr>
            <w:r>
              <w:rPr>
                <w:rFonts w:ascii="Arial" w:cs="Arial" w:eastAsia="Arial" w:hAnsi="Arial"/>
                <w:sz w:val="18"/>
                <w:szCs w:val="18"/>
                <w:color w:val="auto"/>
              </w:rPr>
              <w:t>AbbVie</w:t>
            </w:r>
          </w:p>
        </w:tc>
        <w:tc>
          <w:tcPr>
            <w:tcW w:w="120" w:type="dxa"/>
            <w:vAlign w:val="bottom"/>
            <w:shd w:val="clear" w:color="auto" w:fill="CDEAFA"/>
          </w:tcPr>
          <w:p>
            <w:pPr>
              <w:spacing w:after="0"/>
              <w:rPr>
                <w:sz w:val="22"/>
                <w:szCs w:val="22"/>
                <w:color w:val="auto"/>
              </w:rPr>
            </w:pPr>
          </w:p>
        </w:tc>
        <w:tc>
          <w:tcPr>
            <w:tcW w:w="234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Rheumatoid arthritis</w:t>
            </w:r>
          </w:p>
        </w:tc>
        <w:tc>
          <w:tcPr>
            <w:tcW w:w="2140" w:type="dxa"/>
            <w:vAlign w:val="bottom"/>
            <w:shd w:val="clear" w:color="auto" w:fill="CDEAFA"/>
          </w:tcPr>
          <w:p>
            <w:pPr>
              <w:ind w:left="4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03"/>
        </w:trPr>
        <w:tc>
          <w:tcPr>
            <w:tcW w:w="2160" w:type="dxa"/>
            <w:vAlign w:val="bottom"/>
            <w:shd w:val="clear" w:color="auto" w:fill="CDEAFA"/>
          </w:tcPr>
          <w:p>
            <w:pPr>
              <w:spacing w:after="0"/>
              <w:rPr>
                <w:sz w:val="17"/>
                <w:szCs w:val="17"/>
                <w:color w:val="auto"/>
              </w:rPr>
            </w:pPr>
          </w:p>
        </w:tc>
        <w:tc>
          <w:tcPr>
            <w:tcW w:w="120" w:type="dxa"/>
            <w:vAlign w:val="bottom"/>
            <w:shd w:val="clear" w:color="auto" w:fill="CDEAFA"/>
          </w:tcPr>
          <w:p>
            <w:pPr>
              <w:spacing w:after="0"/>
              <w:rPr>
                <w:sz w:val="17"/>
                <w:szCs w:val="17"/>
                <w:color w:val="auto"/>
              </w:rPr>
            </w:pPr>
          </w:p>
        </w:tc>
        <w:tc>
          <w:tcPr>
            <w:tcW w:w="2120" w:type="dxa"/>
            <w:vAlign w:val="bottom"/>
            <w:shd w:val="clear" w:color="auto" w:fill="CDEAFA"/>
          </w:tcPr>
          <w:p>
            <w:pPr>
              <w:ind w:left="40"/>
              <w:spacing w:after="0" w:line="202" w:lineRule="exact"/>
              <w:rPr>
                <w:sz w:val="20"/>
                <w:szCs w:val="20"/>
                <w:color w:val="auto"/>
              </w:rPr>
            </w:pPr>
            <w:r>
              <w:rPr>
                <w:rFonts w:ascii="Arial" w:cs="Arial" w:eastAsia="Arial" w:hAnsi="Arial"/>
                <w:sz w:val="15"/>
                <w:szCs w:val="15"/>
                <w:color w:val="auto"/>
              </w:rPr>
              <w:t>Jyseleca</w:t>
            </w:r>
            <w:r>
              <w:rPr>
                <w:rFonts w:ascii="Arial" w:cs="Arial" w:eastAsia="Arial" w:hAnsi="Arial"/>
                <w:sz w:val="23"/>
                <w:szCs w:val="23"/>
                <w:color w:val="auto"/>
                <w:vertAlign w:val="superscript"/>
              </w:rPr>
              <w:t>®</w:t>
            </w:r>
            <w:r>
              <w:rPr>
                <w:rFonts w:ascii="Arial" w:cs="Arial" w:eastAsia="Arial" w:hAnsi="Arial"/>
                <w:sz w:val="15"/>
                <w:szCs w:val="15"/>
                <w:color w:val="auto"/>
              </w:rPr>
              <w:t xml:space="preserve"> (filgotinib)</w:t>
            </w:r>
          </w:p>
        </w:tc>
        <w:tc>
          <w:tcPr>
            <w:tcW w:w="120" w:type="dxa"/>
            <w:vAlign w:val="bottom"/>
            <w:shd w:val="clear" w:color="auto" w:fill="CDEAFA"/>
          </w:tcPr>
          <w:p>
            <w:pPr>
              <w:spacing w:after="0"/>
              <w:rPr>
                <w:sz w:val="17"/>
                <w:szCs w:val="17"/>
                <w:color w:val="auto"/>
              </w:rPr>
            </w:pPr>
          </w:p>
        </w:tc>
        <w:tc>
          <w:tcPr>
            <w:tcW w:w="2120" w:type="dxa"/>
            <w:vAlign w:val="bottom"/>
            <w:shd w:val="clear" w:color="auto" w:fill="CDEAFA"/>
          </w:tcPr>
          <w:p>
            <w:pPr>
              <w:ind w:left="40"/>
              <w:spacing w:after="0" w:line="202" w:lineRule="exact"/>
              <w:rPr>
                <w:sz w:val="20"/>
                <w:szCs w:val="20"/>
                <w:color w:val="auto"/>
              </w:rPr>
            </w:pPr>
            <w:r>
              <w:rPr>
                <w:rFonts w:ascii="Arial" w:cs="Arial" w:eastAsia="Arial" w:hAnsi="Arial"/>
                <w:sz w:val="18"/>
                <w:szCs w:val="18"/>
                <w:color w:val="auto"/>
              </w:rPr>
              <w:t>Gilead Sciences, Inc./</w:t>
            </w:r>
          </w:p>
        </w:tc>
        <w:tc>
          <w:tcPr>
            <w:tcW w:w="120" w:type="dxa"/>
            <w:vAlign w:val="bottom"/>
            <w:shd w:val="clear" w:color="auto" w:fill="CDEAFA"/>
          </w:tcPr>
          <w:p>
            <w:pPr>
              <w:spacing w:after="0"/>
              <w:rPr>
                <w:sz w:val="17"/>
                <w:szCs w:val="17"/>
                <w:color w:val="auto"/>
              </w:rPr>
            </w:pPr>
          </w:p>
        </w:tc>
        <w:tc>
          <w:tcPr>
            <w:tcW w:w="2340" w:type="dxa"/>
            <w:vAlign w:val="bottom"/>
            <w:gridSpan w:val="2"/>
            <w:shd w:val="clear" w:color="auto" w:fill="CDEAFA"/>
          </w:tcPr>
          <w:p>
            <w:pPr>
              <w:ind w:left="40"/>
              <w:spacing w:after="0" w:line="202" w:lineRule="exact"/>
              <w:rPr>
                <w:sz w:val="20"/>
                <w:szCs w:val="20"/>
                <w:color w:val="auto"/>
              </w:rPr>
            </w:pPr>
            <w:r>
              <w:rPr>
                <w:rFonts w:ascii="Arial" w:cs="Arial" w:eastAsia="Arial" w:hAnsi="Arial"/>
                <w:sz w:val="18"/>
                <w:szCs w:val="18"/>
                <w:color w:val="auto"/>
              </w:rPr>
              <w:t>Rheumatoid arthritis</w:t>
            </w:r>
          </w:p>
        </w:tc>
        <w:tc>
          <w:tcPr>
            <w:tcW w:w="2140" w:type="dxa"/>
            <w:vAlign w:val="bottom"/>
            <w:shd w:val="clear" w:color="auto" w:fill="CDEAFA"/>
          </w:tcPr>
          <w:p>
            <w:pPr>
              <w:ind w:left="40"/>
              <w:spacing w:after="0" w:line="202" w:lineRule="exact"/>
              <w:rPr>
                <w:sz w:val="20"/>
                <w:szCs w:val="20"/>
                <w:color w:val="auto"/>
              </w:rPr>
            </w:pPr>
            <w:r>
              <w:rPr>
                <w:rFonts w:ascii="Arial" w:cs="Arial" w:eastAsia="Arial" w:hAnsi="Arial"/>
                <w:sz w:val="18"/>
                <w:szCs w:val="18"/>
                <w:color w:val="auto"/>
              </w:rPr>
              <w:t>EU, Japan</w:t>
            </w:r>
          </w:p>
        </w:tc>
        <w:tc>
          <w:tcPr>
            <w:tcW w:w="0" w:type="dxa"/>
            <w:vAlign w:val="bottom"/>
          </w:tcPr>
          <w:p>
            <w:pPr>
              <w:spacing w:after="0"/>
              <w:rPr>
                <w:sz w:val="1"/>
                <w:szCs w:val="1"/>
                <w:color w:val="auto"/>
              </w:rPr>
            </w:pPr>
          </w:p>
        </w:tc>
      </w:tr>
      <w:tr>
        <w:trPr>
          <w:trHeight w:val="229"/>
        </w:trPr>
        <w:tc>
          <w:tcPr>
            <w:tcW w:w="216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212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2120" w:type="dxa"/>
            <w:vAlign w:val="bottom"/>
            <w:shd w:val="clear" w:color="auto" w:fill="CDEAFA"/>
          </w:tcPr>
          <w:p>
            <w:pPr>
              <w:ind w:left="40"/>
              <w:spacing w:after="0"/>
              <w:rPr>
                <w:sz w:val="20"/>
                <w:szCs w:val="20"/>
                <w:color w:val="auto"/>
              </w:rPr>
            </w:pPr>
            <w:r>
              <w:rPr>
                <w:rFonts w:ascii="Arial" w:cs="Arial" w:eastAsia="Arial" w:hAnsi="Arial"/>
                <w:sz w:val="18"/>
                <w:szCs w:val="18"/>
                <w:color w:val="auto"/>
              </w:rPr>
              <w:t>Galapagos NV</w:t>
            </w:r>
          </w:p>
        </w:tc>
        <w:tc>
          <w:tcPr>
            <w:tcW w:w="120" w:type="dxa"/>
            <w:vAlign w:val="bottom"/>
            <w:shd w:val="clear" w:color="auto" w:fill="CDEAFA"/>
          </w:tcPr>
          <w:p>
            <w:pPr>
              <w:spacing w:after="0"/>
              <w:rPr>
                <w:sz w:val="19"/>
                <w:szCs w:val="19"/>
                <w:color w:val="auto"/>
              </w:rPr>
            </w:pPr>
          </w:p>
        </w:tc>
        <w:tc>
          <w:tcPr>
            <w:tcW w:w="224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2140" w:type="dxa"/>
            <w:vAlign w:val="bottom"/>
            <w:shd w:val="clear" w:color="auto" w:fill="CDEAFA"/>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40" w:right="40" w:hanging="8"/>
        <w:spacing w:after="0" w:line="218" w:lineRule="auto"/>
        <w:tabs>
          <w:tab w:leader="none" w:pos="531"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This table focuses primarily on the United States, EU, and Japan. “Worldwide” indicates that the relevant product is approved in the United States, EU, Japan, and at least one other country.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late-stage and earlier-stage clinical candidates (including those being developed in collaboration with our collaborators) face competition from many pharmaceutical and biotechnology companies. For example, we are aware of other pharmaceutical and biotechnology companies actively engaged in the research and development of antibody-based products against targets that are also the targets of our early- and late-stage product candidates. These companies are using various technologies in competition with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and our other antibody generation technologies, including their own antibody generation technologies and other approaches such as RNAi, chimeric antigen receptor T cell (CAR-T cell), and gene therapy technologies. We are also aware of several companies developing or marketing small molecules that may compete with our antibody product candidates in various indications, if such product candidates obtain regulatory approval in those indications.</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For additional information regarding our product candidates (including those being developed in collaboration with our collaborators) and the substantial competition they face, see also Part I, Item 1A. “Risk Factors - Risks Related to Commercialization of Our Marketed Products, Product Candidates, and New Indications for Our Marketed Products - </w:t>
      </w:r>
      <w:r>
        <w:rPr>
          <w:rFonts w:ascii="Arial" w:cs="Arial" w:eastAsia="Arial" w:hAnsi="Arial"/>
          <w:sz w:val="16"/>
          <w:szCs w:val="16"/>
          <w:i w:val="1"/>
          <w:iCs w:val="1"/>
          <w:color w:val="auto"/>
        </w:rPr>
        <w:t>The commercial success of our products and product candidates is subject to significant competition</w:t>
      </w:r>
      <w:r>
        <w:rPr>
          <w:rFonts w:ascii="Arial" w:cs="Arial" w:eastAsia="Arial" w:hAnsi="Arial"/>
          <w:sz w:val="16"/>
          <w:szCs w:val="16"/>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Areas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pharmaceutical and biotechnology companies are attempting to discover new therapeutics for indications in which we invest 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inferior intellectual property position or lack of experience, trained personnel, and expertise. A number of corporate and academic competitors are involved in the discovery and development of novel therapeutics that are the focus of other research or development programs we are now conducting. Some of these competitors are currently conducting advanced preclinical and clinical research programs in these areas. These and other competitors also may have established substantial intellectual property and other competitive advantages.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compete with academic institutions, governmental agencies, and other public or private research organizations, which conduct research, seek patent and other intellectual property protection, and establish collaborative arrangements for the development and marketing of products that would provide royalties or other consideration for use of their technology. These institutions are becoming more active in seeking patent and other intellectual property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a combination of intellectual property laws, including patent, trademark, copyright, trade secret, and domain name protection laws, as well as confidentiality and license agreements, to protect our intellectual property and proprietary rights.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Arial" w:cs="Arial" w:eastAsia="Arial" w:hAnsi="Arial"/>
          <w:sz w:val="17"/>
          <w:szCs w:val="17"/>
          <w:i w:val="1"/>
          <w:iCs w:val="1"/>
          <w:color w:val="auto"/>
        </w:rPr>
        <w:t>We may be restricted in our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manufacturing, and/or commercialization activities by patents or other proprietary rights of others, and could be subject to awards of damages if we are found to have infringed such patents or rights</w:t>
      </w:r>
      <w:r>
        <w:rPr>
          <w:rFonts w:ascii="Arial" w:cs="Arial" w:eastAsia="Arial" w:hAnsi="Arial"/>
          <w:sz w:val="17"/>
          <w:szCs w:val="17"/>
          <w:color w:val="auto"/>
        </w:rPr>
        <w:t>”; and Note 15 to our Consolidated Financial Statements). Our policy is to file patent applications to protect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inventions, and improvements that we consider important to our business and operations. We hold an ownership interest in a number of issued patents in the United States and foreign countries with respect to our products and technologies. In addition, we hold an ownership interest in thousands of patent applications in the United States and foreign countries.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patent portfolio includes granted patents and pending patent applications covering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including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mouse platform which produces fully human antibodies. Our issued patents covering these technologies generally expire between 2022 and 2032. However, we continue to file patent applications directed to improvements to these technology platforms.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patent portfolio also includes issued patents and pending applications relating to commercialized products and our product candidates in clinical development. These patents cover the proteins and DNA encoding the proteins, manufacturing patents, method of use patents, and pharmaceutical compositions.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describes our U.S. patents, European patents (“EP”), and Japanese patents (“JP”) that are of particular relevance to key products marketed or otherwise commercialized by us and/or our collaborators, including the territory, patent number, general subject matter class, and expected expiration dates. The noted expiration dates include any patent term adjustments. Certain of these patents may also be entitled to term extensions. We continue to pursue additional patents and patent term extensions in the United States and other jurisdictions covering various aspects of our products that may, if issued, extend exclusivity beyond the expiration of the patents listed in the table below. One or more patents with the same or earlier expiry date may fall under the same “general subject matter class” for certain products and may not be separately listed.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ind w:left="780"/>
              <w:spacing w:after="0"/>
              <w:rPr>
                <w:sz w:val="20"/>
                <w:szCs w:val="20"/>
                <w:color w:val="auto"/>
              </w:rPr>
            </w:pPr>
            <w:r>
              <w:rPr>
                <w:rFonts w:ascii="Arial" w:cs="Arial" w:eastAsia="Arial" w:hAnsi="Arial"/>
                <w:sz w:val="18"/>
                <w:szCs w:val="18"/>
                <w:b w:val="1"/>
                <w:bCs w:val="1"/>
                <w:color w:val="auto"/>
              </w:rPr>
              <w:t>General Subject</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4"/>
        </w:trPr>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Product</w:t>
            </w:r>
          </w:p>
        </w:tc>
        <w:tc>
          <w:tcPr>
            <w:tcW w:w="120" w:type="dxa"/>
            <w:vAlign w:val="bottom"/>
            <w:tcBorders>
              <w:bottom w:val="single" w:sz="8" w:color="CDEAFA"/>
            </w:tcBorders>
          </w:tcPr>
          <w:p>
            <w:pPr>
              <w:spacing w:after="0"/>
              <w:rPr>
                <w:sz w:val="20"/>
                <w:szCs w:val="20"/>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Molecule</w:t>
            </w:r>
          </w:p>
        </w:tc>
        <w:tc>
          <w:tcPr>
            <w:tcW w:w="140" w:type="dxa"/>
            <w:vAlign w:val="bottom"/>
            <w:tcBorders>
              <w:bottom w:val="single" w:sz="8" w:color="CDEAFA"/>
            </w:tcBorders>
          </w:tcPr>
          <w:p>
            <w:pPr>
              <w:spacing w:after="0"/>
              <w:rPr>
                <w:sz w:val="20"/>
                <w:szCs w:val="20"/>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Territory</w:t>
            </w:r>
          </w:p>
        </w:tc>
        <w:tc>
          <w:tcPr>
            <w:tcW w:w="100" w:type="dxa"/>
            <w:vAlign w:val="bottom"/>
            <w:tcBorders>
              <w:bottom w:val="single" w:sz="8" w:color="CDEAFA"/>
            </w:tcBorders>
          </w:tcPr>
          <w:p>
            <w:pPr>
              <w:spacing w:after="0"/>
              <w:rPr>
                <w:sz w:val="20"/>
                <w:szCs w:val="20"/>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9"/>
              </w:rPr>
              <w:t>Patent No.</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CDEAFA"/>
            </w:tcBorders>
          </w:tcPr>
          <w:p>
            <w:pPr>
              <w:spacing w:after="0"/>
              <w:rPr>
                <w:sz w:val="20"/>
                <w:szCs w:val="20"/>
                <w:color w:val="auto"/>
              </w:rPr>
            </w:pPr>
          </w:p>
        </w:tc>
        <w:tc>
          <w:tcPr>
            <w:tcW w:w="280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Matter Class</w:t>
            </w:r>
          </w:p>
        </w:tc>
        <w:tc>
          <w:tcPr>
            <w:tcW w:w="100" w:type="dxa"/>
            <w:vAlign w:val="bottom"/>
            <w:tcBorders>
              <w:bottom w:val="single" w:sz="8" w:color="CDEAFA"/>
            </w:tcBorders>
          </w:tcPr>
          <w:p>
            <w:pPr>
              <w:spacing w:after="0"/>
              <w:rPr>
                <w:sz w:val="20"/>
                <w:szCs w:val="20"/>
                <w:color w:val="auto"/>
              </w:rPr>
            </w:pPr>
          </w:p>
        </w:tc>
        <w:tc>
          <w:tcPr>
            <w:tcW w:w="248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Expiration</w:t>
            </w:r>
          </w:p>
        </w:tc>
      </w:tr>
      <w:tr>
        <w:trPr>
          <w:trHeight w:val="250"/>
        </w:trPr>
        <w:tc>
          <w:tcPr>
            <w:tcW w:w="1360" w:type="dxa"/>
            <w:vAlign w:val="bottom"/>
            <w:shd w:val="clear" w:color="auto" w:fill="CDEAFA"/>
          </w:tcPr>
          <w:p>
            <w:pPr>
              <w:ind w:left="40"/>
              <w:spacing w:after="0" w:line="250" w:lineRule="exact"/>
              <w:rPr>
                <w:sz w:val="20"/>
                <w:szCs w:val="20"/>
                <w:color w:val="auto"/>
              </w:rPr>
            </w:pPr>
            <w:r>
              <w:rPr>
                <w:rFonts w:ascii="Arial" w:cs="Arial" w:eastAsia="Arial" w:hAnsi="Arial"/>
                <w:sz w:val="17"/>
                <w:szCs w:val="17"/>
                <w:color w:val="auto"/>
              </w:rPr>
              <w:t>EYLEA</w:t>
            </w:r>
            <w:r>
              <w:rPr>
                <w:rFonts w:ascii="Arial" w:cs="Arial" w:eastAsia="Arial" w:hAnsi="Arial"/>
                <w:sz w:val="28"/>
                <w:szCs w:val="28"/>
                <w:color w:val="auto"/>
                <w:vertAlign w:val="superscript"/>
              </w:rPr>
              <w:t>(a)</w:t>
            </w:r>
          </w:p>
        </w:tc>
        <w:tc>
          <w:tcPr>
            <w:tcW w:w="120" w:type="dxa"/>
            <w:vAlign w:val="bottom"/>
            <w:shd w:val="clear" w:color="auto" w:fill="CDEAFA"/>
          </w:tcPr>
          <w:p>
            <w:pPr>
              <w:spacing w:after="0"/>
              <w:rPr>
                <w:sz w:val="21"/>
                <w:szCs w:val="21"/>
                <w:color w:val="auto"/>
              </w:rPr>
            </w:pPr>
          </w:p>
        </w:tc>
        <w:tc>
          <w:tcPr>
            <w:tcW w:w="1340" w:type="dxa"/>
            <w:vAlign w:val="bottom"/>
            <w:shd w:val="clear" w:color="auto" w:fill="CDEAFA"/>
          </w:tcPr>
          <w:p>
            <w:pPr>
              <w:ind w:left="40"/>
              <w:spacing w:after="0"/>
              <w:rPr>
                <w:sz w:val="20"/>
                <w:szCs w:val="20"/>
                <w:color w:val="auto"/>
              </w:rPr>
            </w:pPr>
            <w:r>
              <w:rPr>
                <w:rFonts w:ascii="Arial" w:cs="Arial" w:eastAsia="Arial" w:hAnsi="Arial"/>
                <w:sz w:val="18"/>
                <w:szCs w:val="18"/>
                <w:color w:val="auto"/>
              </w:rPr>
              <w:t>aflibercept</w:t>
            </w:r>
          </w:p>
        </w:tc>
        <w:tc>
          <w:tcPr>
            <w:tcW w:w="140" w:type="dxa"/>
            <w:vAlign w:val="bottom"/>
            <w:shd w:val="clear" w:color="auto" w:fill="CDEAFA"/>
          </w:tcPr>
          <w:p>
            <w:pPr>
              <w:spacing w:after="0"/>
              <w:rPr>
                <w:sz w:val="21"/>
                <w:szCs w:val="21"/>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DEAFA"/>
          </w:tcPr>
          <w:p>
            <w:pPr>
              <w:spacing w:after="0"/>
              <w:rPr>
                <w:sz w:val="21"/>
                <w:szCs w:val="21"/>
                <w:color w:val="auto"/>
              </w:rPr>
            </w:pPr>
          </w:p>
        </w:tc>
        <w:tc>
          <w:tcPr>
            <w:tcW w:w="1100" w:type="dxa"/>
            <w:vAlign w:val="bottom"/>
            <w:shd w:val="clear" w:color="auto" w:fill="CDEAFA"/>
          </w:tcPr>
          <w:p>
            <w:pPr>
              <w:ind w:left="40"/>
              <w:spacing w:after="0"/>
              <w:rPr>
                <w:sz w:val="20"/>
                <w:szCs w:val="20"/>
                <w:color w:val="auto"/>
              </w:rPr>
            </w:pPr>
            <w:r>
              <w:rPr>
                <w:rFonts w:ascii="Arial" w:cs="Arial" w:eastAsia="Arial" w:hAnsi="Arial"/>
                <w:sz w:val="18"/>
                <w:szCs w:val="18"/>
                <w:color w:val="auto"/>
              </w:rPr>
              <w:t>7,070,959</w:t>
            </w:r>
          </w:p>
        </w:tc>
        <w:tc>
          <w:tcPr>
            <w:tcW w:w="24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Composition of Matter</w:t>
            </w:r>
          </w:p>
        </w:tc>
        <w:tc>
          <w:tcPr>
            <w:tcW w:w="100" w:type="dxa"/>
            <w:vAlign w:val="bottom"/>
            <w:shd w:val="clear" w:color="auto" w:fill="CDEAFA"/>
          </w:tcPr>
          <w:p>
            <w:pPr>
              <w:spacing w:after="0"/>
              <w:rPr>
                <w:sz w:val="21"/>
                <w:szCs w:val="21"/>
                <w:color w:val="auto"/>
              </w:rPr>
            </w:pPr>
          </w:p>
        </w:tc>
        <w:tc>
          <w:tcPr>
            <w:tcW w:w="2480" w:type="dxa"/>
            <w:vAlign w:val="bottom"/>
            <w:shd w:val="clear" w:color="auto" w:fill="CDEAFA"/>
          </w:tcPr>
          <w:p>
            <w:pPr>
              <w:ind w:left="40"/>
              <w:spacing w:after="0" w:line="250" w:lineRule="exact"/>
              <w:rPr>
                <w:sz w:val="20"/>
                <w:szCs w:val="20"/>
                <w:color w:val="auto"/>
              </w:rPr>
            </w:pPr>
            <w:r>
              <w:rPr>
                <w:rFonts w:ascii="Arial" w:cs="Arial" w:eastAsia="Arial" w:hAnsi="Arial"/>
                <w:sz w:val="17"/>
                <w:szCs w:val="17"/>
                <w:color w:val="auto"/>
              </w:rPr>
              <w:t>June 16, 2023</w:t>
            </w:r>
            <w:r>
              <w:rPr>
                <w:rFonts w:ascii="Arial" w:cs="Arial" w:eastAsia="Arial" w:hAnsi="Arial"/>
                <w:sz w:val="28"/>
                <w:szCs w:val="28"/>
                <w:color w:val="auto"/>
                <w:vertAlign w:val="superscript"/>
              </w:rPr>
              <w:t>(b)</w:t>
            </w: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8,092,803</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June 21, 2027</w:t>
            </w: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10,464,992</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June 14, 2027</w:t>
            </w: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10,857,231</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March 22, 2026</w:t>
            </w: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11,066,458</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June 14, 2027</w:t>
            </w: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DEAFA"/>
          </w:tcPr>
          <w:p>
            <w:pPr>
              <w:spacing w:after="0"/>
              <w:rPr>
                <w:sz w:val="18"/>
                <w:szCs w:val="18"/>
                <w:color w:val="auto"/>
              </w:rPr>
            </w:pPr>
          </w:p>
        </w:tc>
        <w:tc>
          <w:tcPr>
            <w:tcW w:w="1100" w:type="dxa"/>
            <w:vAlign w:val="bottom"/>
            <w:shd w:val="clear" w:color="auto" w:fill="CDEAFA"/>
          </w:tcPr>
          <w:p>
            <w:pPr>
              <w:ind w:left="40"/>
              <w:spacing w:after="0"/>
              <w:rPr>
                <w:sz w:val="20"/>
                <w:szCs w:val="20"/>
                <w:color w:val="auto"/>
              </w:rPr>
            </w:pPr>
            <w:r>
              <w:rPr>
                <w:rFonts w:ascii="Arial" w:cs="Arial" w:eastAsia="Arial" w:hAnsi="Arial"/>
                <w:sz w:val="18"/>
                <w:szCs w:val="18"/>
                <w:color w:val="auto"/>
              </w:rPr>
              <w:t>11,084,865</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June 14, 2027</w:t>
            </w: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DEAFA"/>
          </w:tcPr>
          <w:p>
            <w:pPr>
              <w:spacing w:after="0"/>
              <w:rPr>
                <w:sz w:val="18"/>
                <w:szCs w:val="18"/>
                <w:color w:val="auto"/>
              </w:rPr>
            </w:pPr>
          </w:p>
        </w:tc>
        <w:tc>
          <w:tcPr>
            <w:tcW w:w="1100" w:type="dxa"/>
            <w:vAlign w:val="bottom"/>
            <w:shd w:val="clear" w:color="auto" w:fill="CDEAFA"/>
          </w:tcPr>
          <w:p>
            <w:pPr>
              <w:ind w:left="40"/>
              <w:spacing w:after="0"/>
              <w:rPr>
                <w:sz w:val="20"/>
                <w:szCs w:val="20"/>
                <w:color w:val="auto"/>
              </w:rPr>
            </w:pPr>
            <w:r>
              <w:rPr>
                <w:rFonts w:ascii="Arial" w:cs="Arial" w:eastAsia="Arial" w:hAnsi="Arial"/>
                <w:sz w:val="18"/>
                <w:szCs w:val="18"/>
                <w:color w:val="auto"/>
              </w:rPr>
              <w:t>9,254,338</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May 22, 2032</w:t>
            </w: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DEAFA"/>
          </w:tcPr>
          <w:p>
            <w:pPr>
              <w:spacing w:after="0"/>
              <w:rPr>
                <w:sz w:val="18"/>
                <w:szCs w:val="18"/>
                <w:color w:val="auto"/>
              </w:rPr>
            </w:pPr>
          </w:p>
        </w:tc>
        <w:tc>
          <w:tcPr>
            <w:tcW w:w="1100" w:type="dxa"/>
            <w:vAlign w:val="bottom"/>
            <w:shd w:val="clear" w:color="auto" w:fill="CDEAFA"/>
          </w:tcPr>
          <w:p>
            <w:pPr>
              <w:ind w:left="40"/>
              <w:spacing w:after="0"/>
              <w:rPr>
                <w:sz w:val="20"/>
                <w:szCs w:val="20"/>
                <w:color w:val="auto"/>
              </w:rPr>
            </w:pPr>
            <w:r>
              <w:rPr>
                <w:rFonts w:ascii="Arial" w:cs="Arial" w:eastAsia="Arial" w:hAnsi="Arial"/>
                <w:sz w:val="18"/>
                <w:szCs w:val="18"/>
                <w:color w:val="auto"/>
              </w:rPr>
              <w:t>10,857,205</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January 11, 2032</w:t>
            </w: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DEAFA"/>
          </w:tcPr>
          <w:p>
            <w:pPr>
              <w:spacing w:after="0"/>
              <w:rPr>
                <w:sz w:val="18"/>
                <w:szCs w:val="18"/>
                <w:color w:val="auto"/>
              </w:rPr>
            </w:pPr>
          </w:p>
        </w:tc>
        <w:tc>
          <w:tcPr>
            <w:tcW w:w="1100" w:type="dxa"/>
            <w:vAlign w:val="bottom"/>
            <w:shd w:val="clear" w:color="auto" w:fill="CDEAFA"/>
          </w:tcPr>
          <w:p>
            <w:pPr>
              <w:ind w:left="40"/>
              <w:spacing w:after="0"/>
              <w:rPr>
                <w:sz w:val="20"/>
                <w:szCs w:val="20"/>
                <w:color w:val="auto"/>
              </w:rPr>
            </w:pPr>
            <w:r>
              <w:rPr>
                <w:rFonts w:ascii="Arial" w:cs="Arial" w:eastAsia="Arial" w:hAnsi="Arial"/>
                <w:sz w:val="18"/>
                <w:szCs w:val="18"/>
                <w:color w:val="auto"/>
              </w:rPr>
              <w:t>10,828,345</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January 11, 2032</w:t>
            </w: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DEAFA"/>
          </w:tcPr>
          <w:p>
            <w:pPr>
              <w:spacing w:after="0"/>
              <w:rPr>
                <w:sz w:val="18"/>
                <w:szCs w:val="18"/>
                <w:color w:val="auto"/>
              </w:rPr>
            </w:pPr>
          </w:p>
        </w:tc>
        <w:tc>
          <w:tcPr>
            <w:tcW w:w="1100" w:type="dxa"/>
            <w:vAlign w:val="bottom"/>
            <w:shd w:val="clear" w:color="auto" w:fill="CDEAFA"/>
          </w:tcPr>
          <w:p>
            <w:pPr>
              <w:ind w:left="40"/>
              <w:spacing w:after="0"/>
              <w:rPr>
                <w:sz w:val="20"/>
                <w:szCs w:val="20"/>
                <w:color w:val="auto"/>
              </w:rPr>
            </w:pPr>
            <w:r>
              <w:rPr>
                <w:rFonts w:ascii="Arial" w:cs="Arial" w:eastAsia="Arial" w:hAnsi="Arial"/>
                <w:sz w:val="18"/>
                <w:szCs w:val="18"/>
                <w:color w:val="auto"/>
              </w:rPr>
              <w:t>10,888,601</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January 11, 2032</w:t>
            </w:r>
          </w:p>
        </w:tc>
      </w:tr>
      <w:tr>
        <w:trPr>
          <w:trHeight w:val="202"/>
        </w:trPr>
        <w:tc>
          <w:tcPr>
            <w:tcW w:w="1360" w:type="dxa"/>
            <w:vAlign w:val="bottom"/>
            <w:shd w:val="clear" w:color="auto" w:fill="CDEAFA"/>
          </w:tcPr>
          <w:p>
            <w:pPr>
              <w:spacing w:after="0"/>
              <w:rPr>
                <w:sz w:val="17"/>
                <w:szCs w:val="17"/>
                <w:color w:val="auto"/>
              </w:rPr>
            </w:pPr>
          </w:p>
        </w:tc>
        <w:tc>
          <w:tcPr>
            <w:tcW w:w="120" w:type="dxa"/>
            <w:vAlign w:val="bottom"/>
            <w:shd w:val="clear" w:color="auto" w:fill="CDEAFA"/>
          </w:tcPr>
          <w:p>
            <w:pPr>
              <w:spacing w:after="0"/>
              <w:rPr>
                <w:sz w:val="17"/>
                <w:szCs w:val="17"/>
                <w:color w:val="auto"/>
              </w:rPr>
            </w:pPr>
          </w:p>
        </w:tc>
        <w:tc>
          <w:tcPr>
            <w:tcW w:w="13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1340" w:type="dxa"/>
            <w:vAlign w:val="bottom"/>
            <w:shd w:val="clear" w:color="auto" w:fill="CDEAFA"/>
          </w:tcPr>
          <w:p>
            <w:pPr>
              <w:ind w:left="20"/>
              <w:spacing w:after="0" w:line="201" w:lineRule="exact"/>
              <w:rPr>
                <w:sz w:val="20"/>
                <w:szCs w:val="20"/>
                <w:color w:val="auto"/>
              </w:rPr>
            </w:pPr>
            <w:r>
              <w:rPr>
                <w:rFonts w:ascii="Arial" w:cs="Arial" w:eastAsia="Arial" w:hAnsi="Arial"/>
                <w:sz w:val="18"/>
                <w:szCs w:val="18"/>
                <w:color w:val="auto"/>
              </w:rPr>
              <w:t>US</w:t>
            </w:r>
          </w:p>
        </w:tc>
        <w:tc>
          <w:tcPr>
            <w:tcW w:w="100" w:type="dxa"/>
            <w:vAlign w:val="bottom"/>
            <w:shd w:val="clear" w:color="auto" w:fill="CDEAFA"/>
          </w:tcPr>
          <w:p>
            <w:pPr>
              <w:spacing w:after="0"/>
              <w:rPr>
                <w:sz w:val="17"/>
                <w:szCs w:val="17"/>
                <w:color w:val="auto"/>
              </w:rPr>
            </w:pPr>
          </w:p>
        </w:tc>
        <w:tc>
          <w:tcPr>
            <w:tcW w:w="1100" w:type="dxa"/>
            <w:vAlign w:val="bottom"/>
            <w:shd w:val="clear" w:color="auto" w:fill="CDEAFA"/>
          </w:tcPr>
          <w:p>
            <w:pPr>
              <w:ind w:left="40"/>
              <w:spacing w:after="0" w:line="201" w:lineRule="exact"/>
              <w:rPr>
                <w:sz w:val="20"/>
                <w:szCs w:val="20"/>
                <w:color w:val="auto"/>
              </w:rPr>
            </w:pPr>
            <w:r>
              <w:rPr>
                <w:rFonts w:ascii="Arial" w:cs="Arial" w:eastAsia="Arial" w:hAnsi="Arial"/>
                <w:sz w:val="18"/>
                <w:szCs w:val="18"/>
                <w:color w:val="auto"/>
              </w:rPr>
              <w:t>10,406,226</w:t>
            </w:r>
          </w:p>
        </w:tc>
        <w:tc>
          <w:tcPr>
            <w:tcW w:w="240" w:type="dxa"/>
            <w:vAlign w:val="bottom"/>
            <w:shd w:val="clear" w:color="auto" w:fill="CDEAFA"/>
          </w:tcPr>
          <w:p>
            <w:pPr>
              <w:spacing w:after="0"/>
              <w:rPr>
                <w:sz w:val="17"/>
                <w:szCs w:val="17"/>
                <w:color w:val="auto"/>
              </w:rPr>
            </w:pPr>
          </w:p>
        </w:tc>
        <w:tc>
          <w:tcPr>
            <w:tcW w:w="120" w:type="dxa"/>
            <w:vAlign w:val="bottom"/>
            <w:shd w:val="clear" w:color="auto" w:fill="CDEAFA"/>
          </w:tcPr>
          <w:p>
            <w:pPr>
              <w:spacing w:after="0"/>
              <w:rPr>
                <w:sz w:val="17"/>
                <w:szCs w:val="17"/>
                <w:color w:val="auto"/>
              </w:rPr>
            </w:pPr>
          </w:p>
        </w:tc>
        <w:tc>
          <w:tcPr>
            <w:tcW w:w="2800" w:type="dxa"/>
            <w:vAlign w:val="bottom"/>
            <w:shd w:val="clear" w:color="auto" w:fill="CDEAFA"/>
          </w:tcPr>
          <w:p>
            <w:pPr>
              <w:ind w:left="20"/>
              <w:spacing w:after="0" w:line="201" w:lineRule="exact"/>
              <w:rPr>
                <w:sz w:val="20"/>
                <w:szCs w:val="20"/>
                <w:color w:val="auto"/>
              </w:rPr>
            </w:pPr>
            <w:r>
              <w:rPr>
                <w:rFonts w:ascii="Arial" w:cs="Arial" w:eastAsia="Arial" w:hAnsi="Arial"/>
                <w:sz w:val="18"/>
                <w:szCs w:val="18"/>
                <w:color w:val="auto"/>
              </w:rPr>
              <w:t>Method of Manufacturing</w:t>
            </w:r>
          </w:p>
        </w:tc>
        <w:tc>
          <w:tcPr>
            <w:tcW w:w="100" w:type="dxa"/>
            <w:vAlign w:val="bottom"/>
            <w:shd w:val="clear" w:color="auto" w:fill="CDEAFA"/>
          </w:tcPr>
          <w:p>
            <w:pPr>
              <w:spacing w:after="0"/>
              <w:rPr>
                <w:sz w:val="17"/>
                <w:szCs w:val="17"/>
                <w:color w:val="auto"/>
              </w:rPr>
            </w:pPr>
          </w:p>
        </w:tc>
        <w:tc>
          <w:tcPr>
            <w:tcW w:w="2480" w:type="dxa"/>
            <w:vAlign w:val="bottom"/>
            <w:shd w:val="clear" w:color="auto" w:fill="CDEAFA"/>
          </w:tcPr>
          <w:p>
            <w:pPr>
              <w:ind w:left="40"/>
              <w:spacing w:after="0" w:line="201" w:lineRule="exact"/>
              <w:rPr>
                <w:sz w:val="20"/>
                <w:szCs w:val="20"/>
                <w:color w:val="auto"/>
              </w:rPr>
            </w:pPr>
            <w:r>
              <w:rPr>
                <w:rFonts w:ascii="Arial" w:cs="Arial" w:eastAsia="Arial" w:hAnsi="Arial"/>
                <w:sz w:val="18"/>
                <w:szCs w:val="18"/>
                <w:color w:val="auto"/>
              </w:rPr>
              <w:t>March 22, 2026</w:t>
            </w:r>
          </w:p>
        </w:tc>
      </w:tr>
      <w:tr>
        <w:trPr>
          <w:trHeight w:val="217"/>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DEAFA"/>
          </w:tcPr>
          <w:p>
            <w:pPr>
              <w:spacing w:after="0"/>
              <w:rPr>
                <w:sz w:val="18"/>
                <w:szCs w:val="18"/>
                <w:color w:val="auto"/>
              </w:rPr>
            </w:pPr>
          </w:p>
        </w:tc>
        <w:tc>
          <w:tcPr>
            <w:tcW w:w="1100" w:type="dxa"/>
            <w:vAlign w:val="bottom"/>
            <w:shd w:val="clear" w:color="auto" w:fill="CDEAFA"/>
          </w:tcPr>
          <w:p>
            <w:pPr>
              <w:ind w:left="40"/>
              <w:spacing w:after="0"/>
              <w:rPr>
                <w:sz w:val="20"/>
                <w:szCs w:val="20"/>
                <w:color w:val="auto"/>
              </w:rPr>
            </w:pPr>
            <w:r>
              <w:rPr>
                <w:rFonts w:ascii="Arial" w:cs="Arial" w:eastAsia="Arial" w:hAnsi="Arial"/>
                <w:sz w:val="18"/>
                <w:szCs w:val="18"/>
                <w:color w:val="auto"/>
              </w:rPr>
              <w:t>1183353</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Composition of Matter</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line="217" w:lineRule="exact"/>
              <w:rPr>
                <w:sz w:val="20"/>
                <w:szCs w:val="20"/>
                <w:color w:val="auto"/>
              </w:rPr>
            </w:pPr>
            <w:r>
              <w:rPr>
                <w:rFonts w:ascii="Arial" w:cs="Arial" w:eastAsia="Arial" w:hAnsi="Arial"/>
                <w:sz w:val="16"/>
                <w:szCs w:val="16"/>
                <w:color w:val="auto"/>
              </w:rPr>
              <w:t>(May 23, 2025)</w:t>
            </w:r>
            <w:r>
              <w:rPr>
                <w:rFonts w:ascii="Arial" w:cs="Arial" w:eastAsia="Arial" w:hAnsi="Arial"/>
                <w:sz w:val="25"/>
                <w:szCs w:val="25"/>
                <w:color w:val="auto"/>
                <w:vertAlign w:val="superscript"/>
              </w:rPr>
              <w:t>(c)</w:t>
            </w:r>
          </w:p>
        </w:tc>
      </w:tr>
      <w:tr>
        <w:trPr>
          <w:trHeight w:val="215"/>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10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(Supplementary Protection</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spacing w:after="0"/>
              <w:rPr>
                <w:sz w:val="18"/>
                <w:szCs w:val="18"/>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10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Certificate)</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spacing w:after="0"/>
              <w:rPr>
                <w:sz w:val="18"/>
                <w:szCs w:val="18"/>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DEAFA"/>
          </w:tcPr>
          <w:p>
            <w:pPr>
              <w:spacing w:after="0"/>
              <w:rPr>
                <w:sz w:val="18"/>
                <w:szCs w:val="18"/>
                <w:color w:val="auto"/>
              </w:rPr>
            </w:pPr>
          </w:p>
        </w:tc>
        <w:tc>
          <w:tcPr>
            <w:tcW w:w="1100" w:type="dxa"/>
            <w:vAlign w:val="bottom"/>
            <w:shd w:val="clear" w:color="auto" w:fill="CDEAFA"/>
          </w:tcPr>
          <w:p>
            <w:pPr>
              <w:ind w:left="40"/>
              <w:spacing w:after="0"/>
              <w:rPr>
                <w:sz w:val="20"/>
                <w:szCs w:val="20"/>
                <w:color w:val="auto"/>
              </w:rPr>
            </w:pPr>
            <w:r>
              <w:rPr>
                <w:rFonts w:ascii="Arial" w:cs="Arial" w:eastAsia="Arial" w:hAnsi="Arial"/>
                <w:sz w:val="18"/>
                <w:szCs w:val="18"/>
                <w:color w:val="auto"/>
              </w:rPr>
              <w:t>2364691</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June 14, 2027</w:t>
            </w: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DEAFA"/>
          </w:tcPr>
          <w:p>
            <w:pPr>
              <w:spacing w:after="0"/>
              <w:rPr>
                <w:sz w:val="18"/>
                <w:szCs w:val="18"/>
                <w:color w:val="auto"/>
              </w:rPr>
            </w:pPr>
          </w:p>
        </w:tc>
        <w:tc>
          <w:tcPr>
            <w:tcW w:w="1100" w:type="dxa"/>
            <w:vAlign w:val="bottom"/>
            <w:shd w:val="clear" w:color="auto" w:fill="CDEAFA"/>
          </w:tcPr>
          <w:p>
            <w:pPr>
              <w:ind w:left="40"/>
              <w:spacing w:after="0"/>
              <w:rPr>
                <w:sz w:val="20"/>
                <w:szCs w:val="20"/>
                <w:color w:val="auto"/>
              </w:rPr>
            </w:pPr>
            <w:r>
              <w:rPr>
                <w:rFonts w:ascii="Arial" w:cs="Arial" w:eastAsia="Arial" w:hAnsi="Arial"/>
                <w:sz w:val="18"/>
                <w:szCs w:val="18"/>
                <w:color w:val="auto"/>
              </w:rPr>
              <w:t>2944306</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June 14, 2027</w:t>
            </w:r>
          </w:p>
        </w:tc>
      </w:tr>
      <w:tr>
        <w:trPr>
          <w:trHeight w:val="220"/>
        </w:trPr>
        <w:tc>
          <w:tcPr>
            <w:tcW w:w="136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340" w:type="dxa"/>
            <w:vAlign w:val="bottom"/>
            <w:shd w:val="clear" w:color="auto" w:fill="CDEAFA"/>
          </w:tcPr>
          <w:p>
            <w:pPr>
              <w:spacing w:after="0"/>
              <w:rPr>
                <w:sz w:val="19"/>
                <w:szCs w:val="19"/>
                <w:color w:val="auto"/>
              </w:rPr>
            </w:pPr>
          </w:p>
        </w:tc>
        <w:tc>
          <w:tcPr>
            <w:tcW w:w="140" w:type="dxa"/>
            <w:vAlign w:val="bottom"/>
            <w:shd w:val="clear" w:color="auto" w:fill="CDEAFA"/>
          </w:tcPr>
          <w:p>
            <w:pPr>
              <w:spacing w:after="0"/>
              <w:rPr>
                <w:sz w:val="19"/>
                <w:szCs w:val="19"/>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JP</w:t>
            </w:r>
          </w:p>
        </w:tc>
        <w:tc>
          <w:tcPr>
            <w:tcW w:w="100" w:type="dxa"/>
            <w:vAlign w:val="bottom"/>
            <w:shd w:val="clear" w:color="auto" w:fill="CDEAFA"/>
          </w:tcPr>
          <w:p>
            <w:pPr>
              <w:spacing w:after="0"/>
              <w:rPr>
                <w:sz w:val="19"/>
                <w:szCs w:val="19"/>
                <w:color w:val="auto"/>
              </w:rPr>
            </w:pPr>
          </w:p>
        </w:tc>
        <w:tc>
          <w:tcPr>
            <w:tcW w:w="1100" w:type="dxa"/>
            <w:vAlign w:val="bottom"/>
            <w:shd w:val="clear" w:color="auto" w:fill="CDEAFA"/>
          </w:tcPr>
          <w:p>
            <w:pPr>
              <w:ind w:left="40"/>
              <w:spacing w:after="0"/>
              <w:rPr>
                <w:sz w:val="20"/>
                <w:szCs w:val="20"/>
                <w:color w:val="auto"/>
              </w:rPr>
            </w:pPr>
            <w:r>
              <w:rPr>
                <w:rFonts w:ascii="Arial" w:cs="Arial" w:eastAsia="Arial" w:hAnsi="Arial"/>
                <w:sz w:val="18"/>
                <w:szCs w:val="18"/>
                <w:color w:val="auto"/>
              </w:rPr>
              <w:t>4,723,140</w:t>
            </w:r>
          </w:p>
        </w:tc>
        <w:tc>
          <w:tcPr>
            <w:tcW w:w="24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Composition of Matter</w:t>
            </w:r>
          </w:p>
        </w:tc>
        <w:tc>
          <w:tcPr>
            <w:tcW w:w="100" w:type="dxa"/>
            <w:vAlign w:val="bottom"/>
            <w:shd w:val="clear" w:color="auto" w:fill="CDEAFA"/>
          </w:tcPr>
          <w:p>
            <w:pPr>
              <w:spacing w:after="0"/>
              <w:rPr>
                <w:sz w:val="19"/>
                <w:szCs w:val="19"/>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w w:val="92"/>
              </w:rPr>
              <w:t>December 29, 2022 – December</w:t>
            </w:r>
          </w:p>
        </w:tc>
      </w:tr>
      <w:tr>
        <w:trPr>
          <w:trHeight w:val="253"/>
        </w:trPr>
        <w:tc>
          <w:tcPr>
            <w:tcW w:w="136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4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100" w:type="dxa"/>
            <w:vAlign w:val="bottom"/>
            <w:shd w:val="clear" w:color="auto" w:fill="CDEAFA"/>
          </w:tcPr>
          <w:p>
            <w:pPr>
              <w:spacing w:after="0"/>
              <w:rPr>
                <w:sz w:val="21"/>
                <w:szCs w:val="21"/>
                <w:color w:val="auto"/>
              </w:rPr>
            </w:pPr>
          </w:p>
        </w:tc>
        <w:tc>
          <w:tcPr>
            <w:tcW w:w="24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280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2480" w:type="dxa"/>
            <w:vAlign w:val="bottom"/>
            <w:shd w:val="clear" w:color="auto" w:fill="CDEAFA"/>
          </w:tcPr>
          <w:p>
            <w:pPr>
              <w:ind w:left="40"/>
              <w:spacing w:after="0" w:line="252" w:lineRule="exact"/>
              <w:rPr>
                <w:sz w:val="20"/>
                <w:szCs w:val="20"/>
                <w:color w:val="auto"/>
              </w:rPr>
            </w:pPr>
            <w:r>
              <w:rPr>
                <w:rFonts w:ascii="Arial" w:cs="Arial" w:eastAsia="Arial" w:hAnsi="Arial"/>
                <w:sz w:val="18"/>
                <w:szCs w:val="18"/>
                <w:color w:val="auto"/>
              </w:rPr>
              <w:t>25, 2023</w:t>
            </w:r>
            <w:r>
              <w:rPr>
                <w:rFonts w:ascii="Arial" w:cs="Arial" w:eastAsia="Arial" w:hAnsi="Arial"/>
                <w:sz w:val="29"/>
                <w:szCs w:val="29"/>
                <w:color w:val="auto"/>
                <w:vertAlign w:val="superscript"/>
              </w:rPr>
              <w:t>(d)</w:t>
            </w: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JP</w:t>
            </w:r>
          </w:p>
        </w:tc>
        <w:tc>
          <w:tcPr>
            <w:tcW w:w="100" w:type="dxa"/>
            <w:vAlign w:val="bottom"/>
            <w:shd w:val="clear" w:color="auto" w:fill="CDEAFA"/>
          </w:tcPr>
          <w:p>
            <w:pPr>
              <w:spacing w:after="0"/>
              <w:rPr>
                <w:sz w:val="18"/>
                <w:szCs w:val="18"/>
                <w:color w:val="auto"/>
              </w:rPr>
            </w:pPr>
          </w:p>
        </w:tc>
        <w:tc>
          <w:tcPr>
            <w:tcW w:w="1100" w:type="dxa"/>
            <w:vAlign w:val="bottom"/>
            <w:shd w:val="clear" w:color="auto" w:fill="CDEAFA"/>
          </w:tcPr>
          <w:p>
            <w:pPr>
              <w:ind w:left="40"/>
              <w:spacing w:after="0"/>
              <w:rPr>
                <w:sz w:val="20"/>
                <w:szCs w:val="20"/>
                <w:color w:val="auto"/>
              </w:rPr>
            </w:pPr>
            <w:r>
              <w:rPr>
                <w:rFonts w:ascii="Arial" w:cs="Arial" w:eastAsia="Arial" w:hAnsi="Arial"/>
                <w:sz w:val="18"/>
                <w:szCs w:val="18"/>
                <w:color w:val="auto"/>
              </w:rPr>
              <w:t>5,273,746</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June 24, 2022</w:t>
            </w:r>
          </w:p>
        </w:tc>
      </w:tr>
      <w:tr>
        <w:trPr>
          <w:trHeight w:val="220"/>
        </w:trPr>
        <w:tc>
          <w:tcPr>
            <w:tcW w:w="136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340" w:type="dxa"/>
            <w:vAlign w:val="bottom"/>
            <w:shd w:val="clear" w:color="auto" w:fill="CDEAFA"/>
          </w:tcPr>
          <w:p>
            <w:pPr>
              <w:spacing w:after="0"/>
              <w:rPr>
                <w:sz w:val="19"/>
                <w:szCs w:val="19"/>
                <w:color w:val="auto"/>
              </w:rPr>
            </w:pPr>
          </w:p>
        </w:tc>
        <w:tc>
          <w:tcPr>
            <w:tcW w:w="140" w:type="dxa"/>
            <w:vAlign w:val="bottom"/>
            <w:shd w:val="clear" w:color="auto" w:fill="CDEAFA"/>
          </w:tcPr>
          <w:p>
            <w:pPr>
              <w:spacing w:after="0"/>
              <w:rPr>
                <w:sz w:val="19"/>
                <w:szCs w:val="19"/>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JP</w:t>
            </w:r>
          </w:p>
        </w:tc>
        <w:tc>
          <w:tcPr>
            <w:tcW w:w="100" w:type="dxa"/>
            <w:vAlign w:val="bottom"/>
            <w:shd w:val="clear" w:color="auto" w:fill="CDEAFA"/>
          </w:tcPr>
          <w:p>
            <w:pPr>
              <w:spacing w:after="0"/>
              <w:rPr>
                <w:sz w:val="19"/>
                <w:szCs w:val="19"/>
                <w:color w:val="auto"/>
              </w:rPr>
            </w:pPr>
          </w:p>
        </w:tc>
        <w:tc>
          <w:tcPr>
            <w:tcW w:w="1100" w:type="dxa"/>
            <w:vAlign w:val="bottom"/>
            <w:shd w:val="clear" w:color="auto" w:fill="CDEAFA"/>
          </w:tcPr>
          <w:p>
            <w:pPr>
              <w:ind w:left="40"/>
              <w:spacing w:after="0"/>
              <w:rPr>
                <w:sz w:val="20"/>
                <w:szCs w:val="20"/>
                <w:color w:val="auto"/>
              </w:rPr>
            </w:pPr>
            <w:r>
              <w:rPr>
                <w:rFonts w:ascii="Arial" w:cs="Arial" w:eastAsia="Arial" w:hAnsi="Arial"/>
                <w:sz w:val="18"/>
                <w:szCs w:val="18"/>
                <w:color w:val="auto"/>
              </w:rPr>
              <w:t>5,216,002</w:t>
            </w:r>
          </w:p>
        </w:tc>
        <w:tc>
          <w:tcPr>
            <w:tcW w:w="24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DEAFA"/>
          </w:tcPr>
          <w:p>
            <w:pPr>
              <w:spacing w:after="0"/>
              <w:rPr>
                <w:sz w:val="19"/>
                <w:szCs w:val="19"/>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w w:val="96"/>
              </w:rPr>
              <w:t>February 27, 2028 – October 1,</w:t>
            </w:r>
          </w:p>
        </w:tc>
      </w:tr>
      <w:tr>
        <w:trPr>
          <w:trHeight w:val="267"/>
        </w:trPr>
        <w:tc>
          <w:tcPr>
            <w:tcW w:w="1360" w:type="dxa"/>
            <w:vAlign w:val="bottom"/>
            <w:shd w:val="clear" w:color="auto" w:fill="CDEAFA"/>
          </w:tcPr>
          <w:p>
            <w:pPr>
              <w:spacing w:after="0"/>
              <w:rPr>
                <w:sz w:val="23"/>
                <w:szCs w:val="23"/>
                <w:color w:val="auto"/>
              </w:rPr>
            </w:pPr>
          </w:p>
        </w:tc>
        <w:tc>
          <w:tcPr>
            <w:tcW w:w="120" w:type="dxa"/>
            <w:vAlign w:val="bottom"/>
            <w:shd w:val="clear" w:color="auto" w:fill="CDEAFA"/>
          </w:tcPr>
          <w:p>
            <w:pPr>
              <w:spacing w:after="0"/>
              <w:rPr>
                <w:sz w:val="23"/>
                <w:szCs w:val="23"/>
                <w:color w:val="auto"/>
              </w:rPr>
            </w:pPr>
          </w:p>
        </w:tc>
        <w:tc>
          <w:tcPr>
            <w:tcW w:w="1340" w:type="dxa"/>
            <w:vAlign w:val="bottom"/>
            <w:shd w:val="clear" w:color="auto" w:fill="CDEAFA"/>
          </w:tcPr>
          <w:p>
            <w:pPr>
              <w:spacing w:after="0"/>
              <w:rPr>
                <w:sz w:val="23"/>
                <w:szCs w:val="23"/>
                <w:color w:val="auto"/>
              </w:rPr>
            </w:pPr>
          </w:p>
        </w:tc>
        <w:tc>
          <w:tcPr>
            <w:tcW w:w="140" w:type="dxa"/>
            <w:vAlign w:val="bottom"/>
            <w:shd w:val="clear" w:color="auto" w:fill="CDEAFA"/>
          </w:tcPr>
          <w:p>
            <w:pPr>
              <w:spacing w:after="0"/>
              <w:rPr>
                <w:sz w:val="23"/>
                <w:szCs w:val="23"/>
                <w:color w:val="auto"/>
              </w:rPr>
            </w:pPr>
          </w:p>
        </w:tc>
        <w:tc>
          <w:tcPr>
            <w:tcW w:w="1340" w:type="dxa"/>
            <w:vAlign w:val="bottom"/>
            <w:shd w:val="clear" w:color="auto" w:fill="CDEAFA"/>
          </w:tcPr>
          <w:p>
            <w:pPr>
              <w:spacing w:after="0"/>
              <w:rPr>
                <w:sz w:val="23"/>
                <w:szCs w:val="23"/>
                <w:color w:val="auto"/>
              </w:rPr>
            </w:pPr>
          </w:p>
        </w:tc>
        <w:tc>
          <w:tcPr>
            <w:tcW w:w="100" w:type="dxa"/>
            <w:vAlign w:val="bottom"/>
            <w:shd w:val="clear" w:color="auto" w:fill="CDEAFA"/>
          </w:tcPr>
          <w:p>
            <w:pPr>
              <w:spacing w:after="0"/>
              <w:rPr>
                <w:sz w:val="23"/>
                <w:szCs w:val="23"/>
                <w:color w:val="auto"/>
              </w:rPr>
            </w:pPr>
          </w:p>
        </w:tc>
        <w:tc>
          <w:tcPr>
            <w:tcW w:w="1100" w:type="dxa"/>
            <w:vAlign w:val="bottom"/>
            <w:shd w:val="clear" w:color="auto" w:fill="CDEAFA"/>
          </w:tcPr>
          <w:p>
            <w:pPr>
              <w:spacing w:after="0"/>
              <w:rPr>
                <w:sz w:val="23"/>
                <w:szCs w:val="23"/>
                <w:color w:val="auto"/>
              </w:rPr>
            </w:pPr>
          </w:p>
        </w:tc>
        <w:tc>
          <w:tcPr>
            <w:tcW w:w="240" w:type="dxa"/>
            <w:vAlign w:val="bottom"/>
            <w:shd w:val="clear" w:color="auto" w:fill="CDEAFA"/>
          </w:tcPr>
          <w:p>
            <w:pPr>
              <w:spacing w:after="0"/>
              <w:rPr>
                <w:sz w:val="23"/>
                <w:szCs w:val="23"/>
                <w:color w:val="auto"/>
              </w:rPr>
            </w:pPr>
          </w:p>
        </w:tc>
        <w:tc>
          <w:tcPr>
            <w:tcW w:w="120" w:type="dxa"/>
            <w:vAlign w:val="bottom"/>
            <w:shd w:val="clear" w:color="auto" w:fill="CDEAFA"/>
          </w:tcPr>
          <w:p>
            <w:pPr>
              <w:spacing w:after="0"/>
              <w:rPr>
                <w:sz w:val="23"/>
                <w:szCs w:val="23"/>
                <w:color w:val="auto"/>
              </w:rPr>
            </w:pPr>
          </w:p>
        </w:tc>
        <w:tc>
          <w:tcPr>
            <w:tcW w:w="2800" w:type="dxa"/>
            <w:vAlign w:val="bottom"/>
            <w:shd w:val="clear" w:color="auto" w:fill="CDEAFA"/>
          </w:tcPr>
          <w:p>
            <w:pPr>
              <w:spacing w:after="0"/>
              <w:rPr>
                <w:sz w:val="23"/>
                <w:szCs w:val="23"/>
                <w:color w:val="auto"/>
              </w:rPr>
            </w:pPr>
          </w:p>
        </w:tc>
        <w:tc>
          <w:tcPr>
            <w:tcW w:w="100" w:type="dxa"/>
            <w:vAlign w:val="bottom"/>
            <w:shd w:val="clear" w:color="auto" w:fill="CDEAFA"/>
          </w:tcPr>
          <w:p>
            <w:pPr>
              <w:spacing w:after="0"/>
              <w:rPr>
                <w:sz w:val="23"/>
                <w:szCs w:val="23"/>
                <w:color w:val="auto"/>
              </w:rPr>
            </w:pPr>
          </w:p>
        </w:tc>
        <w:tc>
          <w:tcPr>
            <w:tcW w:w="2480" w:type="dxa"/>
            <w:vAlign w:val="bottom"/>
            <w:shd w:val="clear" w:color="auto" w:fill="CDEAFA"/>
          </w:tcPr>
          <w:p>
            <w:pPr>
              <w:ind w:left="40"/>
              <w:spacing w:after="0" w:line="267" w:lineRule="exact"/>
              <w:rPr>
                <w:sz w:val="20"/>
                <w:szCs w:val="20"/>
                <w:color w:val="auto"/>
              </w:rPr>
            </w:pPr>
            <w:r>
              <w:rPr>
                <w:rFonts w:ascii="Arial" w:cs="Arial" w:eastAsia="Arial" w:hAnsi="Arial"/>
                <w:sz w:val="18"/>
                <w:szCs w:val="18"/>
                <w:color w:val="auto"/>
              </w:rPr>
              <w:t>2029</w:t>
            </w:r>
            <w:r>
              <w:rPr>
                <w:rFonts w:ascii="Arial" w:cs="Arial" w:eastAsia="Arial" w:hAnsi="Arial"/>
                <w:sz w:val="29"/>
                <w:szCs w:val="29"/>
                <w:color w:val="auto"/>
                <w:vertAlign w:val="superscript"/>
              </w:rPr>
              <w:t>(d)</w:t>
            </w:r>
          </w:p>
        </w:tc>
      </w:tr>
      <w:tr>
        <w:trPr>
          <w:trHeight w:val="242"/>
        </w:trPr>
        <w:tc>
          <w:tcPr>
            <w:tcW w:w="1360" w:type="dxa"/>
            <w:vAlign w:val="bottom"/>
          </w:tcPr>
          <w:p>
            <w:pPr>
              <w:ind w:left="40"/>
              <w:spacing w:after="0" w:line="242" w:lineRule="exact"/>
              <w:rPr>
                <w:sz w:val="20"/>
                <w:szCs w:val="20"/>
                <w:color w:val="auto"/>
              </w:rPr>
            </w:pPr>
            <w:r>
              <w:rPr>
                <w:rFonts w:ascii="Arial" w:cs="Arial" w:eastAsia="Arial" w:hAnsi="Arial"/>
                <w:sz w:val="17"/>
                <w:szCs w:val="17"/>
                <w:color w:val="auto"/>
              </w:rPr>
              <w:t>Dupixent</w:t>
            </w:r>
            <w:r>
              <w:rPr>
                <w:rFonts w:ascii="Arial" w:cs="Arial" w:eastAsia="Arial" w:hAnsi="Arial"/>
                <w:sz w:val="28"/>
                <w:szCs w:val="28"/>
                <w:color w:val="auto"/>
                <w:vertAlign w:val="superscript"/>
              </w:rPr>
              <w:t>(a)</w:t>
            </w:r>
          </w:p>
        </w:tc>
        <w:tc>
          <w:tcPr>
            <w:tcW w:w="120" w:type="dxa"/>
            <w:vAlign w:val="bottom"/>
          </w:tcPr>
          <w:p>
            <w:pPr>
              <w:spacing w:after="0"/>
              <w:rPr>
                <w:sz w:val="21"/>
                <w:szCs w:val="21"/>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dupilumab</w:t>
            </w:r>
          </w:p>
        </w:tc>
        <w:tc>
          <w:tcPr>
            <w:tcW w:w="14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7,608,693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Composition of Matter</w:t>
            </w:r>
          </w:p>
        </w:tc>
        <w:tc>
          <w:tcPr>
            <w:tcW w:w="100" w:type="dxa"/>
            <w:vAlign w:val="bottom"/>
          </w:tcPr>
          <w:p>
            <w:pPr>
              <w:spacing w:after="0"/>
              <w:rPr>
                <w:sz w:val="21"/>
                <w:szCs w:val="21"/>
                <w:color w:val="auto"/>
              </w:rPr>
            </w:pPr>
          </w:p>
        </w:tc>
        <w:tc>
          <w:tcPr>
            <w:tcW w:w="2480" w:type="dxa"/>
            <w:vAlign w:val="bottom"/>
          </w:tcPr>
          <w:p>
            <w:pPr>
              <w:ind w:left="40"/>
              <w:spacing w:after="0" w:line="242" w:lineRule="exact"/>
              <w:rPr>
                <w:sz w:val="20"/>
                <w:szCs w:val="20"/>
                <w:color w:val="auto"/>
              </w:rPr>
            </w:pPr>
            <w:r>
              <w:rPr>
                <w:rFonts w:ascii="Arial" w:cs="Arial" w:eastAsia="Arial" w:hAnsi="Arial"/>
                <w:sz w:val="17"/>
                <w:szCs w:val="17"/>
                <w:color w:val="auto"/>
              </w:rPr>
              <w:t>March 28, 2031</w:t>
            </w:r>
            <w:r>
              <w:rPr>
                <w:rFonts w:ascii="Arial" w:cs="Arial" w:eastAsia="Arial" w:hAnsi="Arial"/>
                <w:sz w:val="28"/>
                <w:szCs w:val="28"/>
                <w:color w:val="auto"/>
                <w:vertAlign w:val="superscript"/>
              </w:rPr>
              <w:t>(e)</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8,945,559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tcPr>
          <w:p>
            <w:pPr>
              <w:spacing w:after="0"/>
              <w:rPr>
                <w:sz w:val="20"/>
                <w:szCs w:val="20"/>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October 17, 2032</w:t>
            </w:r>
          </w:p>
        </w:tc>
      </w:tr>
      <w:tr>
        <w:trPr>
          <w:trHeight w:val="405"/>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27</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0"/>
        </w:trPr>
        <w:tc>
          <w:tcPr>
            <w:tcW w:w="136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3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3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10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8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24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5"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ind w:left="38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780"/>
              <w:spacing w:after="0"/>
              <w:rPr>
                <w:sz w:val="20"/>
                <w:szCs w:val="20"/>
                <w:color w:val="auto"/>
              </w:rPr>
            </w:pPr>
            <w:r>
              <w:rPr>
                <w:rFonts w:ascii="Arial" w:cs="Arial" w:eastAsia="Arial" w:hAnsi="Arial"/>
                <w:sz w:val="18"/>
                <w:szCs w:val="18"/>
                <w:b w:val="1"/>
                <w:bCs w:val="1"/>
                <w:color w:val="auto"/>
              </w:rPr>
              <w:t>General Subject</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(continued)</w:t>
            </w:r>
          </w:p>
        </w:tc>
        <w:tc>
          <w:tcPr>
            <w:tcW w:w="120" w:type="dxa"/>
            <w:vAlign w:val="bottom"/>
          </w:tcPr>
          <w:p>
            <w:pPr>
              <w:spacing w:after="0"/>
              <w:rPr>
                <w:sz w:val="20"/>
                <w:szCs w:val="20"/>
                <w:color w:val="auto"/>
              </w:rPr>
            </w:pP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Molecule</w:t>
            </w:r>
          </w:p>
        </w:tc>
        <w:tc>
          <w:tcPr>
            <w:tcW w:w="140" w:type="dxa"/>
            <w:vAlign w:val="bottom"/>
          </w:tcPr>
          <w:p>
            <w:pPr>
              <w:spacing w:after="0"/>
              <w:rPr>
                <w:sz w:val="20"/>
                <w:szCs w:val="20"/>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Territory</w:t>
            </w:r>
          </w:p>
        </w:tc>
        <w:tc>
          <w:tcPr>
            <w:tcW w:w="100" w:type="dxa"/>
            <w:vAlign w:val="bottom"/>
          </w:tcPr>
          <w:p>
            <w:pPr>
              <w:spacing w:after="0"/>
              <w:rPr>
                <w:sz w:val="20"/>
                <w:szCs w:val="20"/>
                <w:color w:val="auto"/>
              </w:rPr>
            </w:pP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w w:val="89"/>
              </w:rPr>
              <w:t>Patent No.</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2"/>
          </w:tcPr>
          <w:p>
            <w:pPr>
              <w:ind w:left="900"/>
              <w:spacing w:after="0"/>
              <w:rPr>
                <w:sz w:val="20"/>
                <w:szCs w:val="20"/>
                <w:color w:val="auto"/>
              </w:rPr>
            </w:pPr>
            <w:r>
              <w:rPr>
                <w:rFonts w:ascii="Arial" w:cs="Arial" w:eastAsia="Arial" w:hAnsi="Arial"/>
                <w:sz w:val="18"/>
                <w:szCs w:val="18"/>
                <w:b w:val="1"/>
                <w:bCs w:val="1"/>
                <w:color w:val="auto"/>
              </w:rPr>
              <w:t>Matter Class</w:t>
            </w:r>
          </w:p>
        </w:tc>
        <w:tc>
          <w:tcPr>
            <w:tcW w:w="2480" w:type="dxa"/>
            <w:vAlign w:val="bottom"/>
          </w:tcPr>
          <w:p>
            <w:pPr>
              <w:ind w:left="82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36"/>
        </w:trPr>
        <w:tc>
          <w:tcPr>
            <w:tcW w:w="1360" w:type="dxa"/>
            <w:vAlign w:val="bottom"/>
            <w:tcBorders>
              <w:top w:val="single" w:sz="8" w:color="auto"/>
            </w:tcBorders>
          </w:tcPr>
          <w:p>
            <w:pPr>
              <w:ind w:left="40"/>
              <w:spacing w:after="0" w:line="236" w:lineRule="exact"/>
              <w:rPr>
                <w:sz w:val="20"/>
                <w:szCs w:val="20"/>
                <w:color w:val="auto"/>
              </w:rPr>
            </w:pPr>
            <w:r>
              <w:rPr>
                <w:rFonts w:ascii="Arial" w:cs="Arial" w:eastAsia="Arial" w:hAnsi="Arial"/>
                <w:sz w:val="17"/>
                <w:szCs w:val="17"/>
                <w:color w:val="auto"/>
              </w:rPr>
              <w:t>Dupixent</w:t>
            </w:r>
            <w:r>
              <w:rPr>
                <w:rFonts w:ascii="Arial" w:cs="Arial" w:eastAsia="Arial" w:hAnsi="Arial"/>
                <w:sz w:val="27"/>
                <w:szCs w:val="27"/>
                <w:color w:val="auto"/>
                <w:vertAlign w:val="superscript"/>
              </w:rPr>
              <w:t>(a)</w:t>
            </w:r>
          </w:p>
        </w:tc>
        <w:tc>
          <w:tcPr>
            <w:tcW w:w="1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0"/>
                <w:szCs w:val="20"/>
                <w:color w:val="auto"/>
              </w:rPr>
            </w:pPr>
          </w:p>
        </w:tc>
        <w:tc>
          <w:tcPr>
            <w:tcW w:w="1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10,435,473</w:t>
            </w:r>
          </w:p>
        </w:tc>
        <w:tc>
          <w:tcPr>
            <w:tcW w:w="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tcPr>
          <w:p>
            <w:pPr>
              <w:spacing w:after="0"/>
              <w:rPr>
                <w:sz w:val="20"/>
                <w:szCs w:val="20"/>
                <w:color w:val="auto"/>
              </w:rPr>
            </w:pPr>
          </w:p>
        </w:tc>
        <w:tc>
          <w:tcPr>
            <w:tcW w:w="2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October 5, 2031</w:t>
            </w:r>
          </w:p>
        </w:tc>
        <w:tc>
          <w:tcPr>
            <w:tcW w:w="0" w:type="dxa"/>
            <w:vAlign w:val="bottom"/>
          </w:tcPr>
          <w:p>
            <w:pPr>
              <w:spacing w:after="0"/>
              <w:rPr>
                <w:sz w:val="1"/>
                <w:szCs w:val="1"/>
                <w:color w:val="auto"/>
              </w:rPr>
            </w:pPr>
          </w:p>
        </w:tc>
      </w:tr>
      <w:tr>
        <w:trPr>
          <w:trHeight w:val="230"/>
        </w:trPr>
        <w:tc>
          <w:tcPr>
            <w:tcW w:w="1360" w:type="dxa"/>
            <w:vAlign w:val="bottom"/>
          </w:tcPr>
          <w:p>
            <w:pPr>
              <w:ind w:left="40"/>
              <w:spacing w:after="0"/>
              <w:rPr>
                <w:sz w:val="20"/>
                <w:szCs w:val="20"/>
                <w:color w:val="auto"/>
              </w:rPr>
            </w:pPr>
            <w:r>
              <w:rPr>
                <w:rFonts w:ascii="Arial" w:cs="Arial" w:eastAsia="Arial" w:hAnsi="Arial"/>
                <w:sz w:val="18"/>
                <w:szCs w:val="18"/>
                <w:i w:val="1"/>
                <w:iCs w:val="1"/>
                <w:color w:val="auto"/>
              </w:rPr>
              <w:t>(continued)</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vMerge w:val="restart"/>
          </w:tcPr>
          <w:p>
            <w:pPr>
              <w:ind w:left="140"/>
              <w:spacing w:after="0"/>
              <w:rPr>
                <w:sz w:val="20"/>
                <w:szCs w:val="20"/>
                <w:color w:val="auto"/>
              </w:rPr>
            </w:pPr>
            <w:r>
              <w:rPr>
                <w:rFonts w:ascii="Arial" w:cs="Arial" w:eastAsia="Arial" w:hAnsi="Arial"/>
                <w:sz w:val="18"/>
                <w:szCs w:val="18"/>
                <w:color w:val="auto"/>
              </w:rPr>
              <w:t>11,059,896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2"/>
            <w:vMerge w:val="restart"/>
          </w:tcPr>
          <w:p>
            <w:pPr>
              <w:ind w:left="20"/>
              <w:spacing w:after="0"/>
              <w:rPr>
                <w:sz w:val="20"/>
                <w:szCs w:val="20"/>
                <w:color w:val="auto"/>
              </w:rPr>
            </w:pPr>
            <w:r>
              <w:rPr>
                <w:rFonts w:ascii="Arial" w:cs="Arial" w:eastAsia="Arial" w:hAnsi="Arial"/>
                <w:sz w:val="18"/>
                <w:szCs w:val="18"/>
                <w:color w:val="auto"/>
              </w:rPr>
              <w:t>Formulation</w:t>
            </w:r>
          </w:p>
        </w:tc>
        <w:tc>
          <w:tcPr>
            <w:tcW w:w="2480" w:type="dxa"/>
            <w:vAlign w:val="bottom"/>
            <w:vMerge w:val="restart"/>
          </w:tcPr>
          <w:p>
            <w:pPr>
              <w:ind w:left="40"/>
              <w:spacing w:after="0"/>
              <w:rPr>
                <w:sz w:val="20"/>
                <w:szCs w:val="20"/>
                <w:color w:val="auto"/>
              </w:rPr>
            </w:pPr>
            <w:r>
              <w:rPr>
                <w:rFonts w:ascii="Arial" w:cs="Arial" w:eastAsia="Arial" w:hAnsi="Arial"/>
                <w:sz w:val="18"/>
                <w:szCs w:val="18"/>
                <w:color w:val="auto"/>
              </w:rPr>
              <w:t>October 5, 2031</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8,075,887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April 17, 2028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8,337,839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October 2, 2027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9,290,574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July 10, 2034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9,574,004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December 22, 2033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10,485,844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September 21, 2037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10,059,771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June 20, 2034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11,167,004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September 21, 2037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11,034,768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March 23, 2039</w:t>
            </w: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2356151</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480" w:type="dxa"/>
            <w:vAlign w:val="bottom"/>
          </w:tcPr>
          <w:p>
            <w:pPr>
              <w:ind w:left="40"/>
              <w:spacing w:after="0" w:line="256" w:lineRule="exact"/>
              <w:rPr>
                <w:sz w:val="20"/>
                <w:szCs w:val="20"/>
                <w:color w:val="auto"/>
              </w:rPr>
            </w:pPr>
            <w:r>
              <w:rPr>
                <w:rFonts w:ascii="Arial" w:cs="Arial" w:eastAsia="Arial" w:hAnsi="Arial"/>
                <w:sz w:val="18"/>
                <w:szCs w:val="18"/>
                <w:color w:val="auto"/>
              </w:rPr>
              <w:t>October 27, 2029</w:t>
            </w:r>
            <w:r>
              <w:rPr>
                <w:rFonts w:ascii="Arial" w:cs="Arial" w:eastAsia="Arial" w:hAnsi="Arial"/>
                <w:sz w:val="29"/>
                <w:szCs w:val="29"/>
                <w:color w:val="auto"/>
                <w:vertAlign w:val="superscript"/>
              </w:rPr>
              <w:t>(c)</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2356151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(Supplementary Protection</w:t>
            </w:r>
          </w:p>
        </w:tc>
        <w:tc>
          <w:tcPr>
            <w:tcW w:w="2480" w:type="dxa"/>
            <w:vAlign w:val="bottom"/>
          </w:tcPr>
          <w:p>
            <w:pPr>
              <w:ind w:left="40"/>
              <w:spacing w:after="0" w:line="217" w:lineRule="exact"/>
              <w:rPr>
                <w:sz w:val="20"/>
                <w:szCs w:val="20"/>
                <w:color w:val="auto"/>
              </w:rPr>
            </w:pPr>
            <w:r>
              <w:rPr>
                <w:rFonts w:ascii="Arial" w:cs="Arial" w:eastAsia="Arial" w:hAnsi="Arial"/>
                <w:sz w:val="16"/>
                <w:szCs w:val="16"/>
                <w:color w:val="auto"/>
              </w:rPr>
              <w:t>(September 28, 2032)</w:t>
            </w:r>
            <w:r>
              <w:rPr>
                <w:rFonts w:ascii="Arial" w:cs="Arial" w:eastAsia="Arial" w:hAnsi="Arial"/>
                <w:sz w:val="25"/>
                <w:szCs w:val="25"/>
                <w:color w:val="auto"/>
                <w:vertAlign w:val="superscript"/>
              </w:rPr>
              <w:t>(c)</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Certificate)</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3010539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June 20, 2034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2888281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August 20, 2033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3064511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October 27, 2029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3107575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February 20, 2035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3470432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August 20, 2033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2624865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480" w:type="dxa"/>
            <w:vAlign w:val="bottom"/>
          </w:tcPr>
          <w:p>
            <w:pPr>
              <w:ind w:left="40"/>
              <w:spacing w:after="0"/>
              <w:rPr>
                <w:sz w:val="20"/>
                <w:szCs w:val="20"/>
                <w:color w:val="auto"/>
              </w:rPr>
            </w:pPr>
            <w:r>
              <w:rPr>
                <w:rFonts w:ascii="Arial" w:cs="Arial" w:eastAsia="Arial" w:hAnsi="Arial"/>
                <w:sz w:val="18"/>
                <w:szCs w:val="18"/>
                <w:color w:val="auto"/>
              </w:rPr>
              <w:t>October 5, 2031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3354280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480" w:type="dxa"/>
            <w:vAlign w:val="bottom"/>
          </w:tcPr>
          <w:p>
            <w:pPr>
              <w:ind w:left="40"/>
              <w:spacing w:after="0"/>
              <w:rPr>
                <w:sz w:val="20"/>
                <w:szCs w:val="20"/>
                <w:color w:val="auto"/>
              </w:rPr>
            </w:pPr>
            <w:r>
              <w:rPr>
                <w:rFonts w:ascii="Arial" w:cs="Arial" w:eastAsia="Arial" w:hAnsi="Arial"/>
                <w:sz w:val="18"/>
                <w:szCs w:val="18"/>
                <w:color w:val="auto"/>
              </w:rPr>
              <w:t>October 5, 2031</w:t>
            </w:r>
          </w:p>
        </w:tc>
        <w:tc>
          <w:tcPr>
            <w:tcW w:w="0" w:type="dxa"/>
            <w:vAlign w:val="bottom"/>
          </w:tcPr>
          <w:p>
            <w:pPr>
              <w:spacing w:after="0"/>
              <w:rPr>
                <w:sz w:val="1"/>
                <w:szCs w:val="1"/>
                <w:color w:val="auto"/>
              </w:rPr>
            </w:pPr>
          </w:p>
        </w:tc>
      </w:tr>
      <w:tr>
        <w:trPr>
          <w:trHeight w:val="220"/>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JP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5,291,802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480" w:type="dxa"/>
            <w:vAlign w:val="bottom"/>
          </w:tcPr>
          <w:p>
            <w:pPr>
              <w:ind w:left="40"/>
              <w:spacing w:after="0"/>
              <w:rPr>
                <w:sz w:val="20"/>
                <w:szCs w:val="20"/>
                <w:color w:val="auto"/>
              </w:rPr>
            </w:pPr>
            <w:r>
              <w:rPr>
                <w:rFonts w:ascii="Arial" w:cs="Arial" w:eastAsia="Arial" w:hAnsi="Arial"/>
                <w:sz w:val="18"/>
                <w:szCs w:val="18"/>
                <w:color w:val="auto"/>
                <w:w w:val="95"/>
              </w:rPr>
              <w:t>October 27, 2029 – October 27,</w:t>
            </w: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ind w:left="40"/>
              <w:spacing w:after="0" w:line="252" w:lineRule="exact"/>
              <w:rPr>
                <w:sz w:val="20"/>
                <w:szCs w:val="20"/>
                <w:color w:val="auto"/>
              </w:rPr>
            </w:pPr>
            <w:r>
              <w:rPr>
                <w:rFonts w:ascii="Arial" w:cs="Arial" w:eastAsia="Arial" w:hAnsi="Arial"/>
                <w:sz w:val="18"/>
                <w:szCs w:val="18"/>
                <w:color w:val="auto"/>
              </w:rPr>
              <w:t>2034</w:t>
            </w:r>
            <w:r>
              <w:rPr>
                <w:rFonts w:ascii="Arial" w:cs="Arial" w:eastAsia="Arial" w:hAnsi="Arial"/>
                <w:sz w:val="29"/>
                <w:szCs w:val="29"/>
                <w:color w:val="auto"/>
                <w:vertAlign w:val="superscript"/>
              </w:rPr>
              <w:t>(d)</w:t>
            </w:r>
          </w:p>
        </w:tc>
        <w:tc>
          <w:tcPr>
            <w:tcW w:w="0" w:type="dxa"/>
            <w:vAlign w:val="bottom"/>
          </w:tcPr>
          <w:p>
            <w:pPr>
              <w:spacing w:after="0"/>
              <w:rPr>
                <w:sz w:val="1"/>
                <w:szCs w:val="1"/>
                <w:color w:val="auto"/>
              </w:rPr>
            </w:pPr>
          </w:p>
        </w:tc>
      </w:tr>
      <w:tr>
        <w:trPr>
          <w:trHeight w:val="220"/>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JP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5,918,246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480" w:type="dxa"/>
            <w:vAlign w:val="bottom"/>
          </w:tcPr>
          <w:p>
            <w:pPr>
              <w:ind w:left="40"/>
              <w:spacing w:after="0"/>
              <w:rPr>
                <w:sz w:val="20"/>
                <w:szCs w:val="20"/>
                <w:color w:val="auto"/>
              </w:rPr>
            </w:pPr>
            <w:r>
              <w:rPr>
                <w:rFonts w:ascii="Arial" w:cs="Arial" w:eastAsia="Arial" w:hAnsi="Arial"/>
                <w:sz w:val="18"/>
                <w:szCs w:val="18"/>
                <w:color w:val="auto"/>
                <w:w w:val="90"/>
              </w:rPr>
              <w:t>October 5, 2031 – September 15,</w:t>
            </w: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ind w:left="40"/>
              <w:spacing w:after="0" w:line="252" w:lineRule="exact"/>
              <w:rPr>
                <w:sz w:val="20"/>
                <w:szCs w:val="20"/>
                <w:color w:val="auto"/>
              </w:rPr>
            </w:pPr>
            <w:r>
              <w:rPr>
                <w:rFonts w:ascii="Arial" w:cs="Arial" w:eastAsia="Arial" w:hAnsi="Arial"/>
                <w:sz w:val="18"/>
                <w:szCs w:val="18"/>
                <w:color w:val="auto"/>
              </w:rPr>
              <w:t>2034</w:t>
            </w:r>
            <w:r>
              <w:rPr>
                <w:rFonts w:ascii="Arial" w:cs="Arial" w:eastAsia="Arial" w:hAnsi="Arial"/>
                <w:sz w:val="29"/>
                <w:szCs w:val="29"/>
                <w:color w:val="auto"/>
                <w:vertAlign w:val="superscript"/>
              </w:rPr>
              <w:t>(d)</w:t>
            </w:r>
          </w:p>
        </w:tc>
        <w:tc>
          <w:tcPr>
            <w:tcW w:w="0" w:type="dxa"/>
            <w:vAlign w:val="bottom"/>
          </w:tcPr>
          <w:p>
            <w:pPr>
              <w:spacing w:after="0"/>
              <w:rPr>
                <w:sz w:val="1"/>
                <w:szCs w:val="1"/>
                <w:color w:val="auto"/>
              </w:rPr>
            </w:pPr>
          </w:p>
        </w:tc>
      </w:tr>
      <w:tr>
        <w:trPr>
          <w:trHeight w:val="220"/>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JP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6,306,588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August 20, 2033 – August 29,</w:t>
            </w: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ind w:left="40"/>
              <w:spacing w:after="0" w:line="252" w:lineRule="exact"/>
              <w:rPr>
                <w:sz w:val="20"/>
                <w:szCs w:val="20"/>
                <w:color w:val="auto"/>
              </w:rPr>
            </w:pPr>
            <w:r>
              <w:rPr>
                <w:rFonts w:ascii="Arial" w:cs="Arial" w:eastAsia="Arial" w:hAnsi="Arial"/>
                <w:sz w:val="18"/>
                <w:szCs w:val="18"/>
                <w:color w:val="auto"/>
              </w:rPr>
              <w:t>2034</w:t>
            </w:r>
            <w:r>
              <w:rPr>
                <w:rFonts w:ascii="Arial" w:cs="Arial" w:eastAsia="Arial" w:hAnsi="Arial"/>
                <w:sz w:val="29"/>
                <w:szCs w:val="29"/>
                <w:color w:val="auto"/>
                <w:vertAlign w:val="superscript"/>
              </w:rPr>
              <w:t>(d)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JP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6,353,838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September 4, 2033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JP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6,673,840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February 20, 2035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JP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6,463,351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June 20, 2034</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JP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6,861,630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November 13, 2035</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ind w:left="40"/>
              <w:spacing w:after="0"/>
              <w:rPr>
                <w:sz w:val="20"/>
                <w:szCs w:val="20"/>
                <w:color w:val="auto"/>
              </w:rPr>
            </w:pPr>
            <w:r>
              <w:rPr>
                <w:rFonts w:ascii="Arial" w:cs="Arial" w:eastAsia="Arial" w:hAnsi="Arial"/>
                <w:sz w:val="18"/>
                <w:szCs w:val="18"/>
                <w:color w:val="auto"/>
              </w:rPr>
              <w:t>Libtayo</w:t>
            </w: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ind w:left="40"/>
              <w:spacing w:after="0"/>
              <w:rPr>
                <w:sz w:val="20"/>
                <w:szCs w:val="20"/>
                <w:color w:val="auto"/>
              </w:rPr>
            </w:pPr>
            <w:r>
              <w:rPr>
                <w:rFonts w:ascii="Arial" w:cs="Arial" w:eastAsia="Arial" w:hAnsi="Arial"/>
                <w:sz w:val="18"/>
                <w:szCs w:val="18"/>
                <w:color w:val="auto"/>
              </w:rPr>
              <w:t>cemiplimab</w:t>
            </w: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9,987,500</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900" w:type="dxa"/>
            <w:vAlign w:val="bottom"/>
            <w:gridSpan w:val="2"/>
            <w:shd w:val="clear" w:color="auto" w:fill="CDEAFA"/>
          </w:tcPr>
          <w:p>
            <w:pPr>
              <w:ind w:left="20"/>
              <w:spacing w:after="0"/>
              <w:rPr>
                <w:sz w:val="20"/>
                <w:szCs w:val="20"/>
                <w:color w:val="auto"/>
              </w:rPr>
            </w:pPr>
            <w:r>
              <w:rPr>
                <w:rFonts w:ascii="Arial" w:cs="Arial" w:eastAsia="Arial" w:hAnsi="Arial"/>
                <w:sz w:val="18"/>
                <w:szCs w:val="18"/>
                <w:color w:val="auto"/>
              </w:rPr>
              <w:t>Composition of Matter</w:t>
            </w: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September 18, 2035</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10,737,113</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900" w:type="dxa"/>
            <w:vAlign w:val="bottom"/>
            <w:gridSpan w:val="2"/>
            <w:shd w:val="clear" w:color="auto" w:fill="CDEAFA"/>
          </w:tcPr>
          <w:p>
            <w:pPr>
              <w:ind w:left="20"/>
              <w:spacing w:after="0"/>
              <w:rPr>
                <w:sz w:val="20"/>
                <w:szCs w:val="20"/>
                <w:color w:val="auto"/>
              </w:rPr>
            </w:pPr>
            <w:r>
              <w:rPr>
                <w:rFonts w:ascii="Arial" w:cs="Arial" w:eastAsia="Arial" w:hAnsi="Arial"/>
                <w:sz w:val="18"/>
                <w:szCs w:val="18"/>
                <w:color w:val="auto"/>
              </w:rPr>
              <w:t>Composition of Matter</w:t>
            </w: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April 10, 2035</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10,457,725</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900" w:type="dxa"/>
            <w:vAlign w:val="bottom"/>
            <w:gridSpan w:val="2"/>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May 12, 2037</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EP</w:t>
            </w:r>
          </w:p>
        </w:tc>
        <w:tc>
          <w:tcPr>
            <w:tcW w:w="120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3097119</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900" w:type="dxa"/>
            <w:vAlign w:val="bottom"/>
            <w:gridSpan w:val="2"/>
            <w:shd w:val="clear" w:color="auto" w:fill="CDEAFA"/>
          </w:tcPr>
          <w:p>
            <w:pPr>
              <w:ind w:left="20"/>
              <w:spacing w:after="0"/>
              <w:rPr>
                <w:sz w:val="20"/>
                <w:szCs w:val="20"/>
                <w:color w:val="auto"/>
              </w:rPr>
            </w:pPr>
            <w:r>
              <w:rPr>
                <w:rFonts w:ascii="Arial" w:cs="Arial" w:eastAsia="Arial" w:hAnsi="Arial"/>
                <w:sz w:val="18"/>
                <w:szCs w:val="18"/>
                <w:color w:val="auto"/>
              </w:rPr>
              <w:t>Composition of Matter</w:t>
            </w: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January 23, 2035</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EP</w:t>
            </w:r>
          </w:p>
        </w:tc>
        <w:tc>
          <w:tcPr>
            <w:tcW w:w="120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3455258</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900" w:type="dxa"/>
            <w:vAlign w:val="bottom"/>
            <w:gridSpan w:val="2"/>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May 12, 2037</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JP</w:t>
            </w:r>
          </w:p>
        </w:tc>
        <w:tc>
          <w:tcPr>
            <w:tcW w:w="120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6,425,730</w:t>
            </w:r>
          </w:p>
        </w:tc>
        <w:tc>
          <w:tcPr>
            <w:tcW w:w="2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2900" w:type="dxa"/>
            <w:vAlign w:val="bottom"/>
            <w:gridSpan w:val="2"/>
            <w:shd w:val="clear" w:color="auto" w:fill="CDEAFA"/>
          </w:tcPr>
          <w:p>
            <w:pPr>
              <w:ind w:left="20"/>
              <w:spacing w:after="0"/>
              <w:rPr>
                <w:sz w:val="20"/>
                <w:szCs w:val="20"/>
                <w:color w:val="auto"/>
              </w:rPr>
            </w:pPr>
            <w:r>
              <w:rPr>
                <w:rFonts w:ascii="Arial" w:cs="Arial" w:eastAsia="Arial" w:hAnsi="Arial"/>
                <w:sz w:val="18"/>
                <w:szCs w:val="18"/>
                <w:color w:val="auto"/>
              </w:rPr>
              <w:t>Composition of Matter</w:t>
            </w: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January 23, 2035</w:t>
            </w:r>
          </w:p>
        </w:tc>
        <w:tc>
          <w:tcPr>
            <w:tcW w:w="0" w:type="dxa"/>
            <w:vAlign w:val="bottom"/>
          </w:tcPr>
          <w:p>
            <w:pPr>
              <w:spacing w:after="0"/>
              <w:rPr>
                <w:sz w:val="1"/>
                <w:szCs w:val="1"/>
                <w:color w:val="auto"/>
              </w:rPr>
            </w:pPr>
          </w:p>
        </w:tc>
      </w:tr>
      <w:tr>
        <w:trPr>
          <w:trHeight w:val="242"/>
        </w:trPr>
        <w:tc>
          <w:tcPr>
            <w:tcW w:w="1360" w:type="dxa"/>
            <w:vAlign w:val="bottom"/>
          </w:tcPr>
          <w:p>
            <w:pPr>
              <w:ind w:left="40"/>
              <w:spacing w:after="0" w:line="242" w:lineRule="exact"/>
              <w:rPr>
                <w:sz w:val="20"/>
                <w:szCs w:val="20"/>
                <w:color w:val="auto"/>
              </w:rPr>
            </w:pPr>
            <w:r>
              <w:rPr>
                <w:rFonts w:ascii="Arial" w:cs="Arial" w:eastAsia="Arial" w:hAnsi="Arial"/>
                <w:sz w:val="17"/>
                <w:szCs w:val="17"/>
                <w:color w:val="auto"/>
              </w:rPr>
              <w:t>Praluent</w:t>
            </w:r>
            <w:r>
              <w:rPr>
                <w:rFonts w:ascii="Arial" w:cs="Arial" w:eastAsia="Arial" w:hAnsi="Arial"/>
                <w:sz w:val="28"/>
                <w:szCs w:val="28"/>
                <w:color w:val="auto"/>
                <w:vertAlign w:val="superscript"/>
              </w:rPr>
              <w:t>(a)(f)</w:t>
            </w:r>
          </w:p>
        </w:tc>
        <w:tc>
          <w:tcPr>
            <w:tcW w:w="120" w:type="dxa"/>
            <w:vAlign w:val="bottom"/>
          </w:tcPr>
          <w:p>
            <w:pPr>
              <w:spacing w:after="0"/>
              <w:rPr>
                <w:sz w:val="21"/>
                <w:szCs w:val="21"/>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alirocumab</w:t>
            </w:r>
          </w:p>
        </w:tc>
        <w:tc>
          <w:tcPr>
            <w:tcW w:w="14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8,062,640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480" w:type="dxa"/>
            <w:vAlign w:val="bottom"/>
          </w:tcPr>
          <w:p>
            <w:pPr>
              <w:ind w:left="40"/>
              <w:spacing w:after="0"/>
              <w:rPr>
                <w:sz w:val="20"/>
                <w:szCs w:val="20"/>
                <w:color w:val="auto"/>
              </w:rPr>
            </w:pPr>
            <w:r>
              <w:rPr>
                <w:rFonts w:ascii="Arial" w:cs="Arial" w:eastAsia="Arial" w:hAnsi="Arial"/>
                <w:sz w:val="18"/>
                <w:szCs w:val="18"/>
                <w:color w:val="auto"/>
              </w:rPr>
              <w:t>December 15, 2029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10,023,654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480" w:type="dxa"/>
            <w:vAlign w:val="bottom"/>
          </w:tcPr>
          <w:p>
            <w:pPr>
              <w:ind w:left="40"/>
              <w:spacing w:after="0"/>
              <w:rPr>
                <w:sz w:val="20"/>
                <w:szCs w:val="20"/>
                <w:color w:val="auto"/>
              </w:rPr>
            </w:pPr>
            <w:r>
              <w:rPr>
                <w:rFonts w:ascii="Arial" w:cs="Arial" w:eastAsia="Arial" w:hAnsi="Arial"/>
                <w:sz w:val="18"/>
                <w:szCs w:val="18"/>
                <w:color w:val="auto"/>
              </w:rPr>
              <w:t>December 15, 2029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10,472,425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480" w:type="dxa"/>
            <w:vAlign w:val="bottom"/>
          </w:tcPr>
          <w:p>
            <w:pPr>
              <w:ind w:left="40"/>
              <w:spacing w:after="0"/>
              <w:rPr>
                <w:sz w:val="20"/>
                <w:szCs w:val="20"/>
                <w:color w:val="auto"/>
              </w:rPr>
            </w:pPr>
            <w:r>
              <w:rPr>
                <w:rFonts w:ascii="Arial" w:cs="Arial" w:eastAsia="Arial" w:hAnsi="Arial"/>
                <w:sz w:val="18"/>
                <w:szCs w:val="18"/>
                <w:color w:val="auto"/>
              </w:rPr>
              <w:t>July 27, 2032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8,357,371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December 21, 2029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9,550,837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December 15, 2029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9,724,411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10,428,157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December 26, 2037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10,544,232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March 13, 2035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10,995,150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June 6, 2034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11,116,839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480" w:type="dxa"/>
            <w:vAlign w:val="bottom"/>
          </w:tcPr>
          <w:p>
            <w:pPr>
              <w:ind w:left="40"/>
              <w:spacing w:after="0"/>
              <w:rPr>
                <w:sz w:val="20"/>
                <w:szCs w:val="20"/>
                <w:color w:val="auto"/>
              </w:rPr>
            </w:pPr>
            <w:r>
              <w:rPr>
                <w:rFonts w:ascii="Arial" w:cs="Arial" w:eastAsia="Arial" w:hAnsi="Arial"/>
                <w:sz w:val="18"/>
                <w:szCs w:val="18"/>
                <w:color w:val="auto"/>
              </w:rPr>
              <w:t>June 14, 2033</w:t>
            </w:r>
          </w:p>
        </w:tc>
        <w:tc>
          <w:tcPr>
            <w:tcW w:w="0" w:type="dxa"/>
            <w:vAlign w:val="bottom"/>
          </w:tcPr>
          <w:p>
            <w:pPr>
              <w:spacing w:after="0"/>
              <w:rPr>
                <w:sz w:val="1"/>
                <w:szCs w:val="1"/>
                <w:color w:val="auto"/>
              </w:rPr>
            </w:pPr>
          </w:p>
        </w:tc>
      </w:tr>
      <w:tr>
        <w:trPr>
          <w:trHeight w:val="394"/>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2358756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480" w:type="dxa"/>
            <w:vAlign w:val="bottom"/>
          </w:tcPr>
          <w:p>
            <w:pPr>
              <w:ind w:left="40"/>
              <w:spacing w:after="0"/>
              <w:rPr>
                <w:sz w:val="20"/>
                <w:szCs w:val="20"/>
                <w:color w:val="auto"/>
              </w:rPr>
            </w:pPr>
            <w:r>
              <w:rPr>
                <w:rFonts w:ascii="Arial" w:cs="Arial" w:eastAsia="Arial" w:hAnsi="Arial"/>
                <w:sz w:val="18"/>
                <w:szCs w:val="18"/>
                <w:color w:val="auto"/>
              </w:rPr>
              <w:t>December 15, 2029</w:t>
            </w:r>
            <w:r>
              <w:rPr>
                <w:rFonts w:ascii="Arial" w:cs="Arial" w:eastAsia="Arial" w:hAnsi="Arial"/>
                <w:sz w:val="29"/>
                <w:szCs w:val="29"/>
                <w:color w:val="auto"/>
                <w:vertAlign w:val="superscript"/>
              </w:rPr>
              <w:t>(c)</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6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3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3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10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8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248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ind w:left="38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ind w:left="780"/>
              <w:spacing w:after="0"/>
              <w:rPr>
                <w:sz w:val="20"/>
                <w:szCs w:val="20"/>
                <w:color w:val="auto"/>
              </w:rPr>
            </w:pPr>
            <w:r>
              <w:rPr>
                <w:rFonts w:ascii="Arial" w:cs="Arial" w:eastAsia="Arial" w:hAnsi="Arial"/>
                <w:sz w:val="18"/>
                <w:szCs w:val="18"/>
                <w:b w:val="1"/>
                <w:bCs w:val="1"/>
                <w:color w:val="auto"/>
              </w:rPr>
              <w:t>General Subject</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i w:val="1"/>
                <w:iCs w:val="1"/>
                <w:color w:val="auto"/>
              </w:rPr>
              <w:t>(continued)</w:t>
            </w:r>
          </w:p>
        </w:tc>
        <w:tc>
          <w:tcPr>
            <w:tcW w:w="120" w:type="dxa"/>
            <w:vAlign w:val="bottom"/>
          </w:tcPr>
          <w:p>
            <w:pPr>
              <w:spacing w:after="0"/>
              <w:rPr>
                <w:sz w:val="20"/>
                <w:szCs w:val="20"/>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Molecule</w:t>
            </w:r>
          </w:p>
        </w:tc>
        <w:tc>
          <w:tcPr>
            <w:tcW w:w="140" w:type="dxa"/>
            <w:vAlign w:val="bottom"/>
          </w:tcPr>
          <w:p>
            <w:pPr>
              <w:spacing w:after="0"/>
              <w:rPr>
                <w:sz w:val="20"/>
                <w:szCs w:val="20"/>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Territory</w:t>
            </w:r>
          </w:p>
        </w:tc>
        <w:tc>
          <w:tcPr>
            <w:tcW w:w="100" w:type="dxa"/>
            <w:vAlign w:val="bottom"/>
          </w:tcPr>
          <w:p>
            <w:pPr>
              <w:spacing w:after="0"/>
              <w:rPr>
                <w:sz w:val="20"/>
                <w:szCs w:val="20"/>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Patent No.</w:t>
            </w:r>
          </w:p>
        </w:tc>
        <w:tc>
          <w:tcPr>
            <w:tcW w:w="120" w:type="dxa"/>
            <w:vAlign w:val="bottom"/>
          </w:tcPr>
          <w:p>
            <w:pPr>
              <w:spacing w:after="0"/>
              <w:rPr>
                <w:sz w:val="20"/>
                <w:szCs w:val="20"/>
                <w:color w:val="auto"/>
              </w:rPr>
            </w:pPr>
          </w:p>
        </w:tc>
        <w:tc>
          <w:tcPr>
            <w:tcW w:w="280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Matter Class</w:t>
            </w:r>
          </w:p>
        </w:tc>
        <w:tc>
          <w:tcPr>
            <w:tcW w:w="100" w:type="dxa"/>
            <w:vAlign w:val="bottom"/>
          </w:tcPr>
          <w:p>
            <w:pPr>
              <w:spacing w:after="0"/>
              <w:rPr>
                <w:sz w:val="20"/>
                <w:szCs w:val="20"/>
                <w:color w:val="auto"/>
              </w:rPr>
            </w:pPr>
          </w:p>
        </w:tc>
        <w:tc>
          <w:tcPr>
            <w:tcW w:w="248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03"/>
        </w:trPr>
        <w:tc>
          <w:tcPr>
            <w:tcW w:w="1360" w:type="dxa"/>
            <w:vAlign w:val="bottom"/>
          </w:tcPr>
          <w:p>
            <w:pPr>
              <w:ind w:left="40"/>
              <w:spacing w:after="0" w:line="202" w:lineRule="exact"/>
              <w:rPr>
                <w:sz w:val="20"/>
                <w:szCs w:val="20"/>
                <w:color w:val="auto"/>
              </w:rPr>
            </w:pPr>
            <w:r>
              <w:rPr>
                <w:rFonts w:ascii="Arial" w:cs="Arial" w:eastAsia="Arial" w:hAnsi="Arial"/>
                <w:sz w:val="15"/>
                <w:szCs w:val="15"/>
                <w:color w:val="auto"/>
              </w:rPr>
              <w:t>Praluent</w:t>
            </w:r>
            <w:r>
              <w:rPr>
                <w:rFonts w:ascii="Arial" w:cs="Arial" w:eastAsia="Arial" w:hAnsi="Arial"/>
                <w:sz w:val="23"/>
                <w:szCs w:val="23"/>
                <w:color w:val="auto"/>
                <w:vertAlign w:val="superscript"/>
              </w:rPr>
              <w:t>(a)(f)</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ind w:left="20"/>
              <w:spacing w:after="0" w:line="202" w:lineRule="exact"/>
              <w:rPr>
                <w:sz w:val="20"/>
                <w:szCs w:val="20"/>
                <w:color w:val="auto"/>
              </w:rPr>
            </w:pPr>
            <w:r>
              <w:rPr>
                <w:rFonts w:ascii="Arial" w:cs="Arial" w:eastAsia="Arial" w:hAnsi="Arial"/>
                <w:sz w:val="18"/>
                <w:szCs w:val="18"/>
                <w:color w:val="auto"/>
              </w:rPr>
              <w:t>EP</w:t>
            </w:r>
          </w:p>
        </w:tc>
        <w:tc>
          <w:tcPr>
            <w:tcW w:w="100" w:type="dxa"/>
            <w:vAlign w:val="bottom"/>
          </w:tcPr>
          <w:p>
            <w:pPr>
              <w:spacing w:after="0"/>
              <w:rPr>
                <w:sz w:val="17"/>
                <w:szCs w:val="17"/>
                <w:color w:val="auto"/>
              </w:rPr>
            </w:pPr>
          </w:p>
        </w:tc>
        <w:tc>
          <w:tcPr>
            <w:tcW w:w="1340" w:type="dxa"/>
            <w:vAlign w:val="bottom"/>
          </w:tcPr>
          <w:p>
            <w:pPr>
              <w:ind w:left="40"/>
              <w:spacing w:after="0" w:line="202" w:lineRule="exact"/>
              <w:rPr>
                <w:sz w:val="20"/>
                <w:szCs w:val="20"/>
                <w:color w:val="auto"/>
              </w:rPr>
            </w:pPr>
            <w:r>
              <w:rPr>
                <w:rFonts w:ascii="Arial" w:cs="Arial" w:eastAsia="Arial" w:hAnsi="Arial"/>
                <w:sz w:val="18"/>
                <w:szCs w:val="18"/>
                <w:color w:val="auto"/>
              </w:rPr>
              <w:t>2358756</w:t>
            </w:r>
          </w:p>
        </w:tc>
        <w:tc>
          <w:tcPr>
            <w:tcW w:w="120" w:type="dxa"/>
            <w:vAlign w:val="bottom"/>
          </w:tcPr>
          <w:p>
            <w:pPr>
              <w:spacing w:after="0"/>
              <w:rPr>
                <w:sz w:val="17"/>
                <w:szCs w:val="17"/>
                <w:color w:val="auto"/>
              </w:rPr>
            </w:pPr>
          </w:p>
        </w:tc>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(Supplementary Protection</w:t>
            </w:r>
          </w:p>
        </w:tc>
        <w:tc>
          <w:tcPr>
            <w:tcW w:w="100" w:type="dxa"/>
            <w:vAlign w:val="bottom"/>
          </w:tcPr>
          <w:p>
            <w:pPr>
              <w:spacing w:after="0"/>
              <w:rPr>
                <w:sz w:val="17"/>
                <w:szCs w:val="17"/>
                <w:color w:val="auto"/>
              </w:rPr>
            </w:pPr>
          </w:p>
        </w:tc>
        <w:tc>
          <w:tcPr>
            <w:tcW w:w="2480" w:type="dxa"/>
            <w:vAlign w:val="bottom"/>
          </w:tcPr>
          <w:p>
            <w:pPr>
              <w:ind w:left="40"/>
              <w:spacing w:after="0" w:line="202" w:lineRule="exact"/>
              <w:rPr>
                <w:sz w:val="20"/>
                <w:szCs w:val="20"/>
                <w:color w:val="auto"/>
              </w:rPr>
            </w:pPr>
            <w:r>
              <w:rPr>
                <w:rFonts w:ascii="Arial" w:cs="Arial" w:eastAsia="Arial" w:hAnsi="Arial"/>
                <w:sz w:val="15"/>
                <w:szCs w:val="15"/>
                <w:color w:val="auto"/>
              </w:rPr>
              <w:t>(September 25, 2030)</w:t>
            </w:r>
            <w:r>
              <w:rPr>
                <w:rFonts w:ascii="Arial" w:cs="Arial" w:eastAsia="Arial" w:hAnsi="Arial"/>
                <w:sz w:val="23"/>
                <w:szCs w:val="23"/>
                <w:color w:val="auto"/>
                <w:vertAlign w:val="superscript"/>
              </w:rPr>
              <w:t>(c)</w:t>
            </w:r>
          </w:p>
        </w:tc>
        <w:tc>
          <w:tcPr>
            <w:tcW w:w="0" w:type="dxa"/>
            <w:vAlign w:val="bottom"/>
          </w:tcPr>
          <w:p>
            <w:pPr>
              <w:spacing w:after="0"/>
              <w:rPr>
                <w:sz w:val="1"/>
                <w:szCs w:val="1"/>
                <w:color w:val="auto"/>
              </w:rPr>
            </w:pPr>
          </w:p>
        </w:tc>
      </w:tr>
      <w:tr>
        <w:trPr>
          <w:trHeight w:val="256"/>
        </w:trPr>
        <w:tc>
          <w:tcPr>
            <w:tcW w:w="1360" w:type="dxa"/>
            <w:vAlign w:val="bottom"/>
          </w:tcPr>
          <w:p>
            <w:pPr>
              <w:ind w:left="40"/>
              <w:spacing w:after="0"/>
              <w:rPr>
                <w:sz w:val="20"/>
                <w:szCs w:val="20"/>
                <w:color w:val="auto"/>
              </w:rPr>
            </w:pPr>
            <w:r>
              <w:rPr>
                <w:rFonts w:ascii="Arial" w:cs="Arial" w:eastAsia="Arial" w:hAnsi="Arial"/>
                <w:sz w:val="18"/>
                <w:szCs w:val="18"/>
                <w:i w:val="1"/>
                <w:iCs w:val="1"/>
                <w:color w:val="auto"/>
              </w:rPr>
              <w:t>(continued)</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Certificate)</w:t>
            </w:r>
          </w:p>
        </w:tc>
        <w:tc>
          <w:tcPr>
            <w:tcW w:w="1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3156422</w:t>
            </w:r>
          </w:p>
        </w:tc>
        <w:tc>
          <w:tcPr>
            <w:tcW w:w="1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Composition of Matter</w:t>
            </w:r>
          </w:p>
        </w:tc>
        <w:tc>
          <w:tcPr>
            <w:tcW w:w="10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December 15, 2029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2756004</w:t>
            </w:r>
          </w:p>
        </w:tc>
        <w:tc>
          <w:tcPr>
            <w:tcW w:w="1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September 12, 2032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3055333</w:t>
            </w:r>
          </w:p>
        </w:tc>
        <w:tc>
          <w:tcPr>
            <w:tcW w:w="1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October 10, 2034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3169353</w:t>
            </w:r>
          </w:p>
        </w:tc>
        <w:tc>
          <w:tcPr>
            <w:tcW w:w="1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July 16, 2035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3169362</w:t>
            </w:r>
          </w:p>
        </w:tc>
        <w:tc>
          <w:tcPr>
            <w:tcW w:w="1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July 16, 2035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3004171</w:t>
            </w:r>
          </w:p>
        </w:tc>
        <w:tc>
          <w:tcPr>
            <w:tcW w:w="1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June 6, 2034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3068803</w:t>
            </w:r>
          </w:p>
        </w:tc>
        <w:tc>
          <w:tcPr>
            <w:tcW w:w="1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November 12, 2034</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EP</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3395836</w:t>
            </w:r>
          </w:p>
        </w:tc>
        <w:tc>
          <w:tcPr>
            <w:tcW w:w="12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Methods of Manufacturing</w:t>
            </w:r>
          </w:p>
        </w:tc>
        <w:tc>
          <w:tcPr>
            <w:tcW w:w="100" w:type="dxa"/>
            <w:vAlign w:val="bottom"/>
          </w:tcPr>
          <w:p>
            <w:pPr>
              <w:spacing w:after="0"/>
              <w:rPr>
                <w:sz w:val="20"/>
                <w:szCs w:val="20"/>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January 27, 2032</w:t>
            </w:r>
          </w:p>
        </w:tc>
        <w:tc>
          <w:tcPr>
            <w:tcW w:w="0" w:type="dxa"/>
            <w:vAlign w:val="bottom"/>
          </w:tcPr>
          <w:p>
            <w:pPr>
              <w:spacing w:after="0"/>
              <w:rPr>
                <w:sz w:val="1"/>
                <w:szCs w:val="1"/>
                <w:color w:val="auto"/>
              </w:rPr>
            </w:pPr>
          </w:p>
        </w:tc>
      </w:tr>
      <w:tr>
        <w:trPr>
          <w:trHeight w:val="257"/>
        </w:trPr>
        <w:tc>
          <w:tcPr>
            <w:tcW w:w="1360" w:type="dxa"/>
            <w:vAlign w:val="bottom"/>
            <w:shd w:val="clear" w:color="auto" w:fill="CDEAFA"/>
          </w:tcPr>
          <w:p>
            <w:pPr>
              <w:ind w:left="40"/>
              <w:spacing w:after="0"/>
              <w:rPr>
                <w:sz w:val="20"/>
                <w:szCs w:val="20"/>
                <w:color w:val="auto"/>
              </w:rPr>
            </w:pPr>
            <w:r>
              <w:rPr>
                <w:rFonts w:ascii="Arial" w:cs="Arial" w:eastAsia="Arial" w:hAnsi="Arial"/>
                <w:sz w:val="18"/>
                <w:szCs w:val="18"/>
                <w:color w:val="auto"/>
              </w:rPr>
              <w:t>Kevzara</w:t>
            </w:r>
          </w:p>
        </w:tc>
        <w:tc>
          <w:tcPr>
            <w:tcW w:w="120" w:type="dxa"/>
            <w:vAlign w:val="bottom"/>
            <w:shd w:val="clear" w:color="auto" w:fill="CDEAFA"/>
          </w:tcPr>
          <w:p>
            <w:pPr>
              <w:spacing w:after="0"/>
              <w:rPr>
                <w:sz w:val="22"/>
                <w:szCs w:val="22"/>
                <w:color w:val="auto"/>
              </w:rPr>
            </w:pPr>
          </w:p>
        </w:tc>
        <w:tc>
          <w:tcPr>
            <w:tcW w:w="1340" w:type="dxa"/>
            <w:vAlign w:val="bottom"/>
            <w:shd w:val="clear" w:color="auto" w:fill="CDEAFA"/>
          </w:tcPr>
          <w:p>
            <w:pPr>
              <w:ind w:left="40"/>
              <w:spacing w:after="0"/>
              <w:rPr>
                <w:sz w:val="20"/>
                <w:szCs w:val="20"/>
                <w:color w:val="auto"/>
              </w:rPr>
            </w:pPr>
            <w:r>
              <w:rPr>
                <w:rFonts w:ascii="Arial" w:cs="Arial" w:eastAsia="Arial" w:hAnsi="Arial"/>
                <w:sz w:val="18"/>
                <w:szCs w:val="18"/>
                <w:color w:val="auto"/>
              </w:rPr>
              <w:t>sarilumab</w:t>
            </w:r>
          </w:p>
        </w:tc>
        <w:tc>
          <w:tcPr>
            <w:tcW w:w="140" w:type="dxa"/>
            <w:vAlign w:val="bottom"/>
            <w:shd w:val="clear" w:color="auto" w:fill="CDEAFA"/>
          </w:tcPr>
          <w:p>
            <w:pPr>
              <w:spacing w:after="0"/>
              <w:rPr>
                <w:sz w:val="22"/>
                <w:szCs w:val="22"/>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44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7,582,298</w:t>
            </w:r>
          </w:p>
        </w:tc>
        <w:tc>
          <w:tcPr>
            <w:tcW w:w="120" w:type="dxa"/>
            <w:vAlign w:val="bottom"/>
            <w:shd w:val="clear" w:color="auto" w:fill="CDEAFA"/>
          </w:tcPr>
          <w:p>
            <w:pPr>
              <w:spacing w:after="0"/>
              <w:rPr>
                <w:sz w:val="22"/>
                <w:szCs w:val="22"/>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Composition of Matter</w:t>
            </w:r>
          </w:p>
        </w:tc>
        <w:tc>
          <w:tcPr>
            <w:tcW w:w="100" w:type="dxa"/>
            <w:vAlign w:val="bottom"/>
            <w:shd w:val="clear" w:color="auto" w:fill="CDEAFA"/>
          </w:tcPr>
          <w:p>
            <w:pPr>
              <w:spacing w:after="0"/>
              <w:rPr>
                <w:sz w:val="22"/>
                <w:szCs w:val="22"/>
                <w:color w:val="auto"/>
              </w:rPr>
            </w:pPr>
          </w:p>
        </w:tc>
        <w:tc>
          <w:tcPr>
            <w:tcW w:w="2480" w:type="dxa"/>
            <w:vAlign w:val="bottom"/>
            <w:shd w:val="clear" w:color="auto" w:fill="CDEAFA"/>
          </w:tcPr>
          <w:p>
            <w:pPr>
              <w:ind w:left="40"/>
              <w:spacing w:after="0" w:line="256" w:lineRule="exact"/>
              <w:rPr>
                <w:sz w:val="20"/>
                <w:szCs w:val="20"/>
                <w:color w:val="auto"/>
              </w:rPr>
            </w:pPr>
            <w:r>
              <w:rPr>
                <w:rFonts w:ascii="Arial" w:cs="Arial" w:eastAsia="Arial" w:hAnsi="Arial"/>
                <w:sz w:val="18"/>
                <w:szCs w:val="18"/>
                <w:color w:val="auto"/>
              </w:rPr>
              <w:t>May 22, 2031</w:t>
            </w:r>
            <w:r>
              <w:rPr>
                <w:rFonts w:ascii="Arial" w:cs="Arial" w:eastAsia="Arial" w:hAnsi="Arial"/>
                <w:sz w:val="29"/>
                <w:szCs w:val="29"/>
                <w:color w:val="auto"/>
                <w:vertAlign w:val="superscript"/>
              </w:rPr>
              <w:t>(g)</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44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10,072,086</w:t>
            </w: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September 19, 2031</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44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11,098,127</w:t>
            </w: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January 7, 2031</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44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8,080,248</w:t>
            </w: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June 1, 2027</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440" w:type="dxa"/>
            <w:vAlign w:val="bottom"/>
            <w:gridSpan w:val="2"/>
            <w:shd w:val="clear" w:color="auto" w:fill="CDEAFA"/>
          </w:tcPr>
          <w:p>
            <w:pPr>
              <w:ind w:left="140"/>
              <w:spacing w:after="0"/>
              <w:rPr>
                <w:sz w:val="20"/>
                <w:szCs w:val="20"/>
                <w:color w:val="auto"/>
              </w:rPr>
            </w:pPr>
            <w:r>
              <w:rPr>
                <w:rFonts w:ascii="Arial" w:cs="Arial" w:eastAsia="Arial" w:hAnsi="Arial"/>
                <w:sz w:val="18"/>
                <w:szCs w:val="18"/>
                <w:color w:val="auto"/>
              </w:rPr>
              <w:t>8,568,721</w:t>
            </w: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June 1, 2027</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DEAFA"/>
          </w:tcPr>
          <w:p>
            <w:pPr>
              <w:spacing w:after="0"/>
              <w:rPr>
                <w:sz w:val="18"/>
                <w:szCs w:val="18"/>
                <w:color w:val="auto"/>
              </w:rPr>
            </w:pPr>
          </w:p>
        </w:tc>
        <w:tc>
          <w:tcPr>
            <w:tcW w:w="1340" w:type="dxa"/>
            <w:vAlign w:val="bottom"/>
            <w:shd w:val="clear" w:color="auto" w:fill="CDEAFA"/>
          </w:tcPr>
          <w:p>
            <w:pPr>
              <w:ind w:left="40"/>
              <w:spacing w:after="0"/>
              <w:rPr>
                <w:sz w:val="20"/>
                <w:szCs w:val="20"/>
                <w:color w:val="auto"/>
              </w:rPr>
            </w:pPr>
            <w:r>
              <w:rPr>
                <w:rFonts w:ascii="Arial" w:cs="Arial" w:eastAsia="Arial" w:hAnsi="Arial"/>
                <w:sz w:val="18"/>
                <w:szCs w:val="18"/>
                <w:color w:val="auto"/>
              </w:rPr>
              <w:t>9,943,594</w:t>
            </w: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December 28, 2033</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DEAFA"/>
          </w:tcPr>
          <w:p>
            <w:pPr>
              <w:spacing w:after="0"/>
              <w:rPr>
                <w:sz w:val="18"/>
                <w:szCs w:val="18"/>
                <w:color w:val="auto"/>
              </w:rPr>
            </w:pPr>
          </w:p>
        </w:tc>
        <w:tc>
          <w:tcPr>
            <w:tcW w:w="1340" w:type="dxa"/>
            <w:vAlign w:val="bottom"/>
            <w:shd w:val="clear" w:color="auto" w:fill="CDEAFA"/>
          </w:tcPr>
          <w:p>
            <w:pPr>
              <w:ind w:left="40"/>
              <w:spacing w:after="0"/>
              <w:rPr>
                <w:sz w:val="20"/>
                <w:szCs w:val="20"/>
                <w:color w:val="auto"/>
              </w:rPr>
            </w:pPr>
            <w:r>
              <w:rPr>
                <w:rFonts w:ascii="Arial" w:cs="Arial" w:eastAsia="Arial" w:hAnsi="Arial"/>
                <w:sz w:val="18"/>
                <w:szCs w:val="18"/>
                <w:color w:val="auto"/>
              </w:rPr>
              <w:t>10,927,435</w:t>
            </w: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October 10, 2032</w:t>
            </w:r>
          </w:p>
        </w:tc>
        <w:tc>
          <w:tcPr>
            <w:tcW w:w="0" w:type="dxa"/>
            <w:vAlign w:val="bottom"/>
          </w:tcPr>
          <w:p>
            <w:pPr>
              <w:spacing w:after="0"/>
              <w:rPr>
                <w:sz w:val="1"/>
                <w:szCs w:val="1"/>
                <w:color w:val="auto"/>
              </w:rPr>
            </w:pPr>
          </w:p>
        </w:tc>
      </w:tr>
      <w:tr>
        <w:trPr>
          <w:trHeight w:val="257"/>
        </w:trPr>
        <w:tc>
          <w:tcPr>
            <w:tcW w:w="1360" w:type="dxa"/>
            <w:vAlign w:val="bottom"/>
            <w:shd w:val="clear" w:color="auto" w:fill="CDEAFA"/>
          </w:tcPr>
          <w:p>
            <w:pPr>
              <w:spacing w:after="0"/>
              <w:rPr>
                <w:sz w:val="22"/>
                <w:szCs w:val="22"/>
                <w:color w:val="auto"/>
              </w:rPr>
            </w:pPr>
          </w:p>
        </w:tc>
        <w:tc>
          <w:tcPr>
            <w:tcW w:w="120" w:type="dxa"/>
            <w:vAlign w:val="bottom"/>
            <w:shd w:val="clear" w:color="auto" w:fill="CDEAFA"/>
          </w:tcPr>
          <w:p>
            <w:pPr>
              <w:spacing w:after="0"/>
              <w:rPr>
                <w:sz w:val="22"/>
                <w:szCs w:val="22"/>
                <w:color w:val="auto"/>
              </w:rPr>
            </w:pPr>
          </w:p>
        </w:tc>
        <w:tc>
          <w:tcPr>
            <w:tcW w:w="1340" w:type="dxa"/>
            <w:vAlign w:val="bottom"/>
            <w:shd w:val="clear" w:color="auto" w:fill="CDEAFA"/>
          </w:tcPr>
          <w:p>
            <w:pPr>
              <w:spacing w:after="0"/>
              <w:rPr>
                <w:sz w:val="22"/>
                <w:szCs w:val="22"/>
                <w:color w:val="auto"/>
              </w:rPr>
            </w:pPr>
          </w:p>
        </w:tc>
        <w:tc>
          <w:tcPr>
            <w:tcW w:w="140" w:type="dxa"/>
            <w:vAlign w:val="bottom"/>
            <w:shd w:val="clear" w:color="auto" w:fill="CDEAFA"/>
          </w:tcPr>
          <w:p>
            <w:pPr>
              <w:spacing w:after="0"/>
              <w:rPr>
                <w:sz w:val="22"/>
                <w:szCs w:val="22"/>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DEAFA"/>
          </w:tcPr>
          <w:p>
            <w:pPr>
              <w:spacing w:after="0"/>
              <w:rPr>
                <w:sz w:val="22"/>
                <w:szCs w:val="22"/>
                <w:color w:val="auto"/>
              </w:rPr>
            </w:pPr>
          </w:p>
        </w:tc>
        <w:tc>
          <w:tcPr>
            <w:tcW w:w="1340" w:type="dxa"/>
            <w:vAlign w:val="bottom"/>
            <w:shd w:val="clear" w:color="auto" w:fill="CDEAFA"/>
          </w:tcPr>
          <w:p>
            <w:pPr>
              <w:ind w:left="40"/>
              <w:spacing w:after="0"/>
              <w:rPr>
                <w:sz w:val="20"/>
                <w:szCs w:val="20"/>
                <w:color w:val="auto"/>
              </w:rPr>
            </w:pPr>
            <w:r>
              <w:rPr>
                <w:rFonts w:ascii="Arial" w:cs="Arial" w:eastAsia="Arial" w:hAnsi="Arial"/>
                <w:sz w:val="18"/>
                <w:szCs w:val="18"/>
                <w:color w:val="auto"/>
              </w:rPr>
              <w:t>2041177</w:t>
            </w:r>
          </w:p>
        </w:tc>
        <w:tc>
          <w:tcPr>
            <w:tcW w:w="120" w:type="dxa"/>
            <w:vAlign w:val="bottom"/>
            <w:shd w:val="clear" w:color="auto" w:fill="CDEAFA"/>
          </w:tcPr>
          <w:p>
            <w:pPr>
              <w:spacing w:after="0"/>
              <w:rPr>
                <w:sz w:val="22"/>
                <w:szCs w:val="22"/>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Composition of Matter</w:t>
            </w:r>
          </w:p>
        </w:tc>
        <w:tc>
          <w:tcPr>
            <w:tcW w:w="100" w:type="dxa"/>
            <w:vAlign w:val="bottom"/>
            <w:shd w:val="clear" w:color="auto" w:fill="CDEAFA"/>
          </w:tcPr>
          <w:p>
            <w:pPr>
              <w:spacing w:after="0"/>
              <w:rPr>
                <w:sz w:val="22"/>
                <w:szCs w:val="22"/>
                <w:color w:val="auto"/>
              </w:rPr>
            </w:pPr>
          </w:p>
        </w:tc>
        <w:tc>
          <w:tcPr>
            <w:tcW w:w="2480" w:type="dxa"/>
            <w:vAlign w:val="bottom"/>
            <w:shd w:val="clear" w:color="auto" w:fill="CDEAFA"/>
          </w:tcPr>
          <w:p>
            <w:pPr>
              <w:ind w:left="40"/>
              <w:spacing w:after="0" w:line="256" w:lineRule="exact"/>
              <w:rPr>
                <w:sz w:val="20"/>
                <w:szCs w:val="20"/>
                <w:color w:val="auto"/>
              </w:rPr>
            </w:pPr>
            <w:r>
              <w:rPr>
                <w:rFonts w:ascii="Arial" w:cs="Arial" w:eastAsia="Arial" w:hAnsi="Arial"/>
                <w:sz w:val="18"/>
                <w:szCs w:val="18"/>
                <w:color w:val="auto"/>
              </w:rPr>
              <w:t>June 1, 2027</w:t>
            </w:r>
            <w:r>
              <w:rPr>
                <w:rFonts w:ascii="Arial" w:cs="Arial" w:eastAsia="Arial" w:hAnsi="Arial"/>
                <w:sz w:val="29"/>
                <w:szCs w:val="29"/>
                <w:color w:val="auto"/>
                <w:vertAlign w:val="superscript"/>
              </w:rPr>
              <w:t>(c)</w:t>
            </w:r>
          </w:p>
        </w:tc>
        <w:tc>
          <w:tcPr>
            <w:tcW w:w="0" w:type="dxa"/>
            <w:vAlign w:val="bottom"/>
          </w:tcPr>
          <w:p>
            <w:pPr>
              <w:spacing w:after="0"/>
              <w:rPr>
                <w:sz w:val="1"/>
                <w:szCs w:val="1"/>
                <w:color w:val="auto"/>
              </w:rPr>
            </w:pPr>
          </w:p>
        </w:tc>
      </w:tr>
      <w:tr>
        <w:trPr>
          <w:trHeight w:val="203"/>
        </w:trPr>
        <w:tc>
          <w:tcPr>
            <w:tcW w:w="1360" w:type="dxa"/>
            <w:vAlign w:val="bottom"/>
            <w:shd w:val="clear" w:color="auto" w:fill="CDEAFA"/>
          </w:tcPr>
          <w:p>
            <w:pPr>
              <w:spacing w:after="0"/>
              <w:rPr>
                <w:sz w:val="17"/>
                <w:szCs w:val="17"/>
                <w:color w:val="auto"/>
              </w:rPr>
            </w:pPr>
          </w:p>
        </w:tc>
        <w:tc>
          <w:tcPr>
            <w:tcW w:w="120" w:type="dxa"/>
            <w:vAlign w:val="bottom"/>
            <w:shd w:val="clear" w:color="auto" w:fill="CDEAFA"/>
          </w:tcPr>
          <w:p>
            <w:pPr>
              <w:spacing w:after="0"/>
              <w:rPr>
                <w:sz w:val="17"/>
                <w:szCs w:val="17"/>
                <w:color w:val="auto"/>
              </w:rPr>
            </w:pPr>
          </w:p>
        </w:tc>
        <w:tc>
          <w:tcPr>
            <w:tcW w:w="13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1340" w:type="dxa"/>
            <w:vAlign w:val="bottom"/>
            <w:shd w:val="clear" w:color="auto" w:fill="CDEAFA"/>
          </w:tcPr>
          <w:p>
            <w:pPr>
              <w:ind w:left="20"/>
              <w:spacing w:after="0" w:line="202" w:lineRule="exact"/>
              <w:rPr>
                <w:sz w:val="20"/>
                <w:szCs w:val="20"/>
                <w:color w:val="auto"/>
              </w:rPr>
            </w:pPr>
            <w:r>
              <w:rPr>
                <w:rFonts w:ascii="Arial" w:cs="Arial" w:eastAsia="Arial" w:hAnsi="Arial"/>
                <w:sz w:val="18"/>
                <w:szCs w:val="18"/>
                <w:color w:val="auto"/>
              </w:rPr>
              <w:t>EP</w:t>
            </w:r>
          </w:p>
        </w:tc>
        <w:tc>
          <w:tcPr>
            <w:tcW w:w="100" w:type="dxa"/>
            <w:vAlign w:val="bottom"/>
            <w:shd w:val="clear" w:color="auto" w:fill="CDEAFA"/>
          </w:tcPr>
          <w:p>
            <w:pPr>
              <w:spacing w:after="0"/>
              <w:rPr>
                <w:sz w:val="17"/>
                <w:szCs w:val="17"/>
                <w:color w:val="auto"/>
              </w:rPr>
            </w:pPr>
          </w:p>
        </w:tc>
        <w:tc>
          <w:tcPr>
            <w:tcW w:w="1340" w:type="dxa"/>
            <w:vAlign w:val="bottom"/>
            <w:shd w:val="clear" w:color="auto" w:fill="CDEAFA"/>
          </w:tcPr>
          <w:p>
            <w:pPr>
              <w:ind w:left="40"/>
              <w:spacing w:after="0" w:line="202" w:lineRule="exact"/>
              <w:rPr>
                <w:sz w:val="20"/>
                <w:szCs w:val="20"/>
                <w:color w:val="auto"/>
              </w:rPr>
            </w:pPr>
            <w:r>
              <w:rPr>
                <w:rFonts w:ascii="Arial" w:cs="Arial" w:eastAsia="Arial" w:hAnsi="Arial"/>
                <w:sz w:val="18"/>
                <w:szCs w:val="18"/>
                <w:color w:val="auto"/>
              </w:rPr>
              <w:t>2041177</w:t>
            </w:r>
          </w:p>
        </w:tc>
        <w:tc>
          <w:tcPr>
            <w:tcW w:w="120" w:type="dxa"/>
            <w:vAlign w:val="bottom"/>
            <w:shd w:val="clear" w:color="auto" w:fill="CDEAFA"/>
          </w:tcPr>
          <w:p>
            <w:pPr>
              <w:spacing w:after="0"/>
              <w:rPr>
                <w:sz w:val="17"/>
                <w:szCs w:val="17"/>
                <w:color w:val="auto"/>
              </w:rPr>
            </w:pPr>
          </w:p>
        </w:tc>
        <w:tc>
          <w:tcPr>
            <w:tcW w:w="2800" w:type="dxa"/>
            <w:vAlign w:val="bottom"/>
            <w:shd w:val="clear" w:color="auto" w:fill="CDEAFA"/>
          </w:tcPr>
          <w:p>
            <w:pPr>
              <w:ind w:left="20"/>
              <w:spacing w:after="0" w:line="202" w:lineRule="exact"/>
              <w:rPr>
                <w:sz w:val="20"/>
                <w:szCs w:val="20"/>
                <w:color w:val="auto"/>
              </w:rPr>
            </w:pPr>
            <w:r>
              <w:rPr>
                <w:rFonts w:ascii="Arial" w:cs="Arial" w:eastAsia="Arial" w:hAnsi="Arial"/>
                <w:sz w:val="18"/>
                <w:szCs w:val="18"/>
                <w:color w:val="auto"/>
              </w:rPr>
              <w:t>(Supplementary Protection</w:t>
            </w:r>
          </w:p>
        </w:tc>
        <w:tc>
          <w:tcPr>
            <w:tcW w:w="100" w:type="dxa"/>
            <w:vAlign w:val="bottom"/>
            <w:shd w:val="clear" w:color="auto" w:fill="CDEAFA"/>
          </w:tcPr>
          <w:p>
            <w:pPr>
              <w:spacing w:after="0"/>
              <w:rPr>
                <w:sz w:val="17"/>
                <w:szCs w:val="17"/>
                <w:color w:val="auto"/>
              </w:rPr>
            </w:pPr>
          </w:p>
        </w:tc>
        <w:tc>
          <w:tcPr>
            <w:tcW w:w="2480" w:type="dxa"/>
            <w:vAlign w:val="bottom"/>
            <w:shd w:val="clear" w:color="auto" w:fill="CDEAFA"/>
          </w:tcPr>
          <w:p>
            <w:pPr>
              <w:ind w:left="40"/>
              <w:spacing w:after="0" w:line="202" w:lineRule="exact"/>
              <w:rPr>
                <w:sz w:val="20"/>
                <w:szCs w:val="20"/>
                <w:color w:val="auto"/>
              </w:rPr>
            </w:pPr>
            <w:r>
              <w:rPr>
                <w:rFonts w:ascii="Arial" w:cs="Arial" w:eastAsia="Arial" w:hAnsi="Arial"/>
                <w:sz w:val="15"/>
                <w:szCs w:val="15"/>
                <w:color w:val="auto"/>
              </w:rPr>
              <w:t>(June 1, 2032)</w:t>
            </w:r>
            <w:r>
              <w:rPr>
                <w:rFonts w:ascii="Arial" w:cs="Arial" w:eastAsia="Arial" w:hAnsi="Arial"/>
                <w:sz w:val="23"/>
                <w:szCs w:val="23"/>
                <w:color w:val="auto"/>
                <w:vertAlign w:val="superscript"/>
              </w:rPr>
              <w:t>(c)</w:t>
            </w:r>
          </w:p>
        </w:tc>
        <w:tc>
          <w:tcPr>
            <w:tcW w:w="0" w:type="dxa"/>
            <w:vAlign w:val="bottom"/>
          </w:tcPr>
          <w:p>
            <w:pPr>
              <w:spacing w:after="0"/>
              <w:rPr>
                <w:sz w:val="1"/>
                <w:szCs w:val="1"/>
                <w:color w:val="auto"/>
              </w:rPr>
            </w:pPr>
          </w:p>
        </w:tc>
      </w:tr>
      <w:tr>
        <w:trPr>
          <w:trHeight w:val="229"/>
        </w:trPr>
        <w:tc>
          <w:tcPr>
            <w:tcW w:w="136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340" w:type="dxa"/>
            <w:vAlign w:val="bottom"/>
            <w:shd w:val="clear" w:color="auto" w:fill="CDEAFA"/>
          </w:tcPr>
          <w:p>
            <w:pPr>
              <w:spacing w:after="0"/>
              <w:rPr>
                <w:sz w:val="19"/>
                <w:szCs w:val="19"/>
                <w:color w:val="auto"/>
              </w:rPr>
            </w:pPr>
          </w:p>
        </w:tc>
        <w:tc>
          <w:tcPr>
            <w:tcW w:w="140" w:type="dxa"/>
            <w:vAlign w:val="bottom"/>
            <w:shd w:val="clear" w:color="auto" w:fill="CDEAFA"/>
          </w:tcPr>
          <w:p>
            <w:pPr>
              <w:spacing w:after="0"/>
              <w:rPr>
                <w:sz w:val="19"/>
                <w:szCs w:val="19"/>
                <w:color w:val="auto"/>
              </w:rPr>
            </w:pPr>
          </w:p>
        </w:tc>
        <w:tc>
          <w:tcPr>
            <w:tcW w:w="1340" w:type="dxa"/>
            <w:vAlign w:val="bottom"/>
            <w:shd w:val="clear" w:color="auto" w:fill="CDEAFA"/>
          </w:tcPr>
          <w:p>
            <w:pPr>
              <w:spacing w:after="0"/>
              <w:rPr>
                <w:sz w:val="19"/>
                <w:szCs w:val="19"/>
                <w:color w:val="auto"/>
              </w:rPr>
            </w:pPr>
          </w:p>
        </w:tc>
        <w:tc>
          <w:tcPr>
            <w:tcW w:w="100" w:type="dxa"/>
            <w:vAlign w:val="bottom"/>
            <w:shd w:val="clear" w:color="auto" w:fill="CDEAFA"/>
          </w:tcPr>
          <w:p>
            <w:pPr>
              <w:spacing w:after="0"/>
              <w:rPr>
                <w:sz w:val="19"/>
                <w:szCs w:val="19"/>
                <w:color w:val="auto"/>
              </w:rPr>
            </w:pPr>
          </w:p>
        </w:tc>
        <w:tc>
          <w:tcPr>
            <w:tcW w:w="134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Certificate)</w:t>
            </w:r>
          </w:p>
        </w:tc>
        <w:tc>
          <w:tcPr>
            <w:tcW w:w="100" w:type="dxa"/>
            <w:vAlign w:val="bottom"/>
            <w:shd w:val="clear" w:color="auto" w:fill="CDEAFA"/>
          </w:tcPr>
          <w:p>
            <w:pPr>
              <w:spacing w:after="0"/>
              <w:rPr>
                <w:sz w:val="19"/>
                <w:szCs w:val="19"/>
                <w:color w:val="auto"/>
              </w:rPr>
            </w:pPr>
          </w:p>
        </w:tc>
        <w:tc>
          <w:tcPr>
            <w:tcW w:w="2480" w:type="dxa"/>
            <w:vAlign w:val="bottom"/>
            <w:shd w:val="clear" w:color="auto" w:fill="CDEAFA"/>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DEAFA"/>
          </w:tcPr>
          <w:p>
            <w:pPr>
              <w:spacing w:after="0"/>
              <w:rPr>
                <w:sz w:val="18"/>
                <w:szCs w:val="18"/>
                <w:color w:val="auto"/>
              </w:rPr>
            </w:pPr>
          </w:p>
        </w:tc>
        <w:tc>
          <w:tcPr>
            <w:tcW w:w="1340" w:type="dxa"/>
            <w:vAlign w:val="bottom"/>
            <w:shd w:val="clear" w:color="auto" w:fill="CDEAFA"/>
          </w:tcPr>
          <w:p>
            <w:pPr>
              <w:ind w:left="40"/>
              <w:spacing w:after="0"/>
              <w:rPr>
                <w:sz w:val="20"/>
                <w:szCs w:val="20"/>
                <w:color w:val="auto"/>
              </w:rPr>
            </w:pPr>
            <w:r>
              <w:rPr>
                <w:rFonts w:ascii="Arial" w:cs="Arial" w:eastAsia="Arial" w:hAnsi="Arial"/>
                <w:sz w:val="18"/>
                <w:szCs w:val="18"/>
                <w:color w:val="auto"/>
              </w:rPr>
              <w:t>2766039</w:t>
            </w: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October 10, 2032</w:t>
            </w:r>
          </w:p>
        </w:tc>
        <w:tc>
          <w:tcPr>
            <w:tcW w:w="0" w:type="dxa"/>
            <w:vAlign w:val="bottom"/>
          </w:tcPr>
          <w:p>
            <w:pPr>
              <w:spacing w:after="0"/>
              <w:rPr>
                <w:sz w:val="1"/>
                <w:szCs w:val="1"/>
                <w:color w:val="auto"/>
              </w:rPr>
            </w:pPr>
          </w:p>
        </w:tc>
      </w:tr>
      <w:tr>
        <w:trPr>
          <w:trHeight w:val="202"/>
        </w:trPr>
        <w:tc>
          <w:tcPr>
            <w:tcW w:w="1360" w:type="dxa"/>
            <w:vAlign w:val="bottom"/>
            <w:shd w:val="clear" w:color="auto" w:fill="CDEAFA"/>
          </w:tcPr>
          <w:p>
            <w:pPr>
              <w:spacing w:after="0"/>
              <w:rPr>
                <w:sz w:val="17"/>
                <w:szCs w:val="17"/>
                <w:color w:val="auto"/>
              </w:rPr>
            </w:pPr>
          </w:p>
        </w:tc>
        <w:tc>
          <w:tcPr>
            <w:tcW w:w="120" w:type="dxa"/>
            <w:vAlign w:val="bottom"/>
            <w:shd w:val="clear" w:color="auto" w:fill="CDEAFA"/>
          </w:tcPr>
          <w:p>
            <w:pPr>
              <w:spacing w:after="0"/>
              <w:rPr>
                <w:sz w:val="17"/>
                <w:szCs w:val="17"/>
                <w:color w:val="auto"/>
              </w:rPr>
            </w:pPr>
          </w:p>
        </w:tc>
        <w:tc>
          <w:tcPr>
            <w:tcW w:w="13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1340" w:type="dxa"/>
            <w:vAlign w:val="bottom"/>
            <w:shd w:val="clear" w:color="auto" w:fill="CDEAFA"/>
          </w:tcPr>
          <w:p>
            <w:pPr>
              <w:ind w:left="20"/>
              <w:spacing w:after="0" w:line="201" w:lineRule="exact"/>
              <w:rPr>
                <w:sz w:val="20"/>
                <w:szCs w:val="20"/>
                <w:color w:val="auto"/>
              </w:rPr>
            </w:pPr>
            <w:r>
              <w:rPr>
                <w:rFonts w:ascii="Arial" w:cs="Arial" w:eastAsia="Arial" w:hAnsi="Arial"/>
                <w:sz w:val="18"/>
                <w:szCs w:val="18"/>
                <w:color w:val="auto"/>
              </w:rPr>
              <w:t>EP</w:t>
            </w:r>
          </w:p>
        </w:tc>
        <w:tc>
          <w:tcPr>
            <w:tcW w:w="100" w:type="dxa"/>
            <w:vAlign w:val="bottom"/>
            <w:shd w:val="clear" w:color="auto" w:fill="CDEAFA"/>
          </w:tcPr>
          <w:p>
            <w:pPr>
              <w:spacing w:after="0"/>
              <w:rPr>
                <w:sz w:val="17"/>
                <w:szCs w:val="17"/>
                <w:color w:val="auto"/>
              </w:rPr>
            </w:pPr>
          </w:p>
        </w:tc>
        <w:tc>
          <w:tcPr>
            <w:tcW w:w="1340" w:type="dxa"/>
            <w:vAlign w:val="bottom"/>
            <w:shd w:val="clear" w:color="auto" w:fill="CDEAFA"/>
          </w:tcPr>
          <w:p>
            <w:pPr>
              <w:ind w:left="40"/>
              <w:spacing w:after="0" w:line="201" w:lineRule="exact"/>
              <w:rPr>
                <w:sz w:val="20"/>
                <w:szCs w:val="20"/>
                <w:color w:val="auto"/>
              </w:rPr>
            </w:pPr>
            <w:r>
              <w:rPr>
                <w:rFonts w:ascii="Arial" w:cs="Arial" w:eastAsia="Arial" w:hAnsi="Arial"/>
                <w:sz w:val="18"/>
                <w:szCs w:val="18"/>
                <w:color w:val="auto"/>
              </w:rPr>
              <w:t>3071230</w:t>
            </w:r>
          </w:p>
        </w:tc>
        <w:tc>
          <w:tcPr>
            <w:tcW w:w="120" w:type="dxa"/>
            <w:vAlign w:val="bottom"/>
            <w:shd w:val="clear" w:color="auto" w:fill="CDEAFA"/>
          </w:tcPr>
          <w:p>
            <w:pPr>
              <w:spacing w:after="0"/>
              <w:rPr>
                <w:sz w:val="17"/>
                <w:szCs w:val="17"/>
                <w:color w:val="auto"/>
              </w:rPr>
            </w:pPr>
          </w:p>
        </w:tc>
        <w:tc>
          <w:tcPr>
            <w:tcW w:w="2800" w:type="dxa"/>
            <w:vAlign w:val="bottom"/>
            <w:shd w:val="clear" w:color="auto" w:fill="CDEAFA"/>
          </w:tcPr>
          <w:p>
            <w:pPr>
              <w:ind w:left="20"/>
              <w:spacing w:after="0" w:line="201" w:lineRule="exact"/>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17"/>
                <w:szCs w:val="17"/>
                <w:color w:val="auto"/>
              </w:rPr>
            </w:pPr>
          </w:p>
        </w:tc>
        <w:tc>
          <w:tcPr>
            <w:tcW w:w="2480" w:type="dxa"/>
            <w:vAlign w:val="bottom"/>
            <w:shd w:val="clear" w:color="auto" w:fill="CDEAFA"/>
          </w:tcPr>
          <w:p>
            <w:pPr>
              <w:ind w:left="40"/>
              <w:spacing w:after="0" w:line="201" w:lineRule="exact"/>
              <w:rPr>
                <w:sz w:val="20"/>
                <w:szCs w:val="20"/>
                <w:color w:val="auto"/>
              </w:rPr>
            </w:pPr>
            <w:r>
              <w:rPr>
                <w:rFonts w:ascii="Arial" w:cs="Arial" w:eastAsia="Arial" w:hAnsi="Arial"/>
                <w:sz w:val="18"/>
                <w:szCs w:val="18"/>
                <w:color w:val="auto"/>
              </w:rPr>
              <w:t>November 21, 2034</w:t>
            </w:r>
          </w:p>
        </w:tc>
        <w:tc>
          <w:tcPr>
            <w:tcW w:w="0" w:type="dxa"/>
            <w:vAlign w:val="bottom"/>
          </w:tcPr>
          <w:p>
            <w:pPr>
              <w:spacing w:after="0"/>
              <w:rPr>
                <w:sz w:val="1"/>
                <w:szCs w:val="1"/>
                <w:color w:val="auto"/>
              </w:rPr>
            </w:pPr>
          </w:p>
        </w:tc>
      </w:tr>
      <w:tr>
        <w:trPr>
          <w:trHeight w:val="216"/>
        </w:trPr>
        <w:tc>
          <w:tcPr>
            <w:tcW w:w="13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3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DEAFA"/>
          </w:tcPr>
          <w:p>
            <w:pPr>
              <w:spacing w:after="0"/>
              <w:rPr>
                <w:sz w:val="18"/>
                <w:szCs w:val="18"/>
                <w:color w:val="auto"/>
              </w:rPr>
            </w:pPr>
          </w:p>
        </w:tc>
        <w:tc>
          <w:tcPr>
            <w:tcW w:w="1340" w:type="dxa"/>
            <w:vAlign w:val="bottom"/>
            <w:shd w:val="clear" w:color="auto" w:fill="CDEAFA"/>
          </w:tcPr>
          <w:p>
            <w:pPr>
              <w:ind w:left="40"/>
              <w:spacing w:after="0"/>
              <w:rPr>
                <w:sz w:val="20"/>
                <w:szCs w:val="20"/>
                <w:color w:val="auto"/>
              </w:rPr>
            </w:pPr>
            <w:r>
              <w:rPr>
                <w:rFonts w:ascii="Arial" w:cs="Arial" w:eastAsia="Arial" w:hAnsi="Arial"/>
                <w:sz w:val="18"/>
                <w:szCs w:val="18"/>
                <w:color w:val="auto"/>
              </w:rPr>
              <w:t>3409269</w:t>
            </w:r>
          </w:p>
        </w:tc>
        <w:tc>
          <w:tcPr>
            <w:tcW w:w="120" w:type="dxa"/>
            <w:vAlign w:val="bottom"/>
            <w:shd w:val="clear" w:color="auto" w:fill="CDEAFA"/>
          </w:tcPr>
          <w:p>
            <w:pPr>
              <w:spacing w:after="0"/>
              <w:rPr>
                <w:sz w:val="18"/>
                <w:szCs w:val="18"/>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DEAFA"/>
          </w:tcPr>
          <w:p>
            <w:pPr>
              <w:spacing w:after="0"/>
              <w:rPr>
                <w:sz w:val="18"/>
                <w:szCs w:val="18"/>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January 7, 2031</w:t>
            </w:r>
          </w:p>
        </w:tc>
        <w:tc>
          <w:tcPr>
            <w:tcW w:w="0" w:type="dxa"/>
            <w:vAlign w:val="bottom"/>
          </w:tcPr>
          <w:p>
            <w:pPr>
              <w:spacing w:after="0"/>
              <w:rPr>
                <w:sz w:val="1"/>
                <w:szCs w:val="1"/>
                <w:color w:val="auto"/>
              </w:rPr>
            </w:pPr>
          </w:p>
        </w:tc>
      </w:tr>
      <w:tr>
        <w:trPr>
          <w:trHeight w:val="220"/>
        </w:trPr>
        <w:tc>
          <w:tcPr>
            <w:tcW w:w="136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340" w:type="dxa"/>
            <w:vAlign w:val="bottom"/>
            <w:shd w:val="clear" w:color="auto" w:fill="CDEAFA"/>
          </w:tcPr>
          <w:p>
            <w:pPr>
              <w:spacing w:after="0"/>
              <w:rPr>
                <w:sz w:val="19"/>
                <w:szCs w:val="19"/>
                <w:color w:val="auto"/>
              </w:rPr>
            </w:pPr>
          </w:p>
        </w:tc>
        <w:tc>
          <w:tcPr>
            <w:tcW w:w="140" w:type="dxa"/>
            <w:vAlign w:val="bottom"/>
            <w:shd w:val="clear" w:color="auto" w:fill="CDEAFA"/>
          </w:tcPr>
          <w:p>
            <w:pPr>
              <w:spacing w:after="0"/>
              <w:rPr>
                <w:sz w:val="19"/>
                <w:szCs w:val="19"/>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JP</w:t>
            </w:r>
          </w:p>
        </w:tc>
        <w:tc>
          <w:tcPr>
            <w:tcW w:w="100" w:type="dxa"/>
            <w:vAlign w:val="bottom"/>
            <w:shd w:val="clear" w:color="auto" w:fill="CDEAFA"/>
          </w:tcPr>
          <w:p>
            <w:pPr>
              <w:spacing w:after="0"/>
              <w:rPr>
                <w:sz w:val="19"/>
                <w:szCs w:val="19"/>
                <w:color w:val="auto"/>
              </w:rPr>
            </w:pPr>
          </w:p>
        </w:tc>
        <w:tc>
          <w:tcPr>
            <w:tcW w:w="1340" w:type="dxa"/>
            <w:vAlign w:val="bottom"/>
            <w:shd w:val="clear" w:color="auto" w:fill="CDEAFA"/>
          </w:tcPr>
          <w:p>
            <w:pPr>
              <w:ind w:left="40"/>
              <w:spacing w:after="0"/>
              <w:rPr>
                <w:sz w:val="20"/>
                <w:szCs w:val="20"/>
                <w:color w:val="auto"/>
              </w:rPr>
            </w:pPr>
            <w:r>
              <w:rPr>
                <w:rFonts w:ascii="Arial" w:cs="Arial" w:eastAsia="Arial" w:hAnsi="Arial"/>
                <w:sz w:val="18"/>
                <w:szCs w:val="18"/>
                <w:color w:val="auto"/>
              </w:rPr>
              <w:t>5,307,708</w:t>
            </w:r>
          </w:p>
        </w:tc>
        <w:tc>
          <w:tcPr>
            <w:tcW w:w="120" w:type="dxa"/>
            <w:vAlign w:val="bottom"/>
            <w:shd w:val="clear" w:color="auto" w:fill="CDEAFA"/>
          </w:tcPr>
          <w:p>
            <w:pPr>
              <w:spacing w:after="0"/>
              <w:rPr>
                <w:sz w:val="19"/>
                <w:szCs w:val="19"/>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Composition of Matter</w:t>
            </w:r>
          </w:p>
        </w:tc>
        <w:tc>
          <w:tcPr>
            <w:tcW w:w="100" w:type="dxa"/>
            <w:vAlign w:val="bottom"/>
            <w:shd w:val="clear" w:color="auto" w:fill="CDEAFA"/>
          </w:tcPr>
          <w:p>
            <w:pPr>
              <w:spacing w:after="0"/>
              <w:rPr>
                <w:sz w:val="19"/>
                <w:szCs w:val="19"/>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June 1, 2027 – August 22,</w:t>
            </w:r>
          </w:p>
        </w:tc>
        <w:tc>
          <w:tcPr>
            <w:tcW w:w="0" w:type="dxa"/>
            <w:vAlign w:val="bottom"/>
          </w:tcPr>
          <w:p>
            <w:pPr>
              <w:spacing w:after="0"/>
              <w:rPr>
                <w:sz w:val="1"/>
                <w:szCs w:val="1"/>
                <w:color w:val="auto"/>
              </w:rPr>
            </w:pPr>
          </w:p>
        </w:tc>
      </w:tr>
      <w:tr>
        <w:trPr>
          <w:trHeight w:val="253"/>
        </w:trPr>
        <w:tc>
          <w:tcPr>
            <w:tcW w:w="136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4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280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2480" w:type="dxa"/>
            <w:vAlign w:val="bottom"/>
            <w:shd w:val="clear" w:color="auto" w:fill="CDEAFA"/>
          </w:tcPr>
          <w:p>
            <w:pPr>
              <w:ind w:left="40"/>
              <w:spacing w:after="0" w:line="252" w:lineRule="exact"/>
              <w:rPr>
                <w:sz w:val="20"/>
                <w:szCs w:val="20"/>
                <w:color w:val="auto"/>
              </w:rPr>
            </w:pPr>
            <w:r>
              <w:rPr>
                <w:rFonts w:ascii="Arial" w:cs="Arial" w:eastAsia="Arial" w:hAnsi="Arial"/>
                <w:sz w:val="18"/>
                <w:szCs w:val="18"/>
                <w:color w:val="auto"/>
              </w:rPr>
              <w:t>2031</w:t>
            </w:r>
            <w:r>
              <w:rPr>
                <w:rFonts w:ascii="Arial" w:cs="Arial" w:eastAsia="Arial" w:hAnsi="Arial"/>
                <w:sz w:val="29"/>
                <w:szCs w:val="29"/>
                <w:color w:val="auto"/>
                <w:vertAlign w:val="superscript"/>
              </w:rPr>
              <w:t>(d)</w:t>
            </w:r>
          </w:p>
        </w:tc>
        <w:tc>
          <w:tcPr>
            <w:tcW w:w="0" w:type="dxa"/>
            <w:vAlign w:val="bottom"/>
          </w:tcPr>
          <w:p>
            <w:pPr>
              <w:spacing w:after="0"/>
              <w:rPr>
                <w:sz w:val="1"/>
                <w:szCs w:val="1"/>
                <w:color w:val="auto"/>
              </w:rPr>
            </w:pPr>
          </w:p>
        </w:tc>
      </w:tr>
      <w:tr>
        <w:trPr>
          <w:trHeight w:val="220"/>
        </w:trPr>
        <w:tc>
          <w:tcPr>
            <w:tcW w:w="136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340" w:type="dxa"/>
            <w:vAlign w:val="bottom"/>
            <w:shd w:val="clear" w:color="auto" w:fill="CDEAFA"/>
          </w:tcPr>
          <w:p>
            <w:pPr>
              <w:spacing w:after="0"/>
              <w:rPr>
                <w:sz w:val="19"/>
                <w:szCs w:val="19"/>
                <w:color w:val="auto"/>
              </w:rPr>
            </w:pPr>
          </w:p>
        </w:tc>
        <w:tc>
          <w:tcPr>
            <w:tcW w:w="140" w:type="dxa"/>
            <w:vAlign w:val="bottom"/>
            <w:shd w:val="clear" w:color="auto" w:fill="CDEAFA"/>
          </w:tcPr>
          <w:p>
            <w:pPr>
              <w:spacing w:after="0"/>
              <w:rPr>
                <w:sz w:val="19"/>
                <w:szCs w:val="19"/>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JP</w:t>
            </w:r>
          </w:p>
        </w:tc>
        <w:tc>
          <w:tcPr>
            <w:tcW w:w="100" w:type="dxa"/>
            <w:vAlign w:val="bottom"/>
            <w:shd w:val="clear" w:color="auto" w:fill="CDEAFA"/>
          </w:tcPr>
          <w:p>
            <w:pPr>
              <w:spacing w:after="0"/>
              <w:rPr>
                <w:sz w:val="19"/>
                <w:szCs w:val="19"/>
                <w:color w:val="auto"/>
              </w:rPr>
            </w:pPr>
          </w:p>
        </w:tc>
        <w:tc>
          <w:tcPr>
            <w:tcW w:w="1340" w:type="dxa"/>
            <w:vAlign w:val="bottom"/>
            <w:shd w:val="clear" w:color="auto" w:fill="CDEAFA"/>
          </w:tcPr>
          <w:p>
            <w:pPr>
              <w:ind w:left="40"/>
              <w:spacing w:after="0"/>
              <w:rPr>
                <w:sz w:val="20"/>
                <w:szCs w:val="20"/>
                <w:color w:val="auto"/>
              </w:rPr>
            </w:pPr>
            <w:r>
              <w:rPr>
                <w:rFonts w:ascii="Arial" w:cs="Arial" w:eastAsia="Arial" w:hAnsi="Arial"/>
                <w:sz w:val="18"/>
                <w:szCs w:val="18"/>
                <w:color w:val="auto"/>
              </w:rPr>
              <w:t>5,805,660</w:t>
            </w:r>
          </w:p>
        </w:tc>
        <w:tc>
          <w:tcPr>
            <w:tcW w:w="120" w:type="dxa"/>
            <w:vAlign w:val="bottom"/>
            <w:shd w:val="clear" w:color="auto" w:fill="CDEAFA"/>
          </w:tcPr>
          <w:p>
            <w:pPr>
              <w:spacing w:after="0"/>
              <w:rPr>
                <w:sz w:val="19"/>
                <w:szCs w:val="19"/>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Formulation</w:t>
            </w:r>
          </w:p>
        </w:tc>
        <w:tc>
          <w:tcPr>
            <w:tcW w:w="100" w:type="dxa"/>
            <w:vAlign w:val="bottom"/>
            <w:shd w:val="clear" w:color="auto" w:fill="CDEAFA"/>
          </w:tcPr>
          <w:p>
            <w:pPr>
              <w:spacing w:after="0"/>
              <w:rPr>
                <w:sz w:val="19"/>
                <w:szCs w:val="19"/>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w w:val="99"/>
              </w:rPr>
              <w:t>January 7, 2031 – October 24,</w:t>
            </w:r>
          </w:p>
        </w:tc>
        <w:tc>
          <w:tcPr>
            <w:tcW w:w="0" w:type="dxa"/>
            <w:vAlign w:val="bottom"/>
          </w:tcPr>
          <w:p>
            <w:pPr>
              <w:spacing w:after="0"/>
              <w:rPr>
                <w:sz w:val="1"/>
                <w:szCs w:val="1"/>
                <w:color w:val="auto"/>
              </w:rPr>
            </w:pPr>
          </w:p>
        </w:tc>
      </w:tr>
      <w:tr>
        <w:trPr>
          <w:trHeight w:val="253"/>
        </w:trPr>
        <w:tc>
          <w:tcPr>
            <w:tcW w:w="136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4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280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2480" w:type="dxa"/>
            <w:vAlign w:val="bottom"/>
            <w:shd w:val="clear" w:color="auto" w:fill="CDEAFA"/>
          </w:tcPr>
          <w:p>
            <w:pPr>
              <w:ind w:left="40"/>
              <w:spacing w:after="0" w:line="252" w:lineRule="exact"/>
              <w:rPr>
                <w:sz w:val="20"/>
                <w:szCs w:val="20"/>
                <w:color w:val="auto"/>
              </w:rPr>
            </w:pPr>
            <w:r>
              <w:rPr>
                <w:rFonts w:ascii="Arial" w:cs="Arial" w:eastAsia="Arial" w:hAnsi="Arial"/>
                <w:sz w:val="18"/>
                <w:szCs w:val="18"/>
                <w:color w:val="auto"/>
              </w:rPr>
              <w:t>2031</w:t>
            </w:r>
            <w:r>
              <w:rPr>
                <w:rFonts w:ascii="Arial" w:cs="Arial" w:eastAsia="Arial" w:hAnsi="Arial"/>
                <w:sz w:val="29"/>
                <w:szCs w:val="29"/>
                <w:color w:val="auto"/>
                <w:vertAlign w:val="superscript"/>
              </w:rPr>
              <w:t>(d)</w:t>
            </w:r>
          </w:p>
        </w:tc>
        <w:tc>
          <w:tcPr>
            <w:tcW w:w="0" w:type="dxa"/>
            <w:vAlign w:val="bottom"/>
          </w:tcPr>
          <w:p>
            <w:pPr>
              <w:spacing w:after="0"/>
              <w:rPr>
                <w:sz w:val="1"/>
                <w:szCs w:val="1"/>
                <w:color w:val="auto"/>
              </w:rPr>
            </w:pPr>
          </w:p>
        </w:tc>
      </w:tr>
      <w:tr>
        <w:trPr>
          <w:trHeight w:val="220"/>
        </w:trPr>
        <w:tc>
          <w:tcPr>
            <w:tcW w:w="136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340" w:type="dxa"/>
            <w:vAlign w:val="bottom"/>
            <w:shd w:val="clear" w:color="auto" w:fill="CDEAFA"/>
          </w:tcPr>
          <w:p>
            <w:pPr>
              <w:spacing w:after="0"/>
              <w:rPr>
                <w:sz w:val="19"/>
                <w:szCs w:val="19"/>
                <w:color w:val="auto"/>
              </w:rPr>
            </w:pPr>
          </w:p>
        </w:tc>
        <w:tc>
          <w:tcPr>
            <w:tcW w:w="140" w:type="dxa"/>
            <w:vAlign w:val="bottom"/>
            <w:shd w:val="clear" w:color="auto" w:fill="CDEAFA"/>
          </w:tcPr>
          <w:p>
            <w:pPr>
              <w:spacing w:after="0"/>
              <w:rPr>
                <w:sz w:val="19"/>
                <w:szCs w:val="19"/>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JP</w:t>
            </w:r>
          </w:p>
        </w:tc>
        <w:tc>
          <w:tcPr>
            <w:tcW w:w="100" w:type="dxa"/>
            <w:vAlign w:val="bottom"/>
            <w:shd w:val="clear" w:color="auto" w:fill="CDEAFA"/>
          </w:tcPr>
          <w:p>
            <w:pPr>
              <w:spacing w:after="0"/>
              <w:rPr>
                <w:sz w:val="19"/>
                <w:szCs w:val="19"/>
                <w:color w:val="auto"/>
              </w:rPr>
            </w:pPr>
          </w:p>
        </w:tc>
        <w:tc>
          <w:tcPr>
            <w:tcW w:w="1340" w:type="dxa"/>
            <w:vAlign w:val="bottom"/>
            <w:shd w:val="clear" w:color="auto" w:fill="CDEAFA"/>
          </w:tcPr>
          <w:p>
            <w:pPr>
              <w:ind w:left="40"/>
              <w:spacing w:after="0"/>
              <w:rPr>
                <w:sz w:val="20"/>
                <w:szCs w:val="20"/>
                <w:color w:val="auto"/>
              </w:rPr>
            </w:pPr>
            <w:r>
              <w:rPr>
                <w:rFonts w:ascii="Arial" w:cs="Arial" w:eastAsia="Arial" w:hAnsi="Arial"/>
                <w:sz w:val="18"/>
                <w:szCs w:val="18"/>
                <w:color w:val="auto"/>
              </w:rPr>
              <w:t>6,122,018</w:t>
            </w:r>
          </w:p>
        </w:tc>
        <w:tc>
          <w:tcPr>
            <w:tcW w:w="120" w:type="dxa"/>
            <w:vAlign w:val="bottom"/>
            <w:shd w:val="clear" w:color="auto" w:fill="CDEAFA"/>
          </w:tcPr>
          <w:p>
            <w:pPr>
              <w:spacing w:after="0"/>
              <w:rPr>
                <w:sz w:val="19"/>
                <w:szCs w:val="19"/>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19"/>
                <w:szCs w:val="19"/>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October 10, 2032 – March 29,</w:t>
            </w:r>
          </w:p>
        </w:tc>
        <w:tc>
          <w:tcPr>
            <w:tcW w:w="0" w:type="dxa"/>
            <w:vAlign w:val="bottom"/>
          </w:tcPr>
          <w:p>
            <w:pPr>
              <w:spacing w:after="0"/>
              <w:rPr>
                <w:sz w:val="1"/>
                <w:szCs w:val="1"/>
                <w:color w:val="auto"/>
              </w:rPr>
            </w:pPr>
          </w:p>
        </w:tc>
      </w:tr>
      <w:tr>
        <w:trPr>
          <w:trHeight w:val="253"/>
        </w:trPr>
        <w:tc>
          <w:tcPr>
            <w:tcW w:w="136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4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1340" w:type="dxa"/>
            <w:vAlign w:val="bottom"/>
            <w:shd w:val="clear" w:color="auto" w:fill="CDEAFA"/>
          </w:tcPr>
          <w:p>
            <w:pPr>
              <w:spacing w:after="0"/>
              <w:rPr>
                <w:sz w:val="21"/>
                <w:szCs w:val="21"/>
                <w:color w:val="auto"/>
              </w:rPr>
            </w:pPr>
          </w:p>
        </w:tc>
        <w:tc>
          <w:tcPr>
            <w:tcW w:w="120" w:type="dxa"/>
            <w:vAlign w:val="bottom"/>
            <w:shd w:val="clear" w:color="auto" w:fill="CDEAFA"/>
          </w:tcPr>
          <w:p>
            <w:pPr>
              <w:spacing w:after="0"/>
              <w:rPr>
                <w:sz w:val="21"/>
                <w:szCs w:val="21"/>
                <w:color w:val="auto"/>
              </w:rPr>
            </w:pPr>
          </w:p>
        </w:tc>
        <w:tc>
          <w:tcPr>
            <w:tcW w:w="2800" w:type="dxa"/>
            <w:vAlign w:val="bottom"/>
            <w:shd w:val="clear" w:color="auto" w:fill="CDEAFA"/>
          </w:tcPr>
          <w:p>
            <w:pPr>
              <w:spacing w:after="0"/>
              <w:rPr>
                <w:sz w:val="21"/>
                <w:szCs w:val="21"/>
                <w:color w:val="auto"/>
              </w:rPr>
            </w:pPr>
          </w:p>
        </w:tc>
        <w:tc>
          <w:tcPr>
            <w:tcW w:w="100" w:type="dxa"/>
            <w:vAlign w:val="bottom"/>
            <w:shd w:val="clear" w:color="auto" w:fill="CDEAFA"/>
          </w:tcPr>
          <w:p>
            <w:pPr>
              <w:spacing w:after="0"/>
              <w:rPr>
                <w:sz w:val="21"/>
                <w:szCs w:val="21"/>
                <w:color w:val="auto"/>
              </w:rPr>
            </w:pPr>
          </w:p>
        </w:tc>
        <w:tc>
          <w:tcPr>
            <w:tcW w:w="2480" w:type="dxa"/>
            <w:vAlign w:val="bottom"/>
            <w:shd w:val="clear" w:color="auto" w:fill="CDEAFA"/>
          </w:tcPr>
          <w:p>
            <w:pPr>
              <w:ind w:left="40"/>
              <w:spacing w:after="0" w:line="252" w:lineRule="exact"/>
              <w:rPr>
                <w:sz w:val="20"/>
                <w:szCs w:val="20"/>
                <w:color w:val="auto"/>
              </w:rPr>
            </w:pPr>
            <w:r>
              <w:rPr>
                <w:rFonts w:ascii="Arial" w:cs="Arial" w:eastAsia="Arial" w:hAnsi="Arial"/>
                <w:sz w:val="18"/>
                <w:szCs w:val="18"/>
                <w:color w:val="auto"/>
              </w:rPr>
              <w:t>2033</w:t>
            </w:r>
            <w:r>
              <w:rPr>
                <w:rFonts w:ascii="Arial" w:cs="Arial" w:eastAsia="Arial" w:hAnsi="Arial"/>
                <w:sz w:val="29"/>
                <w:szCs w:val="29"/>
                <w:color w:val="auto"/>
                <w:vertAlign w:val="superscript"/>
              </w:rPr>
              <w:t>(d)</w:t>
            </w:r>
          </w:p>
        </w:tc>
        <w:tc>
          <w:tcPr>
            <w:tcW w:w="0" w:type="dxa"/>
            <w:vAlign w:val="bottom"/>
          </w:tcPr>
          <w:p>
            <w:pPr>
              <w:spacing w:after="0"/>
              <w:rPr>
                <w:sz w:val="1"/>
                <w:szCs w:val="1"/>
                <w:color w:val="auto"/>
              </w:rPr>
            </w:pPr>
          </w:p>
        </w:tc>
      </w:tr>
      <w:tr>
        <w:trPr>
          <w:trHeight w:val="230"/>
        </w:trPr>
        <w:tc>
          <w:tcPr>
            <w:tcW w:w="1360" w:type="dxa"/>
            <w:vAlign w:val="bottom"/>
            <w:shd w:val="clear" w:color="auto" w:fill="CDEAFA"/>
          </w:tcPr>
          <w:p>
            <w:pPr>
              <w:spacing w:after="0"/>
              <w:rPr>
                <w:sz w:val="20"/>
                <w:szCs w:val="20"/>
                <w:color w:val="auto"/>
              </w:rPr>
            </w:pPr>
          </w:p>
        </w:tc>
        <w:tc>
          <w:tcPr>
            <w:tcW w:w="120" w:type="dxa"/>
            <w:vAlign w:val="bottom"/>
            <w:shd w:val="clear" w:color="auto" w:fill="CDEAFA"/>
          </w:tcPr>
          <w:p>
            <w:pPr>
              <w:spacing w:after="0"/>
              <w:rPr>
                <w:sz w:val="20"/>
                <w:szCs w:val="20"/>
                <w:color w:val="auto"/>
              </w:rPr>
            </w:pPr>
          </w:p>
        </w:tc>
        <w:tc>
          <w:tcPr>
            <w:tcW w:w="1340" w:type="dxa"/>
            <w:vAlign w:val="bottom"/>
            <w:shd w:val="clear" w:color="auto" w:fill="CDEAFA"/>
          </w:tcPr>
          <w:p>
            <w:pPr>
              <w:spacing w:after="0"/>
              <w:rPr>
                <w:sz w:val="20"/>
                <w:szCs w:val="20"/>
                <w:color w:val="auto"/>
              </w:rPr>
            </w:pPr>
          </w:p>
        </w:tc>
        <w:tc>
          <w:tcPr>
            <w:tcW w:w="140" w:type="dxa"/>
            <w:vAlign w:val="bottom"/>
            <w:shd w:val="clear" w:color="auto" w:fill="CDEAFA"/>
          </w:tcPr>
          <w:p>
            <w:pPr>
              <w:spacing w:after="0"/>
              <w:rPr>
                <w:sz w:val="20"/>
                <w:szCs w:val="20"/>
                <w:color w:val="auto"/>
              </w:rPr>
            </w:pPr>
          </w:p>
        </w:tc>
        <w:tc>
          <w:tcPr>
            <w:tcW w:w="1340" w:type="dxa"/>
            <w:vAlign w:val="bottom"/>
            <w:shd w:val="clear" w:color="auto" w:fill="CDEAFA"/>
          </w:tcPr>
          <w:p>
            <w:pPr>
              <w:ind w:left="20"/>
              <w:spacing w:after="0"/>
              <w:rPr>
                <w:sz w:val="20"/>
                <w:szCs w:val="20"/>
                <w:color w:val="auto"/>
              </w:rPr>
            </w:pPr>
            <w:r>
              <w:rPr>
                <w:rFonts w:ascii="Arial" w:cs="Arial" w:eastAsia="Arial" w:hAnsi="Arial"/>
                <w:sz w:val="18"/>
                <w:szCs w:val="18"/>
                <w:color w:val="auto"/>
              </w:rPr>
              <w:t>JP</w:t>
            </w:r>
          </w:p>
        </w:tc>
        <w:tc>
          <w:tcPr>
            <w:tcW w:w="100" w:type="dxa"/>
            <w:vAlign w:val="bottom"/>
            <w:shd w:val="clear" w:color="auto" w:fill="CDEAFA"/>
          </w:tcPr>
          <w:p>
            <w:pPr>
              <w:spacing w:after="0"/>
              <w:rPr>
                <w:sz w:val="20"/>
                <w:szCs w:val="20"/>
                <w:color w:val="auto"/>
              </w:rPr>
            </w:pPr>
          </w:p>
        </w:tc>
        <w:tc>
          <w:tcPr>
            <w:tcW w:w="1340" w:type="dxa"/>
            <w:vAlign w:val="bottom"/>
            <w:shd w:val="clear" w:color="auto" w:fill="CDEAFA"/>
          </w:tcPr>
          <w:p>
            <w:pPr>
              <w:ind w:left="40"/>
              <w:spacing w:after="0"/>
              <w:rPr>
                <w:sz w:val="20"/>
                <w:szCs w:val="20"/>
                <w:color w:val="auto"/>
              </w:rPr>
            </w:pPr>
            <w:r>
              <w:rPr>
                <w:rFonts w:ascii="Arial" w:cs="Arial" w:eastAsia="Arial" w:hAnsi="Arial"/>
                <w:sz w:val="18"/>
                <w:szCs w:val="18"/>
                <w:color w:val="auto"/>
              </w:rPr>
              <w:t>6,657,089</w:t>
            </w:r>
          </w:p>
        </w:tc>
        <w:tc>
          <w:tcPr>
            <w:tcW w:w="120" w:type="dxa"/>
            <w:vAlign w:val="bottom"/>
            <w:shd w:val="clear" w:color="auto" w:fill="CDEAFA"/>
          </w:tcPr>
          <w:p>
            <w:pPr>
              <w:spacing w:after="0"/>
              <w:rPr>
                <w:sz w:val="20"/>
                <w:szCs w:val="20"/>
                <w:color w:val="auto"/>
              </w:rPr>
            </w:pPr>
          </w:p>
        </w:tc>
        <w:tc>
          <w:tcPr>
            <w:tcW w:w="2800" w:type="dxa"/>
            <w:vAlign w:val="bottom"/>
            <w:shd w:val="clear" w:color="auto" w:fill="CDEAFA"/>
          </w:tcPr>
          <w:p>
            <w:pPr>
              <w:ind w:left="20"/>
              <w:spacing w:after="0"/>
              <w:rPr>
                <w:sz w:val="20"/>
                <w:szCs w:val="20"/>
                <w:color w:val="auto"/>
              </w:rPr>
            </w:pPr>
            <w:r>
              <w:rPr>
                <w:rFonts w:ascii="Arial" w:cs="Arial" w:eastAsia="Arial" w:hAnsi="Arial"/>
                <w:sz w:val="18"/>
                <w:szCs w:val="18"/>
                <w:color w:val="auto"/>
              </w:rPr>
              <w:t>Methods of Treatment</w:t>
            </w:r>
          </w:p>
        </w:tc>
        <w:tc>
          <w:tcPr>
            <w:tcW w:w="100" w:type="dxa"/>
            <w:vAlign w:val="bottom"/>
            <w:shd w:val="clear" w:color="auto" w:fill="CDEAFA"/>
          </w:tcPr>
          <w:p>
            <w:pPr>
              <w:spacing w:after="0"/>
              <w:rPr>
                <w:sz w:val="20"/>
                <w:szCs w:val="20"/>
                <w:color w:val="auto"/>
              </w:rPr>
            </w:pPr>
          </w:p>
        </w:tc>
        <w:tc>
          <w:tcPr>
            <w:tcW w:w="2480" w:type="dxa"/>
            <w:vAlign w:val="bottom"/>
            <w:shd w:val="clear" w:color="auto" w:fill="CDEAFA"/>
          </w:tcPr>
          <w:p>
            <w:pPr>
              <w:ind w:left="40"/>
              <w:spacing w:after="0"/>
              <w:rPr>
                <w:sz w:val="20"/>
                <w:szCs w:val="20"/>
                <w:color w:val="auto"/>
              </w:rPr>
            </w:pPr>
            <w:r>
              <w:rPr>
                <w:rFonts w:ascii="Arial" w:cs="Arial" w:eastAsia="Arial" w:hAnsi="Arial"/>
                <w:sz w:val="18"/>
                <w:szCs w:val="18"/>
                <w:color w:val="auto"/>
              </w:rPr>
              <w:t>November 21, 2034</w:t>
            </w:r>
          </w:p>
        </w:tc>
        <w:tc>
          <w:tcPr>
            <w:tcW w:w="0" w:type="dxa"/>
            <w:vAlign w:val="bottom"/>
          </w:tcPr>
          <w:p>
            <w:pPr>
              <w:spacing w:after="0"/>
              <w:rPr>
                <w:sz w:val="1"/>
                <w:szCs w:val="1"/>
                <w:color w:val="auto"/>
              </w:rPr>
            </w:pPr>
          </w:p>
        </w:tc>
      </w:tr>
      <w:tr>
        <w:trPr>
          <w:trHeight w:val="203"/>
        </w:trPr>
        <w:tc>
          <w:tcPr>
            <w:tcW w:w="1360" w:type="dxa"/>
            <w:vAlign w:val="bottom"/>
          </w:tcPr>
          <w:p>
            <w:pPr>
              <w:ind w:left="40"/>
              <w:spacing w:after="0" w:line="202" w:lineRule="exact"/>
              <w:rPr>
                <w:sz w:val="20"/>
                <w:szCs w:val="20"/>
                <w:color w:val="auto"/>
              </w:rPr>
            </w:pPr>
            <w:r>
              <w:rPr>
                <w:rFonts w:ascii="Arial" w:cs="Arial" w:eastAsia="Arial" w:hAnsi="Arial"/>
                <w:sz w:val="15"/>
                <w:szCs w:val="15"/>
                <w:color w:val="auto"/>
              </w:rPr>
              <w:t>REGEN-COV</w:t>
            </w:r>
            <w:r>
              <w:rPr>
                <w:rFonts w:ascii="Arial" w:cs="Arial" w:eastAsia="Arial" w:hAnsi="Arial"/>
                <w:sz w:val="23"/>
                <w:szCs w:val="23"/>
                <w:color w:val="auto"/>
                <w:vertAlign w:val="superscript"/>
              </w:rPr>
              <w:t>(a)</w:t>
            </w:r>
          </w:p>
        </w:tc>
        <w:tc>
          <w:tcPr>
            <w:tcW w:w="120" w:type="dxa"/>
            <w:vAlign w:val="bottom"/>
          </w:tcPr>
          <w:p>
            <w:pPr>
              <w:spacing w:after="0"/>
              <w:rPr>
                <w:sz w:val="17"/>
                <w:szCs w:val="17"/>
                <w:color w:val="auto"/>
              </w:rPr>
            </w:pPr>
          </w:p>
        </w:tc>
        <w:tc>
          <w:tcPr>
            <w:tcW w:w="1340" w:type="dxa"/>
            <w:vAlign w:val="bottom"/>
          </w:tcPr>
          <w:p>
            <w:pPr>
              <w:ind w:left="40"/>
              <w:spacing w:after="0" w:line="202" w:lineRule="exact"/>
              <w:rPr>
                <w:sz w:val="20"/>
                <w:szCs w:val="20"/>
                <w:color w:val="auto"/>
              </w:rPr>
            </w:pPr>
            <w:r>
              <w:rPr>
                <w:rFonts w:ascii="Arial" w:cs="Arial" w:eastAsia="Arial" w:hAnsi="Arial"/>
                <w:sz w:val="18"/>
                <w:szCs w:val="18"/>
                <w:color w:val="auto"/>
              </w:rPr>
              <w:t>casirivimab and</w:t>
            </w:r>
          </w:p>
        </w:tc>
        <w:tc>
          <w:tcPr>
            <w:tcW w:w="140" w:type="dxa"/>
            <w:vAlign w:val="bottom"/>
          </w:tcPr>
          <w:p>
            <w:pPr>
              <w:spacing w:after="0"/>
              <w:rPr>
                <w:sz w:val="17"/>
                <w:szCs w:val="17"/>
                <w:color w:val="auto"/>
              </w:rPr>
            </w:pPr>
          </w:p>
        </w:tc>
        <w:tc>
          <w:tcPr>
            <w:tcW w:w="134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100" w:type="dxa"/>
            <w:vAlign w:val="bottom"/>
          </w:tcPr>
          <w:p>
            <w:pPr>
              <w:spacing w:after="0"/>
              <w:rPr>
                <w:sz w:val="17"/>
                <w:szCs w:val="17"/>
                <w:color w:val="auto"/>
              </w:rPr>
            </w:pPr>
          </w:p>
        </w:tc>
        <w:tc>
          <w:tcPr>
            <w:tcW w:w="1340" w:type="dxa"/>
            <w:vAlign w:val="bottom"/>
          </w:tcPr>
          <w:p>
            <w:pPr>
              <w:ind w:left="40"/>
              <w:spacing w:after="0" w:line="202" w:lineRule="exact"/>
              <w:rPr>
                <w:sz w:val="20"/>
                <w:szCs w:val="20"/>
                <w:color w:val="auto"/>
              </w:rPr>
            </w:pPr>
            <w:r>
              <w:rPr>
                <w:rFonts w:ascii="Arial" w:cs="Arial" w:eastAsia="Arial" w:hAnsi="Arial"/>
                <w:sz w:val="18"/>
                <w:szCs w:val="18"/>
                <w:color w:val="auto"/>
              </w:rPr>
              <w:t>10,787,501</w:t>
            </w:r>
          </w:p>
        </w:tc>
        <w:tc>
          <w:tcPr>
            <w:tcW w:w="120" w:type="dxa"/>
            <w:vAlign w:val="bottom"/>
          </w:tcPr>
          <w:p>
            <w:pPr>
              <w:spacing w:after="0"/>
              <w:rPr>
                <w:sz w:val="17"/>
                <w:szCs w:val="17"/>
                <w:color w:val="auto"/>
              </w:rPr>
            </w:pPr>
          </w:p>
        </w:tc>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Composition of Matter</w:t>
            </w:r>
          </w:p>
        </w:tc>
        <w:tc>
          <w:tcPr>
            <w:tcW w:w="100" w:type="dxa"/>
            <w:vAlign w:val="bottom"/>
          </w:tcPr>
          <w:p>
            <w:pPr>
              <w:spacing w:after="0"/>
              <w:rPr>
                <w:sz w:val="17"/>
                <w:szCs w:val="17"/>
                <w:color w:val="auto"/>
              </w:rPr>
            </w:pPr>
          </w:p>
        </w:tc>
        <w:tc>
          <w:tcPr>
            <w:tcW w:w="2480" w:type="dxa"/>
            <w:vAlign w:val="bottom"/>
          </w:tcPr>
          <w:p>
            <w:pPr>
              <w:ind w:left="40"/>
              <w:spacing w:after="0" w:line="202" w:lineRule="exact"/>
              <w:rPr>
                <w:sz w:val="20"/>
                <w:szCs w:val="20"/>
                <w:color w:val="auto"/>
              </w:rPr>
            </w:pPr>
            <w:r>
              <w:rPr>
                <w:rFonts w:ascii="Arial" w:cs="Arial" w:eastAsia="Arial" w:hAnsi="Arial"/>
                <w:sz w:val="18"/>
                <w:szCs w:val="18"/>
                <w:color w:val="auto"/>
              </w:rPr>
              <w:t>June 25, 2040</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imdevimab</w:t>
            </w:r>
          </w:p>
        </w:tc>
        <w:tc>
          <w:tcPr>
            <w:tcW w:w="140" w:type="dxa"/>
            <w:vAlign w:val="bottom"/>
          </w:tcPr>
          <w:p>
            <w:pPr>
              <w:spacing w:after="0"/>
              <w:rPr>
                <w:sz w:val="20"/>
                <w:szCs w:val="20"/>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US</w:t>
            </w:r>
          </w:p>
        </w:tc>
        <w:tc>
          <w:tcPr>
            <w:tcW w:w="1440" w:type="dxa"/>
            <w:vAlign w:val="bottom"/>
            <w:gridSpan w:val="2"/>
            <w:vMerge w:val="restart"/>
          </w:tcPr>
          <w:p>
            <w:pPr>
              <w:ind w:left="140"/>
              <w:spacing w:after="0"/>
              <w:rPr>
                <w:sz w:val="20"/>
                <w:szCs w:val="20"/>
                <w:color w:val="auto"/>
              </w:rPr>
            </w:pPr>
            <w:r>
              <w:rPr>
                <w:rFonts w:ascii="Arial" w:cs="Arial" w:eastAsia="Arial" w:hAnsi="Arial"/>
                <w:sz w:val="18"/>
                <w:szCs w:val="18"/>
                <w:color w:val="auto"/>
              </w:rPr>
              <w:t>10,975,139</w:t>
            </w:r>
          </w:p>
        </w:tc>
        <w:tc>
          <w:tcPr>
            <w:tcW w:w="120" w:type="dxa"/>
            <w:vAlign w:val="bottom"/>
          </w:tcPr>
          <w:p>
            <w:pPr>
              <w:spacing w:after="0"/>
              <w:rPr>
                <w:sz w:val="20"/>
                <w:szCs w:val="20"/>
                <w:color w:val="auto"/>
              </w:rPr>
            </w:pPr>
          </w:p>
        </w:tc>
        <w:tc>
          <w:tcPr>
            <w:tcW w:w="2800" w:type="dxa"/>
            <w:vAlign w:val="bottom"/>
            <w:vMerge w:val="restart"/>
          </w:tcPr>
          <w:p>
            <w:pPr>
              <w:ind w:left="20"/>
              <w:spacing w:after="0"/>
              <w:rPr>
                <w:sz w:val="20"/>
                <w:szCs w:val="20"/>
                <w:color w:val="auto"/>
              </w:rPr>
            </w:pPr>
            <w:r>
              <w:rPr>
                <w:rFonts w:ascii="Arial" w:cs="Arial" w:eastAsia="Arial" w:hAnsi="Arial"/>
                <w:sz w:val="18"/>
                <w:szCs w:val="18"/>
                <w:color w:val="auto"/>
              </w:rPr>
              <w:t>Composition of Matter</w:t>
            </w:r>
          </w:p>
        </w:tc>
        <w:tc>
          <w:tcPr>
            <w:tcW w:w="100" w:type="dxa"/>
            <w:vAlign w:val="bottom"/>
          </w:tcPr>
          <w:p>
            <w:pPr>
              <w:spacing w:after="0"/>
              <w:rPr>
                <w:sz w:val="20"/>
                <w:szCs w:val="20"/>
                <w:color w:val="auto"/>
              </w:rPr>
            </w:pPr>
          </w:p>
        </w:tc>
        <w:tc>
          <w:tcPr>
            <w:tcW w:w="2480" w:type="dxa"/>
            <w:vAlign w:val="bottom"/>
            <w:vMerge w:val="restart"/>
          </w:tcPr>
          <w:p>
            <w:pPr>
              <w:ind w:left="40"/>
              <w:spacing w:after="0"/>
              <w:rPr>
                <w:sz w:val="20"/>
                <w:szCs w:val="20"/>
                <w:color w:val="auto"/>
              </w:rPr>
            </w:pPr>
            <w:r>
              <w:rPr>
                <w:rFonts w:ascii="Arial" w:cs="Arial" w:eastAsia="Arial" w:hAnsi="Arial"/>
                <w:sz w:val="18"/>
                <w:szCs w:val="18"/>
                <w:color w:val="auto"/>
              </w:rPr>
              <w:t>June 25, 2040</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40" w:right="400" w:hanging="8"/>
        <w:spacing w:after="0" w:line="230" w:lineRule="auto"/>
        <w:tabs>
          <w:tab w:leader="none" w:pos="524"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 xml:space="preserve">See Note 15 to our Consolidated Financial Statements for information regarding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and post-grant review petitions filed in the U.S. Patent and Trademark Office relating to EYLEA and patent infringement proceedings relating to Dupixent, Praluent, and REGEN-COV.</w:t>
      </w:r>
    </w:p>
    <w:p>
      <w:pPr>
        <w:spacing w:after="0" w:line="91" w:lineRule="exact"/>
        <w:rPr>
          <w:rFonts w:ascii="Arial" w:cs="Arial" w:eastAsia="Arial" w:hAnsi="Arial"/>
          <w:sz w:val="23"/>
          <w:szCs w:val="23"/>
          <w:color w:val="auto"/>
          <w:vertAlign w:val="superscript"/>
        </w:rPr>
      </w:pPr>
    </w:p>
    <w:p>
      <w:pPr>
        <w:ind w:left="340" w:right="100" w:hanging="8"/>
        <w:spacing w:after="0" w:line="218" w:lineRule="auto"/>
        <w:tabs>
          <w:tab w:leader="none" w:pos="531"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A patent term extension has been granted by the U.S. Patent and Trademark Office, extending the original patent term (May 23, 2020), insofar as it covers EYLEA, to June 16, 2023.</w:t>
      </w:r>
    </w:p>
    <w:p>
      <w:pPr>
        <w:spacing w:after="0" w:line="92" w:lineRule="exact"/>
        <w:rPr>
          <w:rFonts w:ascii="Arial" w:cs="Arial" w:eastAsia="Arial" w:hAnsi="Arial"/>
          <w:sz w:val="24"/>
          <w:szCs w:val="24"/>
          <w:color w:val="auto"/>
          <w:vertAlign w:val="superscript"/>
        </w:rPr>
      </w:pPr>
    </w:p>
    <w:p>
      <w:pPr>
        <w:ind w:left="340" w:right="300" w:hanging="8"/>
        <w:spacing w:after="0" w:line="218" w:lineRule="auto"/>
        <w:tabs>
          <w:tab w:leader="none" w:pos="524"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Supplementary protection certificates (“SPCs”) are pending and/or have been granted in various European countries, extending the original patent terms in those countries, where granted, to the applicable dates indicated in parentheses.</w:t>
      </w:r>
    </w:p>
    <w:p>
      <w:pPr>
        <w:spacing w:after="0" w:line="92" w:lineRule="exact"/>
        <w:rPr>
          <w:rFonts w:ascii="Arial" w:cs="Arial" w:eastAsia="Arial" w:hAnsi="Arial"/>
          <w:sz w:val="24"/>
          <w:szCs w:val="24"/>
          <w:color w:val="auto"/>
          <w:vertAlign w:val="superscript"/>
        </w:rPr>
      </w:pPr>
    </w:p>
    <w:p>
      <w:pPr>
        <w:jc w:val="both"/>
        <w:ind w:left="340" w:right="60" w:hanging="8"/>
        <w:spacing w:after="0" w:line="254" w:lineRule="auto"/>
        <w:tabs>
          <w:tab w:leader="none" w:pos="531"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The patent term extension (“PTE”) system in Japan allows for a patent to be extended more than once provided the later approval is directed to a different indication from that of the previous approval. This may result in multiple PTE approvals for a given patent, each with its own expiration date. In this table, date ranges are shown for the expiration of Japanese patents for which multiple PTEs have been granted, with the later date indicating the latest expiring PTE for the corresponding patent.</w:t>
      </w:r>
    </w:p>
    <w:p>
      <w:pPr>
        <w:spacing w:after="0" w:line="81" w:lineRule="exact"/>
        <w:rPr>
          <w:rFonts w:ascii="Arial" w:cs="Arial" w:eastAsia="Arial" w:hAnsi="Arial"/>
          <w:sz w:val="23"/>
          <w:szCs w:val="23"/>
          <w:color w:val="auto"/>
          <w:vertAlign w:val="superscript"/>
        </w:rPr>
      </w:pPr>
    </w:p>
    <w:p>
      <w:pPr>
        <w:ind w:left="340" w:right="580" w:hanging="8"/>
        <w:spacing w:after="0" w:line="230" w:lineRule="auto"/>
        <w:tabs>
          <w:tab w:leader="none" w:pos="524"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A patent term extension has been granted by the U.S. Patent and Trademark Office, extending the original patent term (October 2, 2027), insofar as it covers Dupixent, to March 28, 2031.</w:t>
      </w:r>
    </w:p>
    <w:p>
      <w:pPr>
        <w:spacing w:after="0" w:line="1" w:lineRule="exact"/>
        <w:rPr>
          <w:rFonts w:ascii="Arial" w:cs="Arial" w:eastAsia="Arial" w:hAnsi="Arial"/>
          <w:sz w:val="23"/>
          <w:szCs w:val="23"/>
          <w:color w:val="auto"/>
          <w:vertAlign w:val="superscript"/>
        </w:rPr>
      </w:pPr>
    </w:p>
    <w:p>
      <w:pPr>
        <w:ind w:left="500" w:hanging="168"/>
        <w:spacing w:after="0" w:line="238" w:lineRule="auto"/>
        <w:tabs>
          <w:tab w:leader="none" w:pos="50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This table excludes Japanese patents related to Praluent because Praluent is not being commercialized in Japan at this time.</w:t>
      </w:r>
    </w:p>
    <w:p>
      <w:pPr>
        <w:spacing w:after="0" w:line="105" w:lineRule="exact"/>
        <w:rPr>
          <w:rFonts w:ascii="Arial" w:cs="Arial" w:eastAsia="Arial" w:hAnsi="Arial"/>
          <w:sz w:val="26"/>
          <w:szCs w:val="26"/>
          <w:color w:val="auto"/>
          <w:vertAlign w:val="superscript"/>
        </w:rPr>
      </w:pPr>
    </w:p>
    <w:p>
      <w:pPr>
        <w:ind w:left="340" w:right="20" w:hanging="8"/>
        <w:spacing w:after="0" w:line="211" w:lineRule="auto"/>
        <w:tabs>
          <w:tab w:leader="none" w:pos="531"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A patent term extension has been granted by the U.S. Patent and Trademark Office, extending the original patent term (June 1, 2027), insofar as it covers Kevzara, to May 22, 2031.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auto"/>
        </w:rPr>
        <w:t xml:space="preserve">In addition to our patent portfolio, in the United States and certain other countries, our competitive position may be enhanced due to the availability of market exclusivity under relevant law (for additional information regarding market exclusivity, see Part I, Item 1A. “Risk Factors - Risks Related to Intellectual Property and Market Exclusivity - </w:t>
      </w:r>
      <w:r>
        <w:rPr>
          <w:rFonts w:ascii="Arial" w:cs="Arial" w:eastAsia="Arial" w:hAnsi="Arial"/>
          <w:sz w:val="18"/>
          <w:szCs w:val="18"/>
          <w:i w:val="1"/>
          <w:iCs w:val="1"/>
          <w:color w:val="auto"/>
        </w:rPr>
        <w:t>Loss or limitation of patent rights, and regulatory pathways for biosimilar competition, could reduce the</w:t>
      </w:r>
      <w:r>
        <w:rPr>
          <w:rFonts w:ascii="Arial" w:cs="Arial" w:eastAsia="Arial" w:hAnsi="Arial"/>
          <w:sz w:val="18"/>
          <w:szCs w:val="18"/>
          <w:color w:val="auto"/>
        </w:rPr>
        <w:t xml:space="preserve"> </w:t>
      </w:r>
      <w:r>
        <w:rPr>
          <w:rFonts w:ascii="Arial" w:cs="Arial" w:eastAsia="Arial" w:hAnsi="Arial"/>
          <w:sz w:val="18"/>
          <w:szCs w:val="18"/>
          <w:i w:val="1"/>
          <w:iCs w:val="1"/>
          <w:color w:val="auto"/>
        </w:rPr>
        <w:t>duration of market exclusivity for our products</w:t>
      </w:r>
      <w:r>
        <w:rPr>
          <w:rFonts w:ascii="Arial" w:cs="Arial" w:eastAsia="Arial" w:hAnsi="Arial"/>
          <w:sz w:val="18"/>
          <w:szCs w:val="18"/>
          <w:color w:val="auto"/>
        </w:rPr>
        <w:t>”). The effect of expiration of a patent relating to a particular product also depends upon other factors,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are the nonexclusive licensee of a number of additional patents and patent applications. These include a license agreement with Bristol-Myers Squibb, E. R. Squibb &amp; Sons, L.L.C., and Ono Pharmaceutical Co., Ltd. to obtain a license under certain patents owned and/or exclusively licensed by one or more of these parties that includes the right to develop and sell Libtayo. Under the agreement, we and Sanofi pay royalties of 8.0% on worldwide sales of Libtayo through December 31, 2023, and royalties of 2.5% from January 1, 2024 through December 31, 2026. The royalties are shared equally by us and Sanofi.</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seek to file and maintain trademarks around the world based on commercial activities in most jurisdictions where we have, or desire to have, a business presence for a particular product or service.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Arial" w:cs="Arial" w:eastAsia="Arial" w:hAnsi="Arial"/>
          <w:sz w:val="17"/>
          <w:szCs w:val="17"/>
          <w:i w:val="1"/>
          <w:iCs w:val="1"/>
          <w:color w:val="auto"/>
        </w:rPr>
        <w:t>We may be restricted in our development, manufacturing, and/or</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commercialization activities by patents or other proprietary rights of others, and could be subject to awards of damages if we are found to have infringed such patents or rights</w:t>
      </w:r>
      <w:r>
        <w:rPr>
          <w:rFonts w:ascii="Arial" w:cs="Arial" w:eastAsia="Arial" w:hAnsi="Arial"/>
          <w:sz w:val="17"/>
          <w:szCs w:val="17"/>
          <w:color w:val="auto"/>
        </w:rPr>
        <w:t>”; and Note 15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Regulation by government authorities in the United States and foreign countries is a significant factor in the research, development, manufacture, and marketing of our products and our product candidates. A summary of the primary areas of government regulation that are relevant to our business is provided below. For a description of material regulatory risks we face, also refer to Part 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Requirements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activities required before a product candidate may be marketed in the United States or elsewhere begin with preclinical tests. Preclinical tests include laboratory evaluations of, among other things, product chemistry and formulation and toxicological and pharmacological studies in animal species to assess the toxicity and dosing of the product candidate. In the United States, certain preclinical trials must comply with the FDA’s Good Laboratory Practice requirements (“GLPs”) and the U.S. Department of Agriculture’s Animal Welfare Act. The results of these studies must be submitted to the FDA or the relevant regulatory authority outside the United States as part of an IND or clinical trial application (as applicable), which must be reviewed by the FDA or the relevant government authority before proposed clinical testing can begin in the applicable country or jurisdiction. In the United States, unless the FDA raises concerns, the IND becomes effective 30 days following its receipt by the FDA, and the clinical trial proposed in the IND may begin. The FDA or other regulatory authorities may ask for additional data in order to begin a clinical trial. Rules that are equivalent in scope but which vary in application apply in foreign countries.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Product Approval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product candidates require regulatory approval by relevant government authorities before they can be commercialized. In particular, human therapeutic products are subject to rigorous preclinical and clinical trials and other pre-market approval requirements by the FDA and foreign authorities. The structure and substance of the FDA and foreign pharmaceutical regulatory practices may evolve over time. The ultimate outcome and impact of such developments cannot be predicted.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Clinical trials involve the administration of a drug to healthy human volunteers or to patients under the supervision of a qualified investigator. The conduct of clinical trials is subject to extensive regulation, including compliance with the FDA’s bioresearch monitoring regulations and Good Clinical Practice requirements (“GCPs”), which establish standards for conducting, recording data from, and reporting the results of, clinical trials, and are intended to assure that the data and reported results are credible and accurate, and that the rights, safety, and well-being of study participants are protected. Clinical trials must be conducted under protocols that detail the study objectives, parameters for monitoring safety, and the efficacy criteria, if any, to be evaluated. In addition, each clinical trial must be reviewed and approved by, and conducted under the auspices of, an Institutional Review Board (“IRB”) for each clinical site within the United States or, where applicable, an Ethics Committee and/or the competent authority for clinical sites outside the United States. Companies sponsoring the clinical trials, investigators, and IRBs/Ethics Committees also must comply with, as applicable, regulations and guidelines for obtaining informed consent from the study patients, following the protocol and investigational plan, adequately monitoring the clinical trial, and timely reporting of adverse events. Foreign studies conducted under an IND must meet the same requirements that apply to studies being conducted in the United States. Data from a foreign study not conducted under an IND may be submitted in support of a BLA if the study was conducted in accordance with GCPs and the FDA is able to validate the data. 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Typically, clinical testing involves a three-phase process, which may overlap or be subdivided in some cases. Phase 1 trials are usually conducted with a small number of healthy volunteers to determine the early safety profile, metabolism, and pharmacological actions of the product candidate, the side effects associated with increasing doses, and, if possible, to gain early evidence of effectiveness. Although Phase 1 trials are typically conducted in healthy human subjects, in some instances, the trial subjects are patients with the targeted disease or condition. Phase 2 clinical trials are conducted with a relatively small sample of the intended patient population to provide enough data to evaluate the preliminary safety, tolerability, and efficacy of different potential doses of the product candidate. Phase 3 clinical trials are larger trials conducted with patients with the target disease or disorder intended to gather additional information about dosage, safety, and effectiveness necessary to evaluate the drug’s overall risk-benefit profile. Phase 3 data often form the core basis on which the FDA and comparable foreign regulatory authorities evaluate a product candidate’s safety and effectiveness when considering the product application for regulatory approval. If concerns arise about the safety of the product candidate, the FDA or other regulatory authorities can stop clinical trials by placing them on a “clinical hold” pending receipt of additional data, which can result in a delay or termination of a clinical development program. The sponsoring company, the FDA or other regulatory authorities, or the IRB or Ethics Committee and competent authority may suspend or terminate a clinical trial at any time on various grounds, including a finding that the patients are being exposed to an unacceptable health risk.</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results of the preclinical and clinical testing of a biologic product candidate are then submitted to the FDA in the form of a BLA for evaluation to determine whether the product candidate may be approved for commercial sale under the Public Health Service Act. Under the Prescription Drug User Fee Act, we typically must pay fees to the FDA for review of any BLA. When a BLA is submitted, the FDA makes an initial determination as to whether the application is sufficiently complete to be accepted for review. If the application is not, the FDA may refuse to accept the BLA for filing and request additional information. A refusal to file, which requires resubmission of the BLA with the requested additional information, delays review of the application. If the application is accepted for review, the FDA reviews the application to determine, among other things, whether a product is safe and effective for its intended use and whether the manufacturing controls are adequate to assure and preserve the product’s identity, strength, quality, and purity.</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FDA performance goals generally provide for action on a BLA within 10 months of the 60-day filing date (or within 12 months of the BLA submission). That deadline can be extended by FDA under certain circumstances, including by the FDA’s requests for additional information. The targeted action date can be 6 months after the 60-day filing date (or 8 months after BLA submission) for product candidates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some BLAs,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or biologic product, the FDA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6" w:name="page37"/>
    <w:bookmarkEnd w:id="36"/>
    <w:p>
      <w:pPr>
        <w:jc w:val="both"/>
        <w:spacing w:after="0" w:line="271" w:lineRule="auto"/>
        <w:rPr>
          <w:sz w:val="20"/>
          <w:szCs w:val="20"/>
          <w:color w:val="auto"/>
        </w:rPr>
      </w:pPr>
      <w:r>
        <w:rPr>
          <w:rFonts w:ascii="Arial" w:cs="Arial" w:eastAsia="Arial" w:hAnsi="Arial"/>
          <w:sz w:val="17"/>
          <w:szCs w:val="17"/>
          <w:color w:val="auto"/>
        </w:rPr>
        <w:t>also requires that the facilities at which the product will be manufactured or advanced through the supply chain be in compliance with current Good Manufacturing Practices, or cGMP, requirements and regulations governing, among other things, the manufacture, shipment, and storage of the product. The FDA also can audit the sponsor of the BLA to determine if the clinical studies were conducted in compliance with current GCPs. After review of a BLA, the FDA may grant marketing approval, request additional information, or issue a complete response letter (“CRL”) outlining the deficiencies in the submission. The CRL may require additional testing or information, including additional preclinical or clinical data, for the FDA to reconsider the application. Even if such additional information and data are submitted, the FDA may decide that the BLA still does not meet the standards for approval. Data from clinical trials are not always conclusive and the FDA may interpret data differently than the sponsor. If FDA grants approval, an approval letter authorizes commercial marketing of the product candidate with specific prescribing information for specific indications.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 Additionally, as a condition of approval, the FDA may impose restrictions that could affect the commercial prospects of a product and increase our costs, such as a Risk Evaluation and Mitigation Strategy (“REMS”) to mitigate certain specific safety risks, and/or post-approval commitments or requirements to conduct additional clinical trials or non-clinical studies or to conduct surveillance programs to monitor the product’s effects.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Approval of a product candidate by comparable regulatory authorities in foreign countries is generally required prior to commencement of marketing of the product in those countries. The approval procedure varies among countries and may involve different or additional testing, and the time required to obtain such approval may differ from that required for FDA approval. Approval by a regulatory authority in one jurisdiction does not guarantee approval by comparable regulatory authorities in other jurisdictions. In the European Economic Area (“EEA”) (which is comprised of 27 Member States of the EU plus Norway, Iceland, and Liechtenstein), medicinal products can only be commercialized after a related Marketing Authorization has been granted. Marketing authorization for biologics must be obtained through a centralized procedure, which allows a company to submit a single application to the EMA. If a related positive opinion is provided by the EMA, the EC will grant a centralized marketing authorization that is valid in the EEA.</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many jurisdictions, pediatric data or an approved Pediatric Investigation Plan (“PIP”), or a waiver of such studies, is required to have been approved by regulatory authorities prior to submission of a marketing application. In some EU countries, we may also be required to have an approved PIP before we can begin enrolling pediatric patients in a clinical trial. In the United States, under the Pediatric Research Equity Act (“PREA”), certain applications for approval must include an assessment, generally based on clinical study data, of the safety and effectiveness of the subject product in relevant pediatric populations, unless a waiver or deferral is granted. However, a pediatric study plan is not required for orphan products and the timing of the submission is subject to negotiation with FDA, but such plan cannot be submitted later than submission of a BLA.</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Various federal, state, and foreign statutes and regulations also govern or influence the research, manufacture, safety, labeling, storage, record keeping, marketing, transport, and other aspects of developing and commercializing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For additional information regarding U.S. and foreign regulatory approval processes and requirements, see Part I, Item 1A. “Risk Factors -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 uncertain.</w:t>
      </w:r>
      <w:r>
        <w:rPr>
          <w:rFonts w:ascii="Arial" w:cs="Arial" w:eastAsia="Arial" w:hAnsi="Arial"/>
          <w:sz w:val="16"/>
          <w:szCs w:val="16"/>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Emergency Use Authorization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Secretary of HHS may authorize unapproved medical products to be marketed in the context of an actual or potential emergency that has been designated by the U.S. government. The COVID-19 pandemic has been designated as such a national emergency. After an emergency has been announced, the Secretary of HHS may authorize the issuance of, and the FDA Commissioner may issue, EUAs for the use of specific products based on criteria established by the Food, Drug, and Cosmetic Act, including that the product at issue may be effective in diagnosing, treating, or preventing serious or life-threatening diseases when there are no adequate, approved, and available alternatives. Although the criteria of an EUA differ from the criteria for approval of a BLA, EUAs nevertheless require the development and submission of data to satisfy the relevant FDA standards, as well as a number of ongoing compliance obligations. The FDA expects EUA holders to work toward submission of full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7" w:name="page38"/>
    <w:bookmarkEnd w:id="37"/>
    <w:p>
      <w:pPr>
        <w:jc w:val="both"/>
        <w:spacing w:after="0" w:line="257" w:lineRule="auto"/>
        <w:rPr>
          <w:sz w:val="20"/>
          <w:szCs w:val="20"/>
          <w:color w:val="auto"/>
        </w:rPr>
      </w:pPr>
      <w:r>
        <w:rPr>
          <w:rFonts w:ascii="Arial" w:cs="Arial" w:eastAsia="Arial" w:hAnsi="Arial"/>
          <w:sz w:val="18"/>
          <w:szCs w:val="18"/>
          <w:color w:val="auto"/>
        </w:rPr>
        <w:t>applications, such as a BLA, as soon as possible. An EUA is also subject to additional conditions and restrictions and is product-specific. An EUA terminates when the emergency determination underlying the EUA terminates. An EUA is not a long-term alternative to obtaining FDA approval, licensure, or clearance for a product. The FDA may revoke, revise, or restrict an EUA for a variety of reasons, including where it is determined that the underlying health emergency no longer exists or warrants such authorization or the medical product is no longer effective in diagnosing, treating, or preventing the underlying health emergency.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and comparable regulatory authorities in other jurisdictions may also require us to conduct additional clinical trials or to make certain changes related to a product after granting approval of the product. The FDA has the explicit authority to require postmarketing studies (also referred to as post-approval or Phase 4 studies) and labeling changes based on new safety information, and may impose and enforce a REMS at the time of approval or after the product is on the market. Post-approval modifications to the drug, such as changes in indications, labeling, or manufacturing processes or facilities, may require a sponsor to develop additional data or conduct additional preclinical studies or clinical trials, to be submitted in a new or supplemental BLA, which would require FDA approval.</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Following approval, the FDA and comparable regulatory authorities outside the United States regulate the marketing and promotion of our products, which must comply with the Food, Drug, and Cosmetic Act and applicable FDA regulations and standards thereunder and equivalent foreign laws. The review of promotional activities by the FDA and comparable regulatory authorities outside the United States includes, but is not limited to, healthcare provider-directed and direct-to-consumer advertising, communications regarding unapproved uses, industry-sponsored scientific and educational activities, promotional activities involving the Internet, and sales representatives’ communications. After approval, product promotion can include only those claims relating to safety and effectiveness that are consistent with the labeling approved by the FDA and comparable foreign regulatory authorities. FDA and comparable foreign regulatory authorities’ regulations impose restrictions on manufacturers’ communications regarding unapproved uses, but under certain conditions may engage in non-promotional, balanced, scientific communication regarding such use. Failure to comply with applicable FDA and comparable foreign regulatory authorities’ requirements and restrictions in this area may subject a company to adverse publicity and enforcement action by the FDA, the Department of Justice, or the Office of the Inspector General of the Department of Health and Human Services, as well as state authorities and comparable regulatory authorities outside the United States. This could subject a company to a range of penalties that could have a significant commercial impact, including civil and criminal fines and agreements that materially restrict the manner in which a company promotes or distributes a drug. See Part I, Item 1A. “Risk Factors - Other Regulatory and Litigation Risks - </w:t>
      </w:r>
      <w:r>
        <w:rPr>
          <w:rFonts w:ascii="Arial" w:cs="Arial" w:eastAsia="Arial" w:hAnsi="Arial"/>
          <w:sz w:val="16"/>
          <w:szCs w:val="16"/>
          <w:i w:val="1"/>
          <w:iCs w:val="1"/>
          <w:color w:val="auto"/>
        </w:rPr>
        <w:t>Our business activities have been, and may in the future be, challenged</w:t>
      </w:r>
      <w:r>
        <w:rPr>
          <w:rFonts w:ascii="Arial" w:cs="Arial" w:eastAsia="Arial" w:hAnsi="Arial"/>
          <w:sz w:val="16"/>
          <w:szCs w:val="16"/>
          <w:color w:val="auto"/>
        </w:rPr>
        <w:t xml:space="preserve"> </w:t>
      </w:r>
      <w:r>
        <w:rPr>
          <w:rFonts w:ascii="Arial" w:cs="Arial" w:eastAsia="Arial" w:hAnsi="Arial"/>
          <w:sz w:val="16"/>
          <w:szCs w:val="16"/>
          <w:i w:val="1"/>
          <w:iCs w:val="1"/>
          <w:color w:val="auto"/>
        </w:rPr>
        <w:t>under federal or state healthcare laws, which may subject us to civil or criminal proceedings, investigations, or penalties</w:t>
      </w:r>
      <w:r>
        <w:rPr>
          <w:rFonts w:ascii="Arial" w:cs="Arial" w:eastAsia="Arial" w:hAnsi="Arial"/>
          <w:sz w:val="16"/>
          <w:szCs w:val="16"/>
          <w:color w:val="auto"/>
        </w:rPr>
        <w:t>.”</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Adverse-event reporting and submission of periodic reports are required following marketing approval. The FDA requires BLA holders to employ a system for obtaining and reviewing safety information, adverse events, and product complaints associated with each drug and to submit safety reports to the FDA, with expedited reporting timelines in certain situations. Based on new safety information after approval, the FDA can, among other things, mandate product labeling changes, require new post-marketing studies, impose or modify a risk evaluation and mitigation strategy for the product, or suspend or withdraw approval of the product. We may be subject to audits by the FDA and other regulatory authorities to ensure that we are complying with the applicable requirements. Rules that are equivalent in scope but which vary in application apply in foreign countries in which we conduct clinical trials.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holder of an EU marketing authorization for a medicinal product must also comply with the EU’s pharmacovigilance legislation. This includes requirements to conduct pharmacovigilance, or the assessment and monitoring of the safety of medicinal products. Marketing authorization holders are required to maintain a Pharmacovigilance System Master File (“PSMF”), which supports and documents the compliance of the marketing authorization holder with the requirements of EU pharmacovigilance legislation. Marketing authorization holders are also required to have a Qualified Person for Pharmacovigilance (“QPPV”), who, among other things, maintains the PSMF. A QPPV must reside in the EEA and must also prepare pharmacovigilance reports, respond to potential requests from competent authorities concerning pharmacovigilance on a 24 hour basis, and provide competent authorities with any other information that may be relevant to the safety of the medicinal product in accordance with Good Pharmacovigilance Practices.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EC can also require marketing authorization holders to conduct post-authorization safety and/or efficacy studies. A post-authorization safety study (“PASS”) is a study that is carried out after a medicinal product has been authorized to obtain further information on a medicinal product’s safety, or to measure the effectiveness of risk-management measures. Such studies may be clinical trials or non-interventional studies. A post-authorization efficacy study (“PAES”) is a study that is carried out for complementing available efficacy data in the light of well-reasoned scientific uncertainties on aspects of the evidence of benefits that is to be or only can be addressed post-authorization. The EC may, in particular, impose a PASS and/or PAES on marketing authorization holders when a marketing authorization is granted upon conditions. The EC may grant conditional marketing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authorizations in the interest of public health, when there is less comprehensive clinical data available than would be required, if the EC considers that the benefit of immediate availability may outweigh the risk that the absence of the required clinical data poses.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and our third-party suppliers are required to maintain compliance with cGMP, and are subject to inspections by the FDA or comparable regulatory authorities in other jurisdictions to confirm such compliance. Changes of suppliers or modifications of methods of manufacturing may require amending our application(s) to the FDA or such comparable foreign regulatory authorities and acceptance of the change by the FDA or such comparable foreign regulatory authorities prior to release of product(s). FDA regulations also require investigation and correction of any deviations from cGMP and impose reporting and documentation requirements upon us and our third-party suppliers. Prescription drug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 We may also be subject to state regulations related to the manufacturing and distribution of our products.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Failure to comply with these laws, regulations, and conditions of product approval may lead the FDA and comparable regulatory authorities in other jurisdictions to take regulatory action or seek sanctions, including fines, issuance of warning letters, civil penalties, injunctions, suspension of manufacturing operations, operating restrictions, withdrawal of FDA approval of a product, seizure or recall of products, and criminal prosecution.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Sales in the United States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coverage and reimbursement mechanisms and programs administered by health authorities in those countries. See Part I, Item 1A. “Risk Factors - Risks Related to Commercialization of Our Marketed Products, Product Candidates, and New Indications for Our Marketed Products - </w:t>
      </w:r>
      <w:r>
        <w:rPr>
          <w:rFonts w:ascii="Arial" w:cs="Arial" w:eastAsia="Arial" w:hAnsi="Arial"/>
          <w:sz w:val="18"/>
          <w:szCs w:val="18"/>
          <w:i w:val="1"/>
          <w:iCs w:val="1"/>
          <w:color w:val="auto"/>
        </w:rPr>
        <w:t>Sales of our marketed products are dependent on the</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and extent of reimbursement from third-party payors, and changes to such reimbursement may materially harm our business, prospects, operating results, and financial condition.</w:t>
      </w:r>
      <w:r>
        <w:rPr>
          <w:rFonts w:ascii="Arial" w:cs="Arial" w:eastAsia="Arial" w:hAnsi="Arial"/>
          <w:sz w:val="18"/>
          <w:szCs w:val="18"/>
          <w:color w:val="auto"/>
        </w:rPr>
        <w:t>”</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participate in, and have certain price reporting obligations to, the Medicaid Drug Rebate program, state Medicaid supplemental rebate program(s), and other governmental pricing programs. We also have obligations to report the average sales price for certain drugs to the Medicare program as part of our agreement to participate in the Medicaid Drug Rebate program. For calendar quarters beginning January 1, 2022, we will be required to report the average sales price for certain drugs under the Medicare program regardless of whether we participate in the Medicaid Drug Rebate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for our drugs under Medicaid and Part B of the Medicare program.</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Medicaid is a joint federal and state program that is administered by the states for low-income and disabled beneficiaries. Medicaid rebates are based on pricing data reported by us on a monthly and quarterly basis to the Centers for Medicare &amp; Medicaid Services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average manufacturer price increases more than inflation (measured by reference to the Consumer Price Index - Urban). Currently, the rebate is capped at 100 percent of the average manufacturer price, but effective January 1, 2024, this cap on the rebate will be removed, and our rebate liability could increase accordingly.</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become aware that our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The federal Patient Protection and Affordable Care Act (the “PPACA”) made significant changes to the Medicaid Drug Rebate program, and CMS issued a final regulation, which became effective on April 1, 2016, to implement the changes to the Medicaid Drug Rebate program under the PPACA. On December 21, 2020, CMS issued a final rule that modified Medicaid Drug Rebate program regulations to permit reporting multiple best price figures with regard to value-based purchasing arrangements (beginning in 2022); provide definitions for “line extension,” “new formulation,” and related terms with the practical effect of expanding the scope of drugs considered to be line extensions (beginning in 2022); and revise best price and average manufacturer price exclusions of manufacturer-sponsored patient benefit programs, particularly regarding potential inapplicability of such exclusions in the context of pharmacy benefit manager “accumulator” programs (beginning in 2023).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9" w:name="page40"/>
    <w:bookmarkEnd w:id="39"/>
    <w:p>
      <w:pPr>
        <w:jc w:val="both"/>
        <w:spacing w:after="0" w:line="270" w:lineRule="auto"/>
        <w:rPr>
          <w:sz w:val="20"/>
          <w:szCs w:val="20"/>
          <w:color w:val="auto"/>
        </w:rPr>
      </w:pPr>
      <w:r>
        <w:rPr>
          <w:rFonts w:ascii="Arial" w:cs="Arial" w:eastAsia="Arial" w:hAnsi="Arial"/>
          <w:sz w:val="17"/>
          <w:szCs w:val="17"/>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CMS on a quarterly basis. The manufacturer-submitted information is used by CMS to calculate Medicare payment rates. Starting in 2023,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this regulation. Any charge by HRSA that we have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HRSA also implemented a price reporting system under which we are required to report our 340B ceiling prices to HRSA on a quarterly basis, which then publishes those prices to 340B covered entities. In addition, legislation could be passed that would further expand the 340B program to additional covered entities or would require participating manufacturers to agree to provide 340B discounted pricing on drugs used in an inpatient setting.</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for 2021, manufacturers, including us, are required to provide to CMS a 70% discount on brand name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prescription drugs utilized by Medicare Part D beneficiaries when those beneficiaries are in the coverage gap phase of the Part D benefit design.</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copayment/coinsurance. These payors may not cover or adequately reimburse for use of our products or may do so at levels that disadvantage them relative to competitive products.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are subject to health care “fraud and abuse” laws, such as the federal civil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Federal false claims laws prohibit any person from knowingly presenting, or causing to be presented, a false claim for payment of government funds, or knowingly making, or causing to be made, a false statement to get a false claim paid. See Part I, Item 1A. “Risk Factors - Other Regulatory and Litigation Risks -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activities have been, and may in the future be, challenged under federal or state healthcare laws, which may subject us to civil or criminal proceedings, investigations, or penalties</w:t>
      </w:r>
      <w:r>
        <w:rPr>
          <w:rFonts w:ascii="Arial" w:cs="Arial" w:eastAsia="Arial" w:hAnsi="Arial"/>
          <w:sz w:val="18"/>
          <w:szCs w:val="18"/>
          <w:color w:val="auto"/>
        </w:rPr>
        <w: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are subject to the Foreign Corrupt Practices Act, or FCPA, and similar anti-bribery or anti-corruption laws, regulations or rules of other countries in which we operate, including the U.K. Bribery Act. See Part I, Item 1A. “Risk Factors - Other Regulatory and Litigation Risks - </w:t>
      </w:r>
      <w:r>
        <w:rPr>
          <w:rFonts w:ascii="Arial" w:cs="Arial" w:eastAsia="Arial" w:hAnsi="Arial"/>
          <w:sz w:val="18"/>
          <w:szCs w:val="18"/>
          <w:i w:val="1"/>
          <w:iCs w:val="1"/>
          <w:color w:val="auto"/>
        </w:rPr>
        <w:t>Risks from the improper</w:t>
      </w:r>
      <w:r>
        <w:rPr>
          <w:rFonts w:ascii="Arial" w:cs="Arial" w:eastAsia="Arial" w:hAnsi="Arial"/>
          <w:sz w:val="18"/>
          <w:szCs w:val="18"/>
          <w:color w:val="auto"/>
        </w:rPr>
        <w:t xml:space="preserve"> </w:t>
      </w:r>
      <w:r>
        <w:rPr>
          <w:rFonts w:ascii="Arial" w:cs="Arial" w:eastAsia="Arial" w:hAnsi="Arial"/>
          <w:sz w:val="18"/>
          <w:szCs w:val="18"/>
          <w:i w:val="1"/>
          <w:iCs w:val="1"/>
          <w:color w:val="auto"/>
        </w:rPr>
        <w:t>conduct of employees, agents, contractors, or collaborators could adversely affect our reputation and our business, prospects, operating results, and financial condition</w:t>
      </w:r>
      <w:r>
        <w:rPr>
          <w:rFonts w:ascii="Arial" w:cs="Arial" w:eastAsia="Arial" w:hAnsi="Arial"/>
          <w:sz w:val="18"/>
          <w:szCs w:val="18"/>
          <w:color w:val="auto"/>
        </w:rPr>
        <w:t>.”</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there are numerous federal and state laws and regulations governing data privacy of personal data and the collection, use, disclosure, and protection of health data, genetic data, consumer data, and children’s data. Such laws and regulations include the Health Insurance Portability and Accountability Act of 1996 and its implementing regulations (collectively, “HIPAA”), as well as state data breach notification laws, state health information and/or genetic privacy laws, and federal and state consumer protection laws (such as Section 5 of the Federal Trade Commission Act and the California Consumer Privacy Act (the “CCPA”)). Many of these laws differ from each other in significant ways and have different effects. Many of the state laws enable a state attorney general to bring actions and provide private rights of action to consumers as enforcement mechanisms. There is also heightened sensitivity around certain types of health data, which may be subject to additional protections. The landscape of federal and state laws regulating personal data is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HIPAA imposes privacy and security obligations on covered entity health care providers, health plans, and health care clearinghouses, as well as their “business associates” – certain persons or covered entities that create, receive, maintain, or transmit protected health information (“PHI”) in connection with providing a specified service or performing a function on behalf of a covered entity. Most health care providers, including research institutions from which we or our collaborators obtain clinical trial data, are subject to HIPAA. Although we are not directly subject to HIPAA other than with respect to providing certain employee benefits, we could potentially be subject to criminal penalties if we, our affiliates, or our agents knowingly receive, use, or disclose PHI maintained by a HIPAA-covered entity in a manner that is not permitted under HIPAA.</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the extent we collect California resident personal data, we are also subject to the CCPA. The CCPA, which became effective on January 1, 2020, created new transparency requirements and granted California residents several new rights with regard to their personal data. In addition,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go into effect on January 1, 2023, and new implementing regulations are expected to be introduced by the CPPA. Failure to comply with the CCPA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1" w:name="page42"/>
    <w:bookmarkEnd w:id="41"/>
    <w:p>
      <w:pPr>
        <w:jc w:val="both"/>
        <w:spacing w:after="0" w:line="279" w:lineRule="auto"/>
        <w:rPr>
          <w:sz w:val="20"/>
          <w:szCs w:val="20"/>
          <w:color w:val="auto"/>
        </w:rPr>
      </w:pPr>
      <w:r>
        <w:rPr>
          <w:rFonts w:ascii="Arial" w:cs="Arial" w:eastAsia="Arial" w:hAnsi="Arial"/>
          <w:sz w:val="17"/>
          <w:szCs w:val="17"/>
          <w:color w:val="auto"/>
        </w:rPr>
        <w:t>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Similarly, there are a number of legislative proposals in the United States, at both the federal and state level, that could impose new obligations or limitations in the area of consumer protection. We may be subject to fines, penalties, or private actions in the event of non-compliance with such laws.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Outside the United States, our clinical trial programs, research collaborations, and other processing activities implicate international data protection laws, including the EU General Data Protection Regulation 2016/679 (“GDPR”). The GDPR has increased our responsibility and liability in relation to the processing of personal data of individuals located in the EU. The GDPR, together with the national legislation of the EU member states governing the processing of personal data, impose strict obligations and restrictions on the ability to collect, analyze, and transfer personal data, including health data and samples from clinical trials and adverse event reporting. In particular, these obligations and restrictions may concern the consent of the individuals to whom the personal data relate, the information provided to the individuals, the sharing of personal data with third parties, the transfer of personal data out of the EU, security breach notifications, security and confidentiality of the personal data and imposition of substantial potential fines for violations of the data protection obligations. With respect to the transfer of personal data outside of the EU, while there are legal mechanisms available to lawfully transfer personal data outside of the EU, including to the United States, there are certain unsettled legal issues regarding such data transfers, the resolution of which may adversely affect our ability to transfer personal data or otherwise may cause us to incur significant costs to come into compliance with applicable data transfer impact assessments and implementation of legal data transfer mechanisms. In June 2021, the European Commission published new standard contractual clauses required to be incorporated into new and existing agreements within prescribed timeframes in order to continue to lawfully transfer personal data outside of the EU. Different EU member states, as well as the United Kingdom and Switzerland, have promulgated national privacy laws that impose additional requirements, which add to the complexity of processing and transferring EU personal data. Some countries outside of the EU have reacted to the GDPR by promulgating and enacting new privacy legislation that reflects similar principals and obligations on companies that operate and process their citizens’ personal data. Any failure or perceived failure to comply with privacy-related legal obligations, or any compromise of security of personal data, may result in governmental enforcement actions, litigation, contractual indemnity claims, or restraining orders that would impact our ability to process and share data globally. As we expand our presence into new countries, we must continue to assess our privacy controls to enable the processing of personal data. Guidance on implementation and compliance practices are often updated or otherwise revised. See Part I, Item 1A. “Risk Factors -Other Regulatory and Litigation Risks - </w:t>
      </w:r>
      <w:r>
        <w:rPr>
          <w:rFonts w:ascii="Arial" w:cs="Arial" w:eastAsia="Arial" w:hAnsi="Arial"/>
          <w:sz w:val="16"/>
          <w:szCs w:val="16"/>
          <w:i w:val="1"/>
          <w:iCs w:val="1"/>
          <w:color w:val="auto"/>
        </w:rPr>
        <w:t>We face risks related to the personal data we collect, process, and share</w:t>
      </w:r>
      <w:r>
        <w:rPr>
          <w:rFonts w:ascii="Arial" w:cs="Arial" w:eastAsia="Arial" w:hAnsi="Arial"/>
          <w:sz w:val="16"/>
          <w:szCs w:val="16"/>
          <w:color w:val="auto"/>
        </w:rPr>
        <w: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foregoing, our present business is, and our future business may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manage our business as one segment which includes all activities related to the discovery, development, and commercialization of medicines for serious diseases. For financial information related to our one segment, see our Consolidated Financial Statements and related 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compete in the highly competitive biotechnology and pharmaceuticals industries.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and work environment, informed by our values and behaviors (which we call The Regeneron Way) and our corporate philosophy of “Doing Well by Doing Good”; talent development and career opportunities; and compensation and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Profile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2021, we had 10,368 full-time employees, consisting of 8,564 employed in the United States, 1,648 employed in Ireland, and 156 employed in other countries (including the United Kingdom, Germany, the Netherlands, and Canada). Of these employees, 1,936 were within our research and preclinical development organization, 1,300 were within our global clinical development organization, and 5,037 were within our industrial operations and product supply organization. Company-wide, nearly 1,200 of our full-time employees hold a Ph.D. and/or M.D. None of our employees are represented by a labor union, and our management considers its relations with our employees to be good.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employees represent a broad range of backgrounds, just like the people who take our medicines, and bring a wide array of perspectives and experiences that have helped us achieve our leadership position in the biotechnology and pharmaceuticals industries and the global marketplace. A key component of our corporate culture is our commitment to the promotion of diversity, equity, and inclusion (“DEI”). We believe this commitment allows us to better drive innovation and achieve our mission to repeatedly bring important new medicines to patients with serious diseases. Our DEI principles are reflected in our efforts in building a better workplace where employees can be themselves and succeed, advance medicine for all with better science, and use their voice and influence to create a better world. We empower employee-led cross-functional resource groups (“ERGs”) and interest groups, who connect around a common passion to build a culture of inclusion and collaborate to support under-served science and global communities. In 2021, we launched several new ERGs, all of which align their objectives to our global DEI strategy and provide meaningful professional development opportunities for our workforce, with support from senior leaders as executive sponsors.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are proud of our workforce diversity representation shown in the table below, we seek to continuously improve in this area. In April 2020, we announced our 2025 global responsibility goals, including a commitment to increase diversity in leadership and foster inclusion. Making progress toward this goal, in 2020, we established a DEI steering committee of senior leaders to provide oversight and guidance on our DEI efforts. In 2021, we hired our Chief DEI Officer; launched a DEI strategy focused on creating a better workplace, better science, and better world; and implemented a new governance model that includes both an executive DEI council and a DEI leadership council. These councils are comprised of senior leaders who provide oversight and guidance on our DEI efforts and support the execution of our DEI strategy. In order to better understand our employees’ perspectives, we also conducted an employee engagement survey and launched an objective measure for inclusion and belonging. Our board of directors received a detailed update on our DEI efforts in 2021 and continues to monitor our progress.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Workforce Diversity Representation</w:t>
      </w:r>
      <w:r>
        <w:rPr>
          <w:rFonts w:ascii="Arial" w:cs="Arial" w:eastAsia="Arial" w:hAnsi="Arial"/>
          <w:sz w:val="29"/>
          <w:szCs w:val="29"/>
          <w:b w:val="1"/>
          <w:bCs w:val="1"/>
          <w:color w:val="auto"/>
          <w:vertAlign w:val="superscript"/>
        </w:rPr>
        <w:t>*</w:t>
      </w:r>
    </w:p>
    <w:tbl>
      <w:tblPr>
        <w:tblLayout w:type="fixed"/>
        <w:tblInd w:w="2820" w:type="dxa"/>
        <w:tblCellMar>
          <w:top w:w="0" w:type="dxa"/>
          <w:left w:w="0" w:type="dxa"/>
          <w:bottom w:w="0" w:type="dxa"/>
          <w:right w:w="0" w:type="dxa"/>
        </w:tblCellMar>
      </w:tblPr>
      <w:tr>
        <w:trPr>
          <w:trHeight w:val="209"/>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Female Representation (Global)</w:t>
            </w:r>
          </w:p>
        </w:tc>
        <w:tc>
          <w:tcPr>
            <w:tcW w:w="17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49.3%</w:t>
            </w:r>
          </w:p>
        </w:tc>
      </w:tr>
      <w:tr>
        <w:trPr>
          <w:trHeight w:val="390"/>
        </w:trPr>
        <w:tc>
          <w:tcPr>
            <w:tcW w:w="3880" w:type="dxa"/>
            <w:vAlign w:val="bottom"/>
          </w:tcPr>
          <w:p>
            <w:pPr>
              <w:spacing w:after="0"/>
              <w:rPr>
                <w:sz w:val="20"/>
                <w:szCs w:val="20"/>
                <w:color w:val="auto"/>
              </w:rPr>
            </w:pPr>
            <w:r>
              <w:rPr>
                <w:rFonts w:ascii="Arial" w:cs="Arial" w:eastAsia="Arial" w:hAnsi="Arial"/>
                <w:sz w:val="18"/>
                <w:szCs w:val="18"/>
                <w:color w:val="auto"/>
              </w:rPr>
              <w:t>Minority Representation (U.S. Only)</w:t>
            </w:r>
            <w:r>
              <w:rPr>
                <w:rFonts w:ascii="Arial" w:cs="Arial" w:eastAsia="Arial" w:hAnsi="Arial"/>
                <w:sz w:val="29"/>
                <w:szCs w:val="29"/>
                <w:color w:val="auto"/>
                <w:vertAlign w:val="superscript"/>
              </w:rPr>
              <w:t>**</w:t>
            </w:r>
          </w:p>
        </w:tc>
        <w:tc>
          <w:tcPr>
            <w:tcW w:w="1740" w:type="dxa"/>
            <w:vAlign w:val="bottom"/>
          </w:tcPr>
          <w:p>
            <w:pPr>
              <w:jc w:val="right"/>
              <w:ind w:right="110"/>
              <w:spacing w:after="0"/>
              <w:rPr>
                <w:sz w:val="20"/>
                <w:szCs w:val="20"/>
                <w:color w:val="auto"/>
              </w:rPr>
            </w:pPr>
            <w:r>
              <w:rPr>
                <w:rFonts w:ascii="Arial" w:cs="Arial" w:eastAsia="Arial" w:hAnsi="Arial"/>
                <w:sz w:val="18"/>
                <w:szCs w:val="18"/>
                <w:color w:val="auto"/>
              </w:rPr>
              <w:t>23.6%</w:t>
            </w:r>
          </w:p>
        </w:tc>
      </w:tr>
    </w:tbl>
    <w:p>
      <w:pPr>
        <w:ind w:left="3200" w:hanging="215"/>
        <w:spacing w:after="0" w:line="236" w:lineRule="auto"/>
        <w:tabs>
          <w:tab w:leader="none" w:pos="3200" w:val="left"/>
        </w:tabs>
        <w:numPr>
          <w:ilvl w:val="0"/>
          <w:numId w:val="14"/>
        </w:numPr>
        <w:rPr>
          <w:rFonts w:ascii="Arial" w:cs="Arial" w:eastAsia="Arial" w:hAnsi="Arial"/>
          <w:sz w:val="27"/>
          <w:szCs w:val="27"/>
          <w:color w:val="auto"/>
          <w:vertAlign w:val="superscript"/>
        </w:rPr>
      </w:pPr>
      <w:r>
        <w:rPr>
          <w:rFonts w:ascii="Arial" w:cs="Arial" w:eastAsia="Arial" w:hAnsi="Arial"/>
          <w:sz w:val="16"/>
          <w:szCs w:val="16"/>
          <w:color w:val="auto"/>
        </w:rPr>
        <w:t>Based on full-time employees as of December 31, 2021</w:t>
      </w:r>
    </w:p>
    <w:p>
      <w:pPr>
        <w:spacing w:after="0" w:line="105" w:lineRule="exact"/>
        <w:rPr>
          <w:sz w:val="20"/>
          <w:szCs w:val="20"/>
          <w:color w:val="auto"/>
        </w:rPr>
      </w:pPr>
    </w:p>
    <w:p>
      <w:pPr>
        <w:ind w:left="2980" w:right="2980" w:firstLine="5"/>
        <w:spacing w:after="0" w:line="251" w:lineRule="auto"/>
        <w:tabs>
          <w:tab w:leader="none" w:pos="3155"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Represents the percentage of our full-time employees in the United States that self-identified as belonging to a racial or ethnic minority group. The denominator used in this calculation includes employees who did not disclose information related to their race or ethnicity. Excluding those that did not disclose such information, the percentage shown in this table would be 31.0%.</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Externally, we support DEI efforts in our community, including by supporting young scientific talent in underrepresented communities. For example, through our partnership with the Society for Science, we contribute a substantial amount annually to science, technology, engineering, and mathematics (“STEM”) equity and outreach programs to help increase access to science research education and bridge opportunity gaps among students historically underrepresented in the sciences. We also continue to take steps to further integrate diversity considerations into the design and selection of sites for our clinical studies to make sure they reflect the diversity of patients with the diseases under investigation.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Wellness, Health, and Safety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wellbeing of our employees is a primary focus as we believe that the most productive people are those who are at their best, both physically and mentally. We provide several programs related to employee health and wellness, including onsite amenities and programs such as meditation and prayer rooms and fitness centers. Throughout the COVID-19 pandemic, we have continued to prioritize mental health initiatives and take further action to reduce or remove barriers to quality mental healthcare for our employees and their family members. We also provide support for work-life balance through flex-time, remote working arrangements, child and elder care, and paid parental leave, among others.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Occupational health and safety is critical to our success. We are committed to meeting or exceeding all environmental, health, safety (“EHS”), and security regulations and have a range of programs, plans, and procedures to ensure the safety of all people who come to work at Regeneron. In addition, our 2025 global responsibility goals include a commitment to focus on workplace injury prevention in our drive toward zero incidents.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implemented changes in our business beginning in March 2020 to protect our employees and support appropriate health and safety protocols, such as work-from-home policies for a significant portion of our employees, increased physical distancing in workspaces, and regular testing. As the dynamics of the COVID-19 pandemic continue to evolve, we adjust and tailor our approach based on public health guidance and local community case rates. For our essential employees who remain onsite in our laboratories and manufacturing facilities, we provide personal protective equipment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and require masks to be worn. For any employee who contracts or is exposed to COVID-19, we provide full pay for their entire recovery and quarantine time. In addition, we have established a workforce reintegration plan to facilitate our large-scale return to office. The reintegration plan includes safety measures and procedures in compliance with local, state, and federal mandates.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Growth and Development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invest significant resources to develop talent with the right capabilities to deliver the growth and innovation needed to support our continued success. Our Talent department is dedicated to promoting individual, leader, team, and organizational development through a number of tools and services. We offer a variety of professional development courses for our employees and support employee continuing education, including through educational reimbursement and tuition forgiveness programs. In addition, we continue to invest in our current and future leaders through a number of leadership development courses and programs and feedback and coaching opportunities. In 2021, over 25% of job openings were filled by existing employees who were seeking career development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engaging our employees, from their first day and throughout their career, is key to fostering new ideas and driving commitment and productivity. We communicate frequently and transparently with our employees through a variety of communication methods, including video and written communications, company forums and summits, annual engagement surveys, and pulse surveys.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are also committed to fostering employee volunteerism to reach our 2025 global responsibility goal of driving employee volunteer levels above national standards. Employees are encouraged and empowered to support organizations and causes that are important to them including through, among other things, our matching gift program, volunteer-time-off policy, and our annual company-wide service event, </w:t>
      </w:r>
      <w:r>
        <w:rPr>
          <w:rFonts w:ascii="Arial" w:cs="Arial" w:eastAsia="Arial" w:hAnsi="Arial"/>
          <w:sz w:val="18"/>
          <w:szCs w:val="18"/>
          <w:i w:val="1"/>
          <w:iCs w:val="1"/>
          <w:color w:val="auto"/>
        </w:rPr>
        <w:t>Day for Doing Good</w:t>
      </w:r>
      <w:r>
        <w:rPr>
          <w:rFonts w:ascii="Arial" w:cs="Arial" w:eastAsia="Arial" w:hAnsi="Arial"/>
          <w:sz w:val="18"/>
          <w:szCs w:val="18"/>
          <w:color w:val="auto"/>
        </w:rPr>
        <w:t>. In order to make progress on this goal during the COVID-19 pandemic, we transitioned volunteer programs to virtual formats to continue to support our non-profit partners while safeguarding health and safety.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success of our employee engagement efforts is demonstrated by our employee retention rate of 92.2% in 2021, as well as the fact that nearly 90% of our employees who responded to our annual engagement survey said Regeneron is a great place to work, of which we are especially proud since over 30% of our current workforce was onboarded during the COVID-19 pandemic. Additionally, for the seventh consecutive year, we were recognized on the </w:t>
      </w:r>
      <w:r>
        <w:rPr>
          <w:rFonts w:ascii="Arial" w:cs="Arial" w:eastAsia="Arial" w:hAnsi="Arial"/>
          <w:sz w:val="18"/>
          <w:szCs w:val="18"/>
          <w:i w:val="1"/>
          <w:iCs w:val="1"/>
          <w:color w:val="auto"/>
        </w:rPr>
        <w:t xml:space="preserve">Fortune </w:t>
      </w:r>
      <w:r>
        <w:rPr>
          <w:rFonts w:ascii="Arial" w:cs="Arial" w:eastAsia="Arial" w:hAnsi="Arial"/>
          <w:sz w:val="18"/>
          <w:szCs w:val="18"/>
          <w:color w:val="auto"/>
        </w:rPr>
        <w:t>”100 Best Companies to Work For” list in 2021. We have also placed in the top five for the past 11 years in</w:t>
      </w:r>
      <w:r>
        <w:rPr>
          <w:rFonts w:ascii="Arial" w:cs="Arial" w:eastAsia="Arial" w:hAnsi="Arial"/>
          <w:sz w:val="18"/>
          <w:szCs w:val="18"/>
          <w:i w:val="1"/>
          <w:iCs w:val="1"/>
          <w:color w:val="auto"/>
        </w:rPr>
        <w:t xml:space="preserve"> Science </w:t>
      </w:r>
      <w:r>
        <w:rPr>
          <w:rFonts w:ascii="Arial" w:cs="Arial" w:eastAsia="Arial" w:hAnsi="Arial"/>
          <w:sz w:val="18"/>
          <w:szCs w:val="18"/>
          <w:color w:val="auto"/>
        </w:rPr>
        <w:t>magazine’s annual “Top</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Employers Survey” of the global biotechnology and pharmaceutical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committed to rewarding and supporting our employees in order to continue to attract and retain top talent. We believe this commitment supports our core strategy of creating and advancing a high-quality product pipeline and delivering medicines to people in need. Employee engagement, commitment, and achievements are key drivers of pipeline success and therefore our long-term performance. The primary underpinning of our pay philosophy is to award equity-based pay to all eligible employees to ensure that when we deliver for patients and for shareholders, everyone shares in the upside growth. Our practice, therefore, has been to award initial equity grants to all new hires, in addition to our comprehensive annual equity program. Total employee compensation packages (which varies by country and region) include market-competitive pay (with the opportunity to receive above-market rewards), broad-based grants of equity-based awards, comprehensive healthcare benefits, and retirement savings options and matching contributions. We annually review our workforce demographic and pay equity data to track our performance and inform new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Investors and other interested parties should note that we use our media and investor relations website (</w:t>
      </w:r>
      <w:r>
        <w:rPr>
          <w:rFonts w:ascii="Arial" w:cs="Arial" w:eastAsia="Arial" w:hAnsi="Arial"/>
          <w:sz w:val="18"/>
          <w:szCs w:val="18"/>
          <w:i w:val="1"/>
          <w:iCs w:val="1"/>
          <w:color w:val="auto"/>
        </w:rPr>
        <w:t>http://newsroom.regeneron.com</w:t>
      </w:r>
      <w:r>
        <w:rPr>
          <w:rFonts w:ascii="Arial" w:cs="Arial" w:eastAsia="Arial" w:hAnsi="Arial"/>
          <w:sz w:val="18"/>
          <w:szCs w:val="18"/>
          <w:color w:val="auto"/>
        </w:rPr>
        <w:t>) and our social media channels to publish important information about Regeneron, including information that may be deemed material to investors. We encourage investors and other interested parties to review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information we may publish through our media and investor relations website and the social media channels listed on our media and investor relations website, in addition to our SEC filings, press releases, conference calls, and webcasts.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on our websites and social media channels is not included as a part of, or incorporated by reference into,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SEC before making an investment decision regarding Regeneron.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jc w:val="both"/>
        <w:ind w:left="660" w:hanging="328"/>
        <w:spacing w:after="0" w:line="271"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business may be further adversely affected by the effects of the COVID-19 pandemic, including those impacting our manufacturing and supply chain operations, research and development efforts, commercial operations and sales force, administrative personnel, third-party service providers, and business partners and customers, as well as the demand for our marketed products.</w:t>
      </w:r>
    </w:p>
    <w:p>
      <w:pPr>
        <w:ind w:left="660" w:hanging="328"/>
        <w:spacing w:after="0" w:line="26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related to the development, manufacturing, and commercialization of REGEN-COV and “next generation” monoclonal antibodies targeting SARS-CoV-2.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Risks</w:t>
      </w:r>
    </w:p>
    <w:p>
      <w:pPr>
        <w:spacing w:after="0" w:line="22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substantially dependent on the success of EYLEA and Dupixent.</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products are dependent on the availability and extent of reimbursement from third-party payors, including private payors and government programs such as Medicare and Medicaid, which could change due to various factors such as drug price control measures that have been or may be introduced in the United States by various federal and state authorities.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commercial success of our products is subject to significant competition from products or product candidates that may be superior to, or more cost effective than, our products or product candidates.</w:t>
      </w:r>
    </w:p>
    <w:p>
      <w:pPr>
        <w:ind w:left="660" w:hanging="328"/>
        <w:spacing w:after="0" w:line="2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and our collaborators on which we rely to commercialize some of our marketed products may be unable to continue to successfully commercialize or co-commercialize our products, both in the United States and abroad.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Development Risks</w:t>
      </w:r>
    </w:p>
    <w:p>
      <w:pPr>
        <w:spacing w:after="0" w:line="22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Drug development and obtaining and maintaining regulatory approval for drug products is costly, time-consuming, and highly uncertain.</w:t>
      </w:r>
    </w:p>
    <w:p>
      <w:pPr>
        <w:spacing w:after="0" w:line="34"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Many of our products are intended to be used in combination with drug-delivery devices, which may result in additional regulatory, commercialization, and other risks.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Intellectual Property and Market Exclusivity Risks</w:t>
      </w:r>
    </w:p>
    <w:p>
      <w:pPr>
        <w:spacing w:after="0" w:line="229"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protect the confidentiality of our trade secrets, and our patents or other means of defending our intellectual property may be insufficient to protect our proprietary rights.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or limitation of patent rights, and regulatory pathways for biosimilar competition, could reduce the duration of market exclusivity for our products, including EYLEA.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Risks</w:t>
      </w:r>
    </w:p>
    <w:p>
      <w:pPr>
        <w:spacing w:after="0" w:line="229" w:lineRule="exact"/>
        <w:rPr>
          <w:sz w:val="20"/>
          <w:szCs w:val="20"/>
          <w:color w:val="auto"/>
        </w:rPr>
      </w:pPr>
    </w:p>
    <w:p>
      <w:pPr>
        <w:jc w:val="both"/>
        <w:ind w:left="660" w:hanging="328"/>
        <w:spacing w:after="0" w:line="26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77"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and Litigation Risks</w:t>
      </w:r>
    </w:p>
    <w:p>
      <w:pPr>
        <w:spacing w:after="0" w:line="229" w:lineRule="exact"/>
        <w:rPr>
          <w:sz w:val="20"/>
          <w:szCs w:val="20"/>
          <w:color w:val="auto"/>
        </w:rPr>
      </w:pPr>
    </w:p>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testing or use of our products harms people, or is perceived to harm them even when such harm is unrelated to our products, we could be subject to costly and damaging product liability claims.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activities have been, and may in the future be, challenged under federal or state healthcare laws, which may subject us to civil or criminal proceedings, investigations, or penalties.</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operations are subject to environmental, health, and safety laws and regulations, including those governing the use of hazardous materials.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and regulations affecting the healthcare industry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liabilities and risks associated with our operations outside of the United States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face risks related to the personal data we collect, process, and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our collaborations with Sanofi or Bayer are terminated or breached, our ability to develop, manufacture, and commercialize certain of our products and product candidates in the time expected, or at all, would be materially harmed.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collaborators and service providers may fail to perform adequately in their efforts to support the development, manufacture, and commercialization of our drug candidates and current and future products.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Other Risks Factors – Risks Related to Employees, Information Technology, Financial Results and Liquidity, and Our Common Stock</w:t>
      </w:r>
    </w:p>
    <w:p>
      <w:pPr>
        <w:spacing w:after="0" w:line="241"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dependent on our key personnel and will be harmed if we cannot recruit and retain leaders in our research, development, manufacturing, and commercial organizations.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breaches of data security could adversely affect our business.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need additional funding in the future, which may not be available to us, and which may force us to delay, reduce, or eliminate our product development programs or commercialization efforts.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indebtedness could adversely impact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stock price is extremely volatile.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existing shareholders may be able to exert significant influence over matters requiring shareholder approval and over our management.</w:t>
      </w:r>
    </w:p>
    <w:p>
      <w:pPr>
        <w:spacing w:after="0" w:line="222" w:lineRule="exact"/>
        <w:rPr>
          <w:rFonts w:ascii="Arial" w:cs="Arial" w:eastAsia="Arial" w:hAnsi="Arial"/>
          <w:sz w:val="17"/>
          <w:szCs w:val="17"/>
          <w:color w:val="auto"/>
        </w:rPr>
      </w:pPr>
    </w:p>
    <w:p>
      <w:pPr>
        <w:ind w:left="5220"/>
        <w:spacing w:after="0"/>
        <w:rPr>
          <w:rFonts w:ascii="Arial" w:cs="Arial" w:eastAsia="Arial" w:hAnsi="Arial"/>
          <w:sz w:val="17"/>
          <w:szCs w:val="17"/>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further adversely affected by the effects of the COVID-19 pandemic.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a novel strain of coronavirus, SARS-CoV-2, causing a disease referred to as COVID-19, was reported to have surfaced in Wuhan, China. It has since spread around the world and caused a global pandemic. This pandemic has adversely affected 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COVID-19 pandemic has resulted in the imposition of various restrictions and mandates around the world to reduce the spread of the disease, including governmental orders that direct individuals to shelter at their places of residence, direct businesses and governmental agencies to cease non-essential operations at physical locations, prohibit certain non-essential gatherings, maintain social distancing, order cessation of non-essential travel, and require proof of vaccination and/or negative COVID-19 test results. The COVID-19 pandemic has continued to ebb and flow, with different jurisdictions having higher levels of infections than others and new variants of the SARS-CoV-2 virus (such as the Omicron variant) emerging and spreading more easily and quickly than other variants. As the pandemic continues to rapidly evolve, its ultimate impact is highly uncertain and subject to change and we do not yet know the full extent of potential delays or impacts on our business, our clinical trials, healthcare systems, or the global economy as a whole. These effects could have a material impact on our operations.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By way of example, continuation or re-imposition of various government-imposed or private-sector measures relating to the COVID-19 pandemic (including those we previously implemented, such as work-from-home policies for some employees) may further negatively impact productivity, disrupt our business, and delay our clinical programs and development timelines beyond the delays we have already experienced and disclosed. Such restrictions and limitations may also further negatively impact our access to regulatory authorities (which are affected, among other things, by applicable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We and our employees may also be subject to government vaccine mandates, such as President Biden’s recent Executive Order entitled “Executive Order on Ensuring Adequate COVID Safety Protocols for Federal Contractors” applicable to certain federal contractors. While enforcement of this mandate is currently enjoined and a similar mandate was recently struck down by the United States Supreme Court, if this mandate or any similar mandate becomes applicable to us, it may have a negative impact on our ability to retain employees or hire new employees and could adversely impact our business. In addition, our sales and marketing efforts were previously negatively impacted and may be further negatively impacted by postponement or cancellation of face-to-face meetings and restrictions on access by non-essential personnel to hospitals or clinics to the extent such measures slow down adoption or further commercialization of our marketed products. The demand for our marketed products may also be adversely impacted by the restrictions and limitations adopted in response to the COVID-19 pandemic, particularly to the extent they affect the patients’ ability or willingness to start or continue treatment with our marketed products. Any of the foregoing factors may result in lower net product sales of our marketed products. For example, net product sales of EYLEA in the United States decreased for the three months ended June 30, 2020, compared to the same period in 2019, due in part to the impact of the COVID-19 pandemic. See Part II, Item 7. “Management’s Discussion and Analysis of Financial Condition and Results of Operations - Results of Operations” for a discussion of our net product sales. Demand for some or all of our marketed products may be further reduced if shelter-in-place, social distancing,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7" w:name="page48"/>
    <w:bookmarkEnd w:id="47"/>
    <w:p>
      <w:pPr>
        <w:jc w:val="both"/>
        <w:spacing w:after="0" w:line="263" w:lineRule="auto"/>
        <w:rPr>
          <w:sz w:val="20"/>
          <w:szCs w:val="20"/>
          <w:color w:val="auto"/>
        </w:rPr>
      </w:pPr>
      <w:r>
        <w:rPr>
          <w:rFonts w:ascii="Arial" w:cs="Arial" w:eastAsia="Arial" w:hAnsi="Arial"/>
          <w:sz w:val="18"/>
          <w:szCs w:val="18"/>
          <w:color w:val="auto"/>
        </w:rPr>
        <w:t>similar orders remain in effect or are re-implemented and, as a result, some of our inventory may become obsolete and may need to be written off, impacting our operating results. These and similar, and perhaps more severe, disruptions in our operations may materially adversely impact our business, operating results, and financial condition.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Various government-imposed or private-sector measures relating to the COVID-19 pandemic (or the perception that such restrictions or limitations on the conduct of business operations could occur) previously impacted, and may impact in the future, personnel at our research and manufacturing facilities, our suppliers, and other third parties on which we rely, as well as the availability or cost of materials produced by or purchased from such parties, resulting in supply chain strains or disruptions that may become material. While some materials and services may be obtained from more than one supplier or provider, port closures and other restrictions, whether resulting from the COVID-19 pandemic or otherwise (including any government restrictions or limitations, such as those that may be imposed under the Defense Production Act), could materially disrupt our supply chain or limit our ability to obtain sufficient materials or services (including fill/finish services) required for the development and manufacturing of our products and product candidates as well as our research efforts. If microbial, viral (including COVID-19), or other contaminations are discovered in our products, product candidates, the materials used for their production, or in our facilities, or in the facilities of our collaborators, third-party contract manufacturers, or other providers or suppliers, the affected facilities may need to be closed or may otherwise be affected for an extended period of time, or the contamination may result in other delays or disruptions in our direct or indirect supply chain.</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infections, hospitalizations, and deaths related to COVID-19 previously disrupted and may in the future disrupt the United States’ healthcare and healthcare regulatory systems. Such disruptions could divert healthcare resources away from, or materially delay, FDA review and potential approval of our product candidates and new indications for our marketed products. In addition, some of our clinical trials were previously and may in the future be affected by the COVID-19 pandemic. This impact could result in further delays in site initiation and patient enrollment due to prioritization of hospital resources toward the COVID-19 pandemic, patients’ inability to comply with clinical trial protocols if quarantines impede patient movement or interrupt healthcare services, and restrictions on trial initiations imposed by hospitals and other trial sites as a result of the COVID-19 pandemic. Similarly, our ability to recruit and retain patients and principal investigators and site staff who, as healthcare providers, may have heightened exposure to COVID-19, was previously and may in the future be delayed or disrupted. We continue to evaluate the adverse impact of the COVID-19 pandemic on an individual trial basis. Any such disruptions may further negatively impact the progress of our clinical trials, including the readouts of trial results, the timing of regulatory review, and any anticipated program milestones.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it previously caused significant disruption of global financial markets and could cause more economic disruption in the future, making it more difficult for us to access capital if needed. In addition, a recession or market correction resulting from the spread of COVID-19 could materially affect our business and the value of our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risks related to the development, manufacturing, and commercialization of REGEN-COV and “next generation” monoclonal antibodies targeting SARS-CoV-2.</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response to the COVID-19 pandemic, we developed REGEN-COV (known as Ronapreve in other countries outside the United States), a novel investigational antibody cocktail treatment designed to prevent and treat infection from the SARS-CoV-2 virus. REGEN-COV received an EUA from the FDA in November 2020 for the treatment of mild to moderate COVID-19 in certain patients. However, based on laboratory data that showed markedly decreased binding to the Omicron spike protein, REGEN-COV is highly unlikely to be active against the Omicron variant. In January 2022, the FDA revised the EUA to exclude its use in geographic regions where, based on available information including variant susceptibility and regional variant frequency, infection or exposure is likely due to a variant such as Omicron that is not susceptible to the treatment. With this EUA revision, REGEN-COV is not currently authorized for use in any U.S. states, territories, or jurisdictions, since Omicron is currently the dominant variant across the United States.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light of these developments, we cannot predict whether (if at all) or to what extent REGEN-COV may be reauthorized for use by the FDA in any such jurisdictions in the future. In addition, there can be no assurance with respect to how long the EUA will remain in effect or whether the EUA will be further revised or revoked by the FDA based on its determination that the underlying health emergency no longer exists or warrants such authorization or other reasons. Similar limitations on the use of REGEN-COV may also be imposed by foreign regulatory authorities in jurisdictions where REGEN-COV is currently authorized for use. It is also possible that the FDA and certain other regulatory authorities may not grant REGEN-COV full marketing approval for the treatment or prevention of COVID-19, or that any such marketing approvals, if granted, may have similar or other significant limitations on its use. Further, besides currently available therapeutic and prevention options for COVID-19, additional products for treatment or prevention of COVID-19 that are more efficacious, more easily administered, more cost-effective, or otherwise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8" w:name="page49"/>
    <w:bookmarkEnd w:id="48"/>
    <w:p>
      <w:pPr>
        <w:jc w:val="both"/>
        <w:spacing w:after="0" w:line="270" w:lineRule="auto"/>
        <w:rPr>
          <w:sz w:val="20"/>
          <w:szCs w:val="20"/>
          <w:color w:val="auto"/>
        </w:rPr>
      </w:pPr>
      <w:r>
        <w:rPr>
          <w:rFonts w:ascii="Arial" w:cs="Arial" w:eastAsia="Arial" w:hAnsi="Arial"/>
          <w:sz w:val="17"/>
          <w:szCs w:val="17"/>
          <w:color w:val="auto"/>
        </w:rPr>
        <w:t>superior may be successfully developed; and utilization of REGEN-COV previously was, and any future utilization may be, adversely impacted by other factors, such as the rollout of vaccines providing acquired immunity against COVID-19, other products for treatment or prevention of COVID-19, or the distribution model for REGEN-COV. Any of these factors may further negatively impact any potential future uptake or commercialization of REGEN-COV, and such impact may be material. The intense public interest, including speculation by the media, in the development and commercialization of monoclonal antibodies and other products for treatment or prevention of COVID-19 has caused or contributed to significant volatility in our stock price, which may continue as data and other information from any studies evaluating REGEN-COV (whether conducted by us or others), our “next generation” monoclonal antibodies targeting SARS-CoV-2 discussed below, and third-party product candidates for the treatment or prevention of COVID-19 as well as any other regulatory actions become public. We are also subject to similar risks in connection with the development and potential commercialization of any such “next generation” monoclonal antibodies.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REGEN-COV program, we are progressing “next generation” monoclonal antibodies targeting SARS-CoV-2 that are active against Omicron, Delta, and other variants of concern. Although, pending regulatory discussions, new therapeutic candidates could enter clinical development in the coming months, there can be no assurance of the timing of commencement or completion of any such future studies or favorable results from any of them.</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face risks related to our significant investment in the development, supply, allocation, distribution, pricing, and commercialization of REGEN-COV and our “next generation” monoclonal antibodies (together with REGEN-COV referred to below as “our COVID-19 monoclonal antibodies”). Given the severity and urgency of the COVID-19 pandemic, we have committed and expect to continue to commit significant capital and resources to fund and supply clinical trials and to accelerate and scale up the production of our COVID-19 monoclonal antibodies, which involves a complex manufacturing process that is both resource- and time-sensitive. We expect our investment in the development and manufacture of our COVID-19 monoclonal antibodies to continue through 2022 and potentially beyond, although the magnitude of our investment will be subject to clinical data results, the duration of the COVID-19 pandemic, and other factors, including regulatory outcomes. If we are unable to obtain a new EUA for any of our “next generation” monoclonal antibodies, or obtain regulatory approvals for any of the foregoing, or if we make a strategic decision to discontinue development of our COVID-19 monoclonal antibodies or are otherwise not successful in their commercialization, we may be unable to recoup our significant expenses incurred to date and/or in the future related to the development and production of our COVID-19 monoclonal antibodies. While we previously recognized significant revenues in connection with sales of REGEN-COV, the degree to which future sales of our COVID-19 monoclonal antibodies will continue to impact our results of operations is highly uncertain.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our internal and contracted manufacturing capacity may not be sufficient to cover any potential future demand for our COVID-19 monoclonal antibodies. While we have entered into a collaboration agreement with Roche to develop, manufacture, and distribute outside the United States REGEN-COV, we cannot be certain that our current manufacturing and distribution capacity for REGEN-COV and the increased manufacturing and distribution capacity through our collaboration with Roche will be sufficient if there is significant future demand for REGEN-COV. In addition, we rely entirely on third parties for filling and finishing services for REGEN-COV and, in the future, may rely entirely on such providers for filling and finishing services for our other COVID-19 monoclonal antibodies. Our third-party fill/finish providers may not have sufficient capacity or may otherwise not be able to provide such services on a timely basis in the quantities requested (such as because they devote their capacity to other drugs or vaccines against COVID-19), which we previously experienced. The ability of our third-party providers to deliver such services to us may further be adversely impacted by the imposition of government restrictions or limitations (including those that may be imposed under the Defense Production Act). If we are unable to timely enter into alternative arrangements, or if such alternative arrangements are not available on satisfactory terms or at all, we may experience delays in the development, manufacturing, and distribution of our COVID-19 monoclonal antibodies.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and Roche have faced and may in the future face additional challenges related to the allocation of supply of REGEN-COV and other COVID-19 monoclonal antibodies (as applicable), particularly with respect to geographic distribution. For example, if supplies of REGEN-COV are constrained in response to future demand, it is possible that the U.S. government may limit or restrict our and/or Roche’s ability to distribute and commercialize REGEN-COV outside the United States. In addition, as a result of the emergency situations in many countries, there is a heightened risk that products for treatment or prevention of COVID-19 may be subject to adverse governmental actions in certain countries. The U.S. government may exercise or assert certain rights with respect to our inventions, products, or product candidates. For example, under the Defense Production Act, the U.S. government may, among other things, require domestic industries to provide essential goods and services needed for the national defense, such as drug material or other supplies needed to treat COVID-19 patients, which could require us to allocate manufacturing capacity in a way that impacts our regular operations. In addition, our agreements with the U.S. government contain provisions granting the U.S. government certain rights relating to products, product candidates, and related inventions (as applicable) covered by those agreements. For example, our July 2020 agreement with the U.S. government to manufacture and deliver REGEN-COV to the U.S. government gives the U.S. government, among other rights, the right to require us to grant a non-exclusive license to applicable inventions to a third party if such action is deemed necessary to alleviate certain health or safety needs. This right may be triggered if we, for example, do not manufacture or supply sufficient product to address such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9" w:name="page50"/>
    <w:bookmarkEnd w:id="49"/>
    <w:p>
      <w:pPr>
        <w:jc w:val="both"/>
        <w:spacing w:after="0" w:line="293" w:lineRule="auto"/>
        <w:rPr>
          <w:sz w:val="20"/>
          <w:szCs w:val="20"/>
          <w:color w:val="auto"/>
        </w:rPr>
      </w:pPr>
      <w:r>
        <w:rPr>
          <w:rFonts w:ascii="Arial" w:cs="Arial" w:eastAsia="Arial" w:hAnsi="Arial"/>
          <w:sz w:val="16"/>
          <w:szCs w:val="16"/>
          <w:color w:val="auto"/>
        </w:rPr>
        <w:t>needs. If the U.S. government exercises or asserts any such rights or imposes these or similar measures with respect to our products, product candidates, or related inventions (including our COVID-19 monoclonal antibodies), it may adversely impact our business and results of operations. Foreign governments (including the government of Ireland, where we have manufacturing facilities) may have similar rights or attempt to assert any such rights. Further, we have observed and are likely to continue to face significant public attention and scrutiny over the complex decisions made regarding the development program for our COVID-19 monoclonal antibodies, including any allocation, distribution, or pricing decisions. If we are unable to successfully manage these risks, we could face significant reputational harm, which could, among other adverse consequences, negatively affect our stock price.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 of Our Marketed Products, Product Candidates, and New Indications for Our Marketed Products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substantially dependent on the success of EYLEA and Dupixent.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EYLEA net sales represent a substantial portion of our revenues and this concentration of our net sales in a single product makes us substantially dependent on that product. For the years ended December 31, 2021 and 2020, EYLEA net sales in the United States represented 36% and 58% of our total revenues, respectively, with EYLEA net sales as a percentage of our total revenues for the year ended December 31, 2021 being significantly lower due to the net product sales of REGEN-COV we recorded in that period in connection with deliveries of drug product under our agreements with the U.S. government.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we are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the degree of commercial success of our marketed products will continue to depend on many factors, including the following (as applicable):</w:t>
      </w:r>
    </w:p>
    <w:p>
      <w:pPr>
        <w:spacing w:after="0" w:line="170" w:lineRule="exact"/>
        <w:rPr>
          <w:sz w:val="20"/>
          <w:szCs w:val="20"/>
          <w:color w:val="auto"/>
        </w:rPr>
      </w:pPr>
    </w:p>
    <w:p>
      <w:pPr>
        <w:jc w:val="both"/>
        <w:ind w:left="660" w:hanging="328"/>
        <w:spacing w:after="0" w:line="26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continued impact of SARS-CoV-2 (the virus that has caused the COVID-19 pandemic) on our business and the demand for our marketed products, as well as its continued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Arial" w:cs="Arial" w:eastAsia="Arial" w:hAnsi="Arial"/>
          <w:sz w:val="17"/>
          <w:szCs w:val="17"/>
          <w:i w:val="1"/>
          <w:iCs w:val="1"/>
          <w:color w:val="auto"/>
        </w:rPr>
        <w:t>Our business may be further adversely affected by the effects of the COVID-19 pandemic</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effectiveness of the commercial strategy in and outside the United States for the marketing of our products, including pricing strategy;</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introduced in the United States by various federal and state authorities);</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branded and biosimilar competition for EYLEA (discussed further under “</w:t>
      </w:r>
      <w:r>
        <w:rPr>
          <w:rFonts w:ascii="Arial" w:cs="Arial" w:eastAsia="Arial" w:hAnsi="Arial"/>
          <w:sz w:val="17"/>
          <w:szCs w:val="17"/>
          <w:i w:val="1"/>
          <w:iCs w:val="1"/>
          <w:color w:val="auto"/>
        </w:rPr>
        <w:t>The commercial success of 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products and product candidates is subject to significant competition - </w:t>
      </w:r>
      <w:r>
        <w:rPr>
          <w:rFonts w:ascii="Arial" w:cs="Arial" w:eastAsia="Arial" w:hAnsi="Arial"/>
          <w:sz w:val="17"/>
          <w:szCs w:val="17"/>
          <w:color w:val="auto"/>
        </w:rPr>
        <w:t>Marketed Products” below) and the willingness of retinal specialists and</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to start or continue treatment with EYLEA or to switch from another product to EYLEA;</w:t>
      </w: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 complications or side effects in connection with the use of our products and in clinical trials for our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candidates and new indications for our marketed products could cause our regulatory approvals to be revoked or limited or lead to delay or discontinuation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0" w:name="page51"/>
    <w:bookmarkEnd w:id="50"/>
    <w:p>
      <w:pPr>
        <w:ind w:left="660"/>
        <w:spacing w:after="0" w:line="258" w:lineRule="auto"/>
        <w:rPr>
          <w:sz w:val="20"/>
          <w:szCs w:val="20"/>
          <w:color w:val="auto"/>
        </w:rPr>
      </w:pPr>
      <w:r>
        <w:rPr>
          <w:rFonts w:ascii="Arial" w:cs="Arial" w:eastAsia="Arial" w:hAnsi="Arial"/>
          <w:sz w:val="18"/>
          <w:szCs w:val="18"/>
          <w:i w:val="1"/>
          <w:iCs w:val="1"/>
          <w:color w:val="auto"/>
        </w:rPr>
        <w:t>development of our product candidates or new indications for our marketed products, which could severely harm our business, prospects, operating results, and financial condition</w:t>
      </w:r>
      <w:r>
        <w:rPr>
          <w:rFonts w:ascii="Arial" w:cs="Arial" w:eastAsia="Arial" w:hAnsi="Arial"/>
          <w:sz w:val="18"/>
          <w:szCs w:val="18"/>
          <w:color w:val="auto"/>
        </w:rPr>
        <w:t>” below;</w:t>
      </w:r>
    </w:p>
    <w:p>
      <w:pPr>
        <w:spacing w:after="0" w:line="1" w:lineRule="exact"/>
        <w:rPr>
          <w:sz w:val="20"/>
          <w:szCs w:val="20"/>
          <w:color w:val="auto"/>
        </w:rPr>
      </w:pP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the pending proceedings relating to EYLEA, Dupixent, Praluent, and REGEN-COV (described further in Note 15 to our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the pending government proceedings and investigations and other matters described in Note 15 to our Consolidated Financial Statements included in this report (including the civil complaint filed against us on June 24, 2020 in the U.S. District Court for the District of Massachusetts by the U.S. Attorney’s Office for the District of Massachusetts); and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 regulatory approval for drug</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is costly, time-consuming, and highly uncertain</w:t>
      </w:r>
      <w:r>
        <w:rPr>
          <w:rFonts w:ascii="Arial" w:cs="Arial" w:eastAsia="Arial" w:hAnsi="Arial"/>
          <w:sz w:val="17"/>
          <w:szCs w:val="17"/>
          <w:color w:val="auto"/>
        </w:rPr>
        <w:t>”), the applicable marketing approval may be withdrawn, which would materially harm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Our or our collaborators’ failure to meet the stringent</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7"/>
          <w:szCs w:val="17"/>
          <w:color w:val="auto"/>
        </w:rPr>
        <w:t>” below.</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dependent, in large part, on similar reimbursement mechanisms and programs in those countries.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revenues and profitability will be adversely affected in a material manner if such third-party payors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(which will likely be exacerbated as a result of the COVID-19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pandemic), our currently marketed products and product candidates are likely to be subject to continued pricing pressures, which may have an adverse impact on our business, prospects, operating results, and financial condition.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 this trend may be further accelerated as a result of the COVID-19 pandemic.</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there have been several recent U.S. Congressional inquiries and proposed federal and state legislation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President Biden and various members of his administration and the current U.S. Congress have indicated that lowering drug prices continues to be a legislative and political priority, as evidenced, for example, by the “Executive Order on Promoting Competition in the American Economy” issued by President Biden in July 2021. The main proposal aimed at drug pricing introduced at the federal level as part of the “Build Back Better Act” includes measures that would allow the government to negotiate prices of certain prescription drugs under Medicare (including those covered under Medicare Part B, such as EYLEA) and would redesign the Medicare Part D benefit to limit patient out-of-pocket drug costs and shift liabilities among stakeholders, including manufacturers.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proposals, initiatives, and developments described above) could have a material adverse effect on the sales of EYLEA or our other marketed products. Economic pressure on state budgets may also have a similar impact.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PBMs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significant competition.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EYLEA faces significant competition in the marketplace. For example, EYLEA competes in one or more of its approved indications with other VEGF inhibitors, including Novartis and Genentech/Roche’s Lucentis, Novartis’ Beovu, and Genentech/ Roche’s Susvimo, as well as Samsung Bioepis and</w:t>
      </w:r>
    </w:p>
    <w:p>
      <w:pPr>
        <w:jc w:val="both"/>
        <w:spacing w:after="0" w:line="256" w:lineRule="auto"/>
        <w:rPr>
          <w:sz w:val="20"/>
          <w:szCs w:val="20"/>
          <w:color w:val="auto"/>
        </w:rPr>
      </w:pPr>
      <w:r>
        <w:rPr>
          <w:rFonts w:ascii="Arial" w:cs="Arial" w:eastAsia="Arial" w:hAnsi="Arial"/>
          <w:sz w:val="17"/>
          <w:szCs w:val="17"/>
          <w:color w:val="auto"/>
        </w:rPr>
        <w:t>Biogen’s biosimilar referencing Lucentis. In addition, Genentech/Roche recently announced the approval of Vabysmo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(faricimab-svoa), a bispecific antibody targeting both VEGF and Ang2, for the treatment of wet AMD and DME in the United States.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In addition, we are aware of several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for Dupixent’s current and potential future indications is also increasingly competitive. In atopic dermatitis, there are several topical ointments or agents either approved or in development. There are also topical and systemic JAK inhibitors and an antibody against IL-13 approved for atopic dermatitis and others are in development. In addition, a number of companies are developing antibodies against IL-13Ra1, OX40, IL-31R, and/or IL-1alpha.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There are several other potentially competitive products in development that may compete with Dupixent in asthma, as well as potential future indications, including antibodies against the IL-33 ligand or receptor. Dupixent also faces competition from inhaled products in asthma and potential future indications.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Libtayo also faces significant competition. There are several competitors that are marketing and/or developing antibodies against PD-1 and/or PDL-1 (some of which were approved in the relevant indications and commercialized before Libtayo), including Merck’s Keytruda, Bristol-Myers Squibb’s Opdivo, Roche’s Tecentriq, and AstraZeneca’s Imfinzi.</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is also significant actual and potential future competition for other products marketed or otherwise commercialized by us 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compete with Praluent, Evkeeza, and Kevzara,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Candidates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8"/>
          <w:szCs w:val="18"/>
          <w:color w:val="auto"/>
        </w:rPr>
        <w:t>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collaborations with Bayer and Sanofi for commercializing some of our marketed products.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as in effect from time to time) for sales, marketing, and distribution of EYLEA in countries outside the United States.</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under the terms of our Antibody Collaboration and our IO Collaboration, we and Sanofi co-commercialize Dupixent and Libtayo in the United States. As a result, we rely in part on Sanofi’s sales and marketing organization in the United States for these products. If we and Sanofi fail to coordinate our United States sales and marketing efforts effectively, sales of any of such products may be materially affected. Sanofi also maintains other important responsibilities relating to Dupixent in the United States. For example, Sanofi records product sales for Dupixent in the United States and leads negotiations with payors relating to this product. We also rely on Sanofi for sales, marketing, and distribution of Dupixent and Libtayo in countries outside the United States. While we exercised our option under the Antibody Collaboration to co-commercialize Dupixent in certain jurisdictions outside the United States and have commenced this co-commercialization, we will continue to rely in part on Sanofi’s sales and marketing organization in such jurisdictions and there can be no assurance that we will be able to successfully conduct such co-commercialization in the expected time frame or at all.</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Arial" w:cs="Arial" w:eastAsia="Arial" w:hAnsi="Arial"/>
          <w:sz w:val="17"/>
          <w:szCs w:val="17"/>
          <w:i w:val="1"/>
          <w:iCs w:val="1"/>
          <w:color w:val="auto"/>
        </w:rPr>
        <w:t>If our collaboration with Bayer for EYLEA is terminated, or Bayer materially breaches its</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7"/>
          <w:szCs w:val="17"/>
          <w:color w:val="auto"/>
        </w:rPr>
        <w:t>” below and “Risks Related to Our Reliance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Third Parties - </w:t>
      </w:r>
      <w:r>
        <w:rPr>
          <w:rFonts w:ascii="Arial" w:cs="Arial" w:eastAsia="Arial" w:hAnsi="Arial"/>
          <w:sz w:val="17"/>
          <w:szCs w:val="17"/>
          <w:i w:val="1"/>
          <w:iCs w:val="1"/>
          <w:color w:val="auto"/>
        </w:rPr>
        <w:t>If our Antibody Collaboration or our IO Collaboration with Sanofi is terminated, or Sanofi materially breaches its obligations thereunder,</w:t>
      </w:r>
      <w:r>
        <w:rPr>
          <w:rFonts w:ascii="Arial" w:cs="Arial" w:eastAsia="Arial" w:hAnsi="Arial"/>
          <w:sz w:val="17"/>
          <w:szCs w:val="17"/>
          <w:color w:val="auto"/>
        </w:rPr>
        <w:t xml:space="preserve"> </w:t>
      </w:r>
      <w:r>
        <w:rPr>
          <w:rFonts w:ascii="Arial" w:cs="Arial" w:eastAsia="Arial" w:hAnsi="Arial"/>
          <w:sz w:val="17"/>
          <w:szCs w:val="17"/>
          <w:i w:val="1"/>
          <w:iCs w:val="1"/>
          <w:color w:val="auto"/>
        </w:rPr>
        <w:t>our business, prospects, operating results, and financial condition, and our ability to develop, manufacture, and commercialize certain of our products and product candidates in the time expected, or at all, would be materially harmed</w:t>
      </w:r>
      <w:r>
        <w:rPr>
          <w:rFonts w:ascii="Arial" w:cs="Arial" w:eastAsia="Arial" w:hAnsi="Arial"/>
          <w:sz w:val="17"/>
          <w:szCs w:val="17"/>
          <w:color w:val="auto"/>
        </w:rPr>
        <w:t>” below.</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8"/>
          <w:szCs w:val="18"/>
          <w:color w:val="auto"/>
        </w:rPr>
        <w:t>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sell our marketed products for which we record net product sales in the United States to several distributors and specialty pharmacies, as applicable, which generally sell the product directly to healthcare providers or other pharmacies (as applicable). For the years ended December 31, 2021 and 2020, our gross product sales of such products to two customers accounted on a combined basis for 48% and 83% of our total gross product revenue, respectively, and gross product sales of REGEN-COV to the U.S. government accounted for an additional 43% of our gross product revenue for the year ended December 31, 2021. We expect significant customer concentration to continue for the foreseeable future, although the degree to which future sales of REGEN-COV will continue to impact our results of operations is highly uncertain.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18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limited commercial capabilities outside the United States and do not currently have a fully established organization for the sales, marketing, and distribution of marketed products outside the United States. We will need to establish commercial capabilities outside the United States for any new product we decide to commercialize or co-commercialize outside the United States. For example, following the exercise of our option under the Antibody Collaboration to co-commercialize Dupixent in certain jurisdictions outside the United States, we have begun establishing commercial capabilities for Dupixent in such jurisdictions. There may be other circumstances in which we need to establish commercial capabilities outside the United States, including because we decide to commercialize a particular product independently; we are unable to find an appropriate collaborator; or our existing collaborator decides not to opt in, decides to opt out, or breaches its obligations to us with respect to a particular product.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commercialize or co-commercialize any products outside the United States, we must build our sales, marketing, distribution, managerial, and other non-technical capabilities in the relevant markets or make arrangements with third parties to perform these services, any of which will likely be expensive and time consuming and could delay product launch or the co-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t>commercialization of a product in one or more markets outside the United States. We cannot be certain that we will be able to successfully develop commercial capabilities outside the United States (including as it relates to Dupixent) within an acceptable time frame, without incurring substantial expenses, or at all. These and other difficulties relating to commercializing our products outside the United States may severely harm our business, prospects, operating results, and financial condition.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sell or market products without regulatory approval.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United States, we (which, for purposes of this risk factor, includes our collaborators, unless otherwise stated or required by the context)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the FDA may determine that a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foreign countries.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According to the FDA policies under the Prescription Drug User Fee Act, the FDA system of review times for new drugs includes standard review and priority review. The FDA’s goal for a standard review is to review the application within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8"/>
          <w:szCs w:val="18"/>
          <w:color w:val="auto"/>
        </w:rPr>
        <w:t>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 Procedures that are equivalent in scope, but which can vary widely in application, apply in foreign countries.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and comparable foreign regulatory authorities enforce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6"/>
          <w:szCs w:val="16"/>
          <w:i w:val="1"/>
          <w:iCs w:val="1"/>
          <w:color w:val="auto"/>
        </w:rPr>
        <w:t>Our or our collaborators’ failure to meet the stringent</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6"/>
          <w:szCs w:val="16"/>
          <w:color w:val="auto"/>
        </w:rPr>
        <w:t>” Our business, prospects, operating results, and financial condition may be materially harmed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noncompliance with the requirements and regulations described in this paragraph.</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the standard drug approval process, the Secretary of HHS may authorize the issuance of, and the FDA Commissioner may issue, an EUA to allow an unapproved medical product to be used in an emergency based on criteria established by the Food, Drug, and Cosmetic Act, including that the product at issue may be effective in diagnosing, treating, or preventing serious or life-threatening diseases when there are no adequate, approved, and available alternatives. For example, REGEN-COV has been authorized for use in certain individuals in the United States based on an EUA from the FDA. An EUA terminates when the emergency determination underlying the EUA terminates. The FDA may also revoke, revise, or restrict an EUA for a variety of reasons, including where it is determined that the underlying health emergency no longer exists or warrants such authorization or the medical product is no longer effective in diagnosing, treating, or preventing the underlying health emergency. For example, in January 2022, the FDA revised the EUA for REGEN-COV to exclude its use in geographic regions where, based on available information including variant susceptibility and regional variant frequency, infection or exposure is likely due to a variant such as Omicron that is not susceptible to the treatment. With this EUA revision, REGEN-COV is not currently authorized for use in any U.S. states, territories, or jurisdictions, since Omicron is currently the dominant variant across the United States. Any such termination, revocation, or revision of an EUA could adversely impact our business in a variety 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7" w:name="page58"/>
    <w:bookmarkEnd w:id="57"/>
    <w:p>
      <w:pPr>
        <w:jc w:val="both"/>
        <w:spacing w:after="0" w:line="311" w:lineRule="auto"/>
        <w:rPr>
          <w:sz w:val="20"/>
          <w:szCs w:val="20"/>
          <w:color w:val="auto"/>
        </w:rPr>
      </w:pPr>
      <w:r>
        <w:rPr>
          <w:rFonts w:ascii="Arial" w:cs="Arial" w:eastAsia="Arial" w:hAnsi="Arial"/>
          <w:sz w:val="16"/>
          <w:szCs w:val="16"/>
          <w:color w:val="auto"/>
        </w:rPr>
        <w:t>ways, including by having to absorb related manufacturing and overhead costs as well as potential inventory write-offs if regulatory approval is not obtained timely or at all. For example, during the fourth quarter of 2021, we recorded a charge of $231.7 million to write down REGEN-COV inventory, as described in Part II, Item 7. “Management’s Discussion and Analysis of Financial Condition and Results of Operations - Results of Operations.”</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 MAA in the EU. In addition such authorities often have the authority to require post-approval studies, such as a PASS and/or PAES, which involve various risks similar to those described above.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in the EEA, if we do not manage to retain a QPPV, to maintain a PSMF, or to comply with other pharmacovigilance obligations, we may be at risk of our clinical trials being closed prematurely, our marketing authorization being suspended, and we may be subject to other enforcement actions by the national competent authorities of the EEA or the EC.</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exact requirements concerning pharmacovigilance reporting may differ in the numerous countries in which we conduct clinical trials. Failure to comply with the related pharmacovigilance requirements may result in the premature closure of the clinical trials and other enforcement actions by the relevant regulatory authorities.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GLPs or GCPs. A clinical trial may also fail because the dose(s) of the investigational drug included in the trial were either too low or too high to determine the optimal effect of the investigational drug in the disease setting.</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8" w:name="page59"/>
    <w:bookmarkEnd w:id="58"/>
    <w:p>
      <w:pPr>
        <w:jc w:val="both"/>
        <w:spacing w:after="0" w:line="275" w:lineRule="auto"/>
        <w:rPr>
          <w:sz w:val="20"/>
          <w:szCs w:val="20"/>
          <w:color w:val="auto"/>
        </w:rPr>
      </w:pPr>
      <w:r>
        <w:rPr>
          <w:rFonts w:ascii="Arial" w:cs="Arial" w:eastAsia="Arial" w:hAnsi="Arial"/>
          <w:sz w:val="17"/>
          <w:szCs w:val="17"/>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In a number of instances, we have terminated the development of product candidates due to a lack of or only modest effectiveness, and clinical trials evaluating our product candidates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August 2020, we discontinued actively treating patients with fasinumab (which at such time only involved dosing in an optional second-year extension phase of one trial) following a recommendation from the responsible IDMC that the program be terminated based on available evidence to date.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EYLEA and aflibercept 8 mg, there are many potential safety concerns associated with significant blockade of VEGF that may limit our ability to further successfully commercialize EYLEA and to obtain regulatory approval for aflibercept 8 mg.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aflibercept include conjunctival hemorrhage, macular degeneration, eye pain, retinal hemorrhage, and vitreous floaters. There is no guarantee that we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9" w:name="page60"/>
    <w:bookmarkEnd w:id="59"/>
    <w:p>
      <w:pPr>
        <w:jc w:val="both"/>
        <w:spacing w:after="0" w:line="301" w:lineRule="auto"/>
        <w:rPr>
          <w:sz w:val="20"/>
          <w:szCs w:val="20"/>
          <w:color w:val="auto"/>
        </w:rPr>
      </w:pPr>
      <w:r>
        <w:rPr>
          <w:rFonts w:ascii="Arial" w:cs="Arial" w:eastAsia="Arial" w:hAnsi="Arial"/>
          <w:sz w:val="16"/>
          <w:szCs w:val="16"/>
          <w:color w:val="auto"/>
        </w:rPr>
        <w:t>will be able to successfully obtain regulatory approval for aflibercept 8 mg. In addition, commercialization of EYLEA or our other products and potential future commercialization of aflibercept 8 mg or our other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as well as further development and potential future commercialization of aflibercept 8 mg.</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Dupixent and Libtayo are being studied in additional indications, as shown in the table under Part I, Item 1. “Business - Programs in Clinical Development.” There is no guarantee that regulatory approval of Dupixent or Libtayo (as applicable) in any of these indications will be successfully obtained. The side effects previously reported for Dupixent include hypersensitivity reactions, conjunctivitis and keratitis, injection-site reactions, eye and eyelid inflammation, cold sores, oropharyngeal pain, eosinophilia, insomnia, toothache, gastritis, joint pain (arthralgia), and facial rash or redness; and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of our product candidates in development are recombinant proteins that could cause an immune response, resulting in the creation of harmful or neutralizing antibodies against the therapeutic protein.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15 to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0" w:name="page61"/>
    <w:bookmarkEnd w:id="60"/>
    <w:p>
      <w:pPr>
        <w:jc w:val="both"/>
        <w:spacing w:after="0" w:line="255" w:lineRule="auto"/>
        <w:rPr>
          <w:sz w:val="20"/>
          <w:szCs w:val="20"/>
          <w:color w:val="auto"/>
        </w:rPr>
      </w:pPr>
      <w:r>
        <w:rPr>
          <w:rFonts w:ascii="Arial" w:cs="Arial" w:eastAsia="Arial" w:hAnsi="Arial"/>
          <w:sz w:val="18"/>
          <w:szCs w:val="18"/>
          <w:color w:val="auto"/>
        </w:rPr>
        <w:t>our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as described in Note 15 to our Consolidated Financial Statements included in this report. Post-grant proceedings are increasingly common in the United States and are costly to defend. In addition,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(which concerns genetically engineered mice capable of producing chimeric antibodies that are part human and part mouse) is the subject of opposition proceedings in the European Patent Office (the “EPO”) (currently pending before its Boards of Appeal). In addition, on October 26 and October 27, 2021, anonymous parties initiated opposition proceedings in the EPO against our European Patent No. 2,944,306 (which concerns pre-filled syringes comprising ophthalmic formulations containing VEGF antagonists such as aflibercept for intravitreal administration), as described in Note 15 to our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For example, the World Trade Organization (“WTO”) is currently considering a proposal formulated in connection with the COVID-19 pandemic for a waiver of certain intellectual property rights under the WTO Agreement on Trade-Related Aspects of Intellectual Property Rights; the ultimate timing and scope of this waiver is unknown and we cannot be certain that our intellectual property rights related to REGEN-COV or any other current or future product or product candidate or technology would not be eliminated, narrowed, or weakened by any such waiver.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1" w:name="page62"/>
    <w:bookmarkEnd w:id="61"/>
    <w:p>
      <w:pPr>
        <w:jc w:val="both"/>
        <w:spacing w:after="0" w:line="301" w:lineRule="auto"/>
        <w:rPr>
          <w:sz w:val="20"/>
          <w:szCs w:val="20"/>
          <w:color w:val="auto"/>
        </w:rPr>
      </w:pPr>
      <w:r>
        <w:rPr>
          <w:rFonts w:ascii="Arial" w:cs="Arial" w:eastAsia="Arial" w:hAnsi="Arial"/>
          <w:sz w:val="16"/>
          <w:szCs w:val="16"/>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or any other of our technologies, either because of the way the antibodies are discovered or produced or because of a proprietary composition covering an antibody or the antibody’s target.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and other intellectual property proceedings relating to Dupixent, as described in Note 15 to our Consolidated Financial Statements. In addition, we are currently party to patent infringement and other proceedings relating to EYLEA and REGEN-COV, as described in Note 15 to our Consolidated Financial Statements.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in the EU, a designated orphan drug is provided up to 10 years of market exclusivity in the orphan indication, during which time the EMA is generally precluded from accepting a MAA for a similar medicinal product unless it can be demonstrated that it is safer, more effective, or otherwise clinically superior to the original orphan medicinal product.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regulatory pathways for biosimilar competition, could reduce the duration of market exclusivity for our products.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6"/>
          <w:szCs w:val="16"/>
          <w:i w:val="1"/>
          <w:iCs w:val="1"/>
          <w:color w:val="auto"/>
        </w:rPr>
        <w:t>If we cannot protect the</w:t>
      </w:r>
      <w:r>
        <w:rPr>
          <w:rFonts w:ascii="Arial" w:cs="Arial" w:eastAsia="Arial" w:hAnsi="Arial"/>
          <w:sz w:val="16"/>
          <w:szCs w:val="16"/>
          <w:color w:val="auto"/>
        </w:rPr>
        <w:t xml:space="preserve"> </w:t>
      </w:r>
      <w:r>
        <w:rPr>
          <w:rFonts w:ascii="Arial" w:cs="Arial" w:eastAsia="Arial" w:hAnsi="Arial"/>
          <w:sz w:val="16"/>
          <w:szCs w:val="16"/>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Arial" w:cs="Arial" w:eastAsia="Arial" w:hAnsi="Arial"/>
          <w:sz w:val="16"/>
          <w:szCs w:val="16"/>
          <w:color w:val="auto"/>
        </w:rPr>
        <w:t>” the scope and enforceability of our patent rights may vary from country to country. The failure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as discussed further under “Risks Related to Commercialization of Our Marketed Products, Product Candidates, and New Indications for Our Marketed Products - </w:t>
      </w:r>
      <w:r>
        <w:rPr>
          <w:rFonts w:ascii="Arial" w:cs="Arial" w:eastAsia="Arial" w:hAnsi="Arial"/>
          <w:sz w:val="18"/>
          <w:szCs w:val="18"/>
          <w:i w:val="1"/>
          <w:iCs w:val="1"/>
          <w:color w:val="auto"/>
        </w:rPr>
        <w:t>The commercial success of our products and product candidates is subject to significant competition -</w:t>
      </w:r>
      <w:r>
        <w:rPr>
          <w:rFonts w:ascii="Arial" w:cs="Arial" w:eastAsia="Arial" w:hAnsi="Arial"/>
          <w:sz w:val="18"/>
          <w:szCs w:val="18"/>
          <w:color w:val="auto"/>
        </w:rPr>
        <w:t xml:space="preserve"> Marketed Products” above. In the United States, the regulatory exclusivity period for EYLEA (i.e., the period during which no biosimilar product can be approved by the FDA) expires on November 18, 2023, with the possibility of an additional six months of regulatory exclusivity (i.e., until May 18, 2024) if the FDA grants pediatric exclusivity based on our completion of certain studies evaluating EYLEA in pediatric patients with ROP and submission of the data from these studies to the FDA no later than 15 months before the date on which regulatory exclusivity would otherwise expire. The loss of market exclusivity for a product (such as EYLEA) would likely materially and negatively affect revenues from product sales of that product and thus our financial results and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For example, our internal and contracted manufacturing capacity may not be sufficient to cover the demand for REGEN-COV and our other COVID-19 monoclonal antibodies (if successfully developed and authorized for use). In addition to expanding our internal capacity, we intend to continue to rely on our collaborators, and may also rely on contract manufacturers, to produce commercial quantities of drug material needed for commercialization of our products. For example, as described in Part I, Item</w:t>
      </w:r>
    </w:p>
    <w:p>
      <w:pPr>
        <w:spacing w:after="0" w:line="4" w:lineRule="exact"/>
        <w:rPr>
          <w:sz w:val="20"/>
          <w:szCs w:val="20"/>
          <w:color w:val="auto"/>
        </w:rPr>
      </w:pPr>
    </w:p>
    <w:p>
      <w:pPr>
        <w:jc w:val="both"/>
        <w:ind w:firstLine="8"/>
        <w:spacing w:after="0" w:line="255" w:lineRule="auto"/>
        <w:tabs>
          <w:tab w:leader="none" w:pos="2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 August 2020, we announced a collaboration agreement with Roche to develop, manufacture, and distribute REGEN-COV (known as Ronapreve in other countries outside the United States). We cannot be certain that our current manufacturing and distribution capacity for REGEN-COV or the increased manufacturing and distribution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3" w:name="page64"/>
    <w:bookmarkEnd w:id="63"/>
    <w:p>
      <w:pPr>
        <w:jc w:val="both"/>
        <w:spacing w:after="0" w:line="269" w:lineRule="auto"/>
        <w:rPr>
          <w:sz w:val="20"/>
          <w:szCs w:val="20"/>
          <w:color w:val="auto"/>
        </w:rPr>
      </w:pPr>
      <w:r>
        <w:rPr>
          <w:rFonts w:ascii="Arial" w:cs="Arial" w:eastAsia="Arial" w:hAnsi="Arial"/>
          <w:sz w:val="17"/>
          <w:szCs w:val="17"/>
          <w:color w:val="auto"/>
        </w:rPr>
        <w:t>capacity through our collaboration with Roche will be sufficient if there is significant future demand for REGEN-COV.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We also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82"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are in the process of constructing fill/finish facilities (refer to Part II, Item 7. “Management’s Discussion and Analysis of Financial Condition and Results of Operations – Liquidity and Capital Resources” for information about expected capital expenditures relating to this and other projects).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 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could also delay or require us to discontinue one or more of our clinical development programs. As a result, our business, prospects, operating results, and financial condition could be materially harmed.</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15 to our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the fourth quarter of 2021, we recorded a charge of $231.7 million to write down REGEN-COV inventory, as described in Part II, Item 7. “Management’s Discussion and Analysis of Financial Condition and Results of Operations - Results of Operations.”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climate change, natural disasters, acts of war or terrorism, or other problems.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which has exacerbated many of these issues).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16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5" w:name="page66"/>
    <w:bookmarkEnd w:id="65"/>
    <w:p>
      <w:pPr>
        <w:jc w:val="both"/>
        <w:spacing w:after="0" w:line="311" w:lineRule="auto"/>
        <w:rPr>
          <w:sz w:val="20"/>
          <w:szCs w:val="20"/>
          <w:color w:val="auto"/>
        </w:rPr>
      </w:pPr>
      <w:r>
        <w:rPr>
          <w:rFonts w:ascii="Arial" w:cs="Arial" w:eastAsia="Arial" w:hAnsi="Arial"/>
          <w:sz w:val="16"/>
          <w:szCs w:val="16"/>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 Significant noncompliance could also result in the imposition of monetary penalties or other civil or criminal sanctions and damage our reputation.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and Litigation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activities have been, and may in the future be, challenged under federal or state healthcare laws, which may subject us to civil or criminal proceedings, investigations, or penalties.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communications regarding unapproved uses, industry-sponsored scientific and educational activities, and sales representatives’ communications. Failure to comply with applicable FDA requirements and restrictions in this area may subject a company to adverse publicity and enforcement action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a drug.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6" w:name="page67"/>
    <w:bookmarkEnd w:id="66"/>
    <w:p>
      <w:pPr>
        <w:jc w:val="both"/>
        <w:spacing w:after="0" w:line="291" w:lineRule="auto"/>
        <w:rPr>
          <w:sz w:val="20"/>
          <w:szCs w:val="20"/>
          <w:color w:val="auto"/>
        </w:rPr>
      </w:pPr>
      <w:r>
        <w:rPr>
          <w:rFonts w:ascii="Arial" w:cs="Arial" w:eastAsia="Arial" w:hAnsi="Arial"/>
          <w:sz w:val="16"/>
          <w:szCs w:val="16"/>
          <w:color w:val="auto"/>
        </w:rPr>
        <w:t>In addition to FDA and related regulatory requirements, we are subject to health 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15 to our Consolidated Financial Statements included in this report, we are party to a civil complaint filed in June 2020 by the U.S. Attorney’s Office for the District of Massachusetts concerning our support of a 501(c)(3) organization that provides financial assistance to patients; and we are cooperating with pending government investigations concerning certain other business activities. Any adverse decision, finding, allegation, or exercise of enforcement or regulatory discretion in any such proceedings or investigations could harm our business, prospects, operating results, and financial condition.</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the PPACA, the federal government requires that pharmaceutical manufacturers record any “transfers of value” made to U.S. licensed physicians 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Beginning in 2022, applicable manufacturers also will be required to report information (starting with information collected during 2021) regarding payments and transfers of value provided to physician assistants, nurse practitioners, clinical nurse specialists, certified nurse anesthetists, anesthesiologist assistants, and certified nurse-midwives.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continue to dedicate significant resources to comply with these requirements and need to be prepared to comply with additional reporting obligations outside the United States that may apply in the future.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participate in the Medicaid Drug Rebate program, the Public Health Service’s 340B drug pricing program (the “340B program”), the U.S. Department of Veterans Affairs (“VA”) Federal Supply Schedule (“FSS”) pricing program, and the Tricare Retail Pharmacy Program. See Part I, Item 1, “Business - Government Regulation - Pricing and Reimbursement” for a description of these programs.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Such interpretation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PPACA.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have taken in our implementation of the final regulation. Other regulations and coverage expansion by various governmental agencies relating to the Medicaid Drug Rebate program may have a similar impact.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has affected our obligations and potential liability under the 340B program.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under a final regulation effective January 13, 2021, HRSA newly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additional future changes to the definition of average manufacturer price and the Medicaid rebate amount under the PPACA or otherwise could affect our 340B ceiling price calculations and negatively impact our results of operations.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obligations to report the average sales price for certain of our drugs to the Medicare program as a part of our agreement to participate in the Medicaid Drug Rebate program. For calendar quarters beginning January 1, 2022, we will need to report the average sales price for certain drugs under the Medicare program regardless of whether we participate in the Medicaid Drug Rebate program. Statutory or regulatory changes or CMS guidance could affect the average sales price calculations for our products and the resulting Medicare payment rate, and could negatively impact our results of operations.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Starting in 2023,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applicable law, knowing provision of false information in connection with price reporting or contract-based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8" w:name="page69"/>
    <w:bookmarkEnd w:id="68"/>
    <w:p>
      <w:pPr>
        <w:jc w:val="both"/>
        <w:ind w:right="20"/>
        <w:spacing w:after="0" w:line="342" w:lineRule="auto"/>
        <w:rPr>
          <w:sz w:val="20"/>
          <w:szCs w:val="20"/>
          <w:color w:val="auto"/>
        </w:rPr>
      </w:pPr>
      <w:r>
        <w:rPr>
          <w:rFonts w:ascii="Arial" w:cs="Arial" w:eastAsia="Arial" w:hAnsi="Arial"/>
          <w:sz w:val="16"/>
          <w:szCs w:val="16"/>
          <w:color w:val="auto"/>
        </w:rPr>
        <w:t>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particular, our business activities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For example, there are significant corporate governance and executive compensation-related provisions in the Dodd-Frank Wall Street Reform and Protection Act that expressly authorized or required the SEC to adopt additional rules in these areas, a number of which have yet to be fully implemented. Our efforts to comply with these requirements and regulations (as well as corporate governance and disclosure expectations of investors and other stakeholders) have resulted in, and are likely to continue to result in, an increase in expenses and a diversion of management’s time from other business activities.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184"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right="20" w:hanging="328"/>
        <w:spacing w:after="0" w:line="2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FDA and foreign cGMP requirements that may make it more difficult and costly for us to maintain regulatory compliance and/or manufacture our marketed product and product candidates in accordance with cGMPs.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U.S. government could carry out other significant changes in legislation, regulation, and government policy, including with respect to government reimbursement changes and drug price control measures (such as those discussed above under “Risks Related to Commercialization of Our Marketed Products, Product Candidates, and New Indications for Our Marketed Products - </w:t>
      </w:r>
      <w:r>
        <w:rPr>
          <w:rFonts w:ascii="Arial" w:cs="Arial" w:eastAsia="Arial" w:hAnsi="Arial"/>
          <w:sz w:val="16"/>
          <w:szCs w:val="16"/>
          <w:i w:val="1"/>
          <w:iCs w:val="1"/>
          <w:color w:val="auto"/>
        </w:rPr>
        <w:t>Sales of our marketed products are dependent on the availability and</w:t>
      </w:r>
      <w:r>
        <w:rPr>
          <w:rFonts w:ascii="Arial" w:cs="Arial" w:eastAsia="Arial" w:hAnsi="Arial"/>
          <w:sz w:val="16"/>
          <w:szCs w:val="16"/>
          <w:color w:val="auto"/>
        </w:rPr>
        <w:t xml:space="preserve"> </w:t>
      </w:r>
      <w:r>
        <w:rPr>
          <w:rFonts w:ascii="Arial" w:cs="Arial" w:eastAsia="Arial" w:hAnsi="Arial"/>
          <w:sz w:val="16"/>
          <w:szCs w:val="16"/>
          <w:i w:val="1"/>
          <w:iCs w:val="1"/>
          <w:color w:val="auto"/>
        </w:rPr>
        <w:t>extent of reimbursement from third-party payors, and changes to such reimbursement may materially harm our business, prospects, operating results, and financial condition</w:t>
      </w:r>
      <w:r>
        <w:rPr>
          <w:rFonts w:ascii="Arial" w:cs="Arial" w:eastAsia="Arial" w:hAnsi="Arial"/>
          <w:sz w:val="16"/>
          <w:szCs w:val="16"/>
          <w:color w:val="auto"/>
        </w:rPr>
        <w:t>”). While it is not possible to predict whether and when any such changes will occur, changes in the laws, regulations, and policies</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the United States could adversely affect our business.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For example, we recently commenced co-commercialization activities under the Antibody Collaboration related to Dupixent in certain jurisdictions outside the United States. Consequently, we are, and will continue to be, subject to risks related to operating in foreign countries, which include:</w:t>
      </w:r>
    </w:p>
    <w:p>
      <w:pPr>
        <w:spacing w:after="0" w:line="184" w:lineRule="exact"/>
        <w:rPr>
          <w:sz w:val="20"/>
          <w:szCs w:val="20"/>
          <w:color w:val="auto"/>
        </w:rPr>
      </w:pPr>
    </w:p>
    <w:p>
      <w:pPr>
        <w:ind w:left="660" w:right="2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effective January 31, 2020, the United Kingdom commenced an exit from the EU, commonly referred to as “Brexit.” The transition period for Brexit expired on December 31, 2020 following the entry into a trade agreement that now governs the United Kingdom’s relationship with the EU. We do not know to what extent Brexit will ultimately impact the business and regulatory environment in the United Kingdom, the rest of the EU, or other countries. For example, the impact of Brexit on the ongoing validity in the United Kingdom of current EU authorizations for medicinal products and on the future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0" w:name="page71"/>
    <w:bookmarkEnd w:id="70"/>
    <w:p>
      <w:pPr>
        <w:jc w:val="both"/>
        <w:spacing w:after="0" w:line="257" w:lineRule="auto"/>
        <w:rPr>
          <w:sz w:val="20"/>
          <w:szCs w:val="20"/>
          <w:color w:val="auto"/>
        </w:rPr>
      </w:pPr>
      <w:r>
        <w:rPr>
          <w:rFonts w:ascii="Arial" w:cs="Arial" w:eastAsia="Arial" w:hAnsi="Arial"/>
          <w:sz w:val="18"/>
          <w:szCs w:val="18"/>
          <w:color w:val="auto"/>
        </w:rPr>
        <w:t>process for obtaining and maintaining marketing authorization for pharmaceutical products manufactured or sold in the United Kingdom remains uncertain.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for uncertain tax positions that involve significant management judgment as to the application of law. The Internal Revenue Service or other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(see also Note 14 to our Consolidated Financial Statements included in this report).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Changes to U.S. tax laws and/or recommendations from the Organization for Economic Co-operation and Development (the “OECD”) regarding a global minimum tax and other changes being considered and/or implemented in countries where we operate could materially impact our tax provision, cash tax liability, and effective tax rate. In addition, recommendations by the OECD and the EU could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personal data we collect, process, and share.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conduct our business is significantly dependent on the data that we collect, process, and share in discovering and developing drug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data are often considered personal data and are therefore regulated by data privacy laws in applicable jurisdictions.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clinical trial programs and research collaborations outside the U.S. (such as our consortium with a group of companies to fund the generation of genetic exome sequence data from the UK Biobank health resource) implicate non-U.S. data protection laws, including the GDPR. The GDPR has a range of compliance obligations, including increased transparency requirements and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In June 2021, the European Commission introduced new standard contractual clauses required to be incorporated into new and existing agreements within prescribed timeframes in order to continue to lawfully transfer personal data outside the EU. Compliance with these requirements has been and is expected to continue to be costly and time consuming.</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 clinical trials in many countries around the world, which have new or evolving data privacy laws that have resulted in increased liability in the management of clinical trial data, and additional contractual and due-diligence obligations that could lead to a delay in clinical trial site start-up.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improper processing of personal data under the GDPR. Failure by our collaborators to comply with the strict rules on the transfer of personal data outside the EU into the U.S. may result in the imposition of criminal and administrative sanctions on such collaborators or impact the flow of personal data outside the EU, which could adversely affect our business and could create liability for us.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Most U.S. health care providers, including research institutions from which we or our collaborators obtain clinical trial data, are subject to privacy and security regulations promulgated under HIPAA. For example, as part of our human genetics initiative, our wholly-owned subsidiary, Regeneron Genetics Center LLC, has entered into collaborations with research institutions, including the Geisinger Health System, which are subject to HIPAA. Regeneron is not a covered entity or business associate under HIPAA and thus is not subject to its requirements. However, we could be subject to criminal penalties if we, our affiliates, or our agents knowingly receive, use, or disclose PHI in a manner that is not permitted under HIPAA. Consequently, depending on the facts and circumstances, we could face substantial criminal penalties if we knowingly receive PHI from a health care provider or research</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1" w:name="page72"/>
    <w:bookmarkEnd w:id="71"/>
    <w:p>
      <w:pPr>
        <w:jc w:val="both"/>
        <w:spacing w:after="0" w:line="301" w:lineRule="auto"/>
        <w:rPr>
          <w:sz w:val="20"/>
          <w:szCs w:val="20"/>
          <w:color w:val="auto"/>
        </w:rPr>
      </w:pPr>
      <w:r>
        <w:rPr>
          <w:rFonts w:ascii="Arial" w:cs="Arial" w:eastAsia="Arial" w:hAnsi="Arial"/>
          <w:sz w:val="16"/>
          <w:szCs w:val="16"/>
          <w:color w:val="auto"/>
        </w:rPr>
        <w:t>institution that has not satisfied HIPAA’s requirements for its disclosure. There are instances where we collect and maintain personal data, which may include health information that is outside the scope of HIPAA but within the scope of state health privacy laws or similar state level privacy legislation.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Consumer protection laws impact the manner in which we develop and maintain processes to support our patient assistance programs, product marketing activities, and the sharing of employee and clinical data for internal and third-party commercial activities. Several U.S. states have proposed and passed consumer privacy laws, which were modeled after the comprehensive consumer privacy law in California, the CCPA. The CCPA, which became effective on January 1, 2020, is a consumer protection law that establishes requirements for data use and sharing transparency and provides California residents with personal data privacy rights regarding the use, disclosure, and retention of their personal data. Amendments to the CCPA have, among other things, imposed new obligations to provide notice where personal data will be de-identified. These laws and regulations are constantly evolving and may impose limitations on our business activities. Several other U.S. states have introduced similar consumer protection laws that may go into effect in the near future. At the federal level, Section 5 of the Federal Trade Commission Act is a consumer protection law that bars unfair and deceptive acts and practices and requires, among other things, companies to notify individuals that they will safeguard their personal data and that they will fulfil the commitments made in their privacy notices. The Federal Trade Commission has brought legal actions against organizations that have violated consumers’ privacy rights or have misled them by failing to maintain appropriate security.</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Furthermore, health privacy laws, data breach notification laws, consumer protection laws, data localization laws, and genetic privacy laws may apply directly to our operations and/or those of our collaborators and may impose restrictions on our collection, use, and dissemination of individuals’ health and other personal data. New state level genetic privacy and consumer protection laws in the United States may require additional transparency and permissions in our informed consent forms. Moreover, individuals about whom we or our collaborators obtain health or other personal data, as well as the providers and third parties who share this information with us, may have statutory or contractual limits that impact our ability to use and disclose the information. We are likely to be required to expend significant capital and other resources to ensure ongoing compliance with applicable privacy and data security laws both inside and outside the United States.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data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our Antibody Collaboration or our IO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would be materially harmed.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funding and support from Sanofi to develop, manufacture, and commercialize certain of our products and product candidates. With respect to the products that we are co-developing with Sanofi under our Antibody Collaboration (currently consisting of Dupixent, Kevzara, and itepekimab),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IO Collaboration, Sanofi also funds half of the development expenses incurred in connection with the clinical development of Libtayo, subject to an agreed-upon development budget. We also rely on Sanofi to lead commercialization efforts outside the United States for Libtayo and to assist us to comply with the necessary requirements related to Libtayo’s regulatory approvals in the EU.</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it is co-developing with us,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or our IO Collaboration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 commercial capabilities outside the United States for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Antibody Collaboration or the IO Collaboration would create substantial new and additional risks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 development and commercialization of the products subject to such collaborations, particularly outside the United States.</w:t>
      </w:r>
    </w:p>
    <w:p>
      <w:pPr>
        <w:spacing w:after="0" w:line="172"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as in effect from time to time,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 capabilities outside the United States for 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Bayer collaboration agreement would create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new and additional risks to the successful commercialization of EYLEA outside the United States.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3" w:name="page74"/>
    <w:bookmarkEnd w:id="73"/>
    <w:p>
      <w:pPr>
        <w:jc w:val="both"/>
        <w:spacing w:after="0" w:line="255" w:lineRule="auto"/>
        <w:rPr>
          <w:sz w:val="20"/>
          <w:szCs w:val="20"/>
          <w:color w:val="auto"/>
        </w:rPr>
      </w:pPr>
      <w:r>
        <w:rPr>
          <w:rFonts w:ascii="Arial" w:cs="Arial" w:eastAsia="Arial" w:hAnsi="Arial"/>
          <w:sz w:val="18"/>
          <w:szCs w:val="18"/>
          <w:color w:val="auto"/>
        </w:rPr>
        <w:t>on some of these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the Chair of our board of directors. If we are not able to retain (or for any other reason lose the services of) any of these persons, our business may suffer. In particular, we depend on the services of P. Roy Vagelos, M.D., the Chair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related developments.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or our suppliers and/or service providers fail to maintain or protect our information technology systems and data security effectively, or fail to anticipate, plan for, or manage significant disruptions to these systems, we or our suppliers and/or service providers could have difficulty preventing, detecting, or controlling such disruptions or security breaches, which could result in legal proceedings, liability under laws that protect the privacy of personal information, disruptions to our operations, government investigations, breach of contract claims, and damage to our reputation, which could have a material adverse effect on our business, prospects, operating results, and financial condition.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and other similar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there is no guarantee that we will have the ability to pay the principal amount due on our senior unsecured notes at maturity or redeem, repurchase, or refinance the notes prior to maturity on acceptable terms or at all. In addition, in March 2017, we completed a $720.0 million lease financing for our existing corporate headquarters and other rentable area consisting of approximately 150 acres of predominately office buildings and laboratory space located in Tarrytown, New York. In September 2021, we delivered a request to the lease financing participants to potentially exercise the option for a five-year extension of the term of the lease and the maturity date under the related participation agreement; and in November 2021, the lease financing participants consented to such extension, subject to the satisfaction of certain conditions prior to the expiration of the existing term in March 2022. There can be no assurance that such extension will become effective on favorable terms or at all. If such extension does not become effective, we would be obligated to purchase the facility by the end of the existing term in March 2022 by paying a purchase price of $720.0 million, together with all accrued and unpaid interest and yield and all other outstanding amounts under the relevant documents. Refer to Part II, Item 7. “Management’s Discussion and Analysis of Financial Condition and Results of Operations - Liquidity and Capital Resources - </w:t>
      </w:r>
      <w:r>
        <w:rPr>
          <w:rFonts w:ascii="Arial" w:cs="Arial" w:eastAsia="Arial" w:hAnsi="Arial"/>
          <w:sz w:val="16"/>
          <w:szCs w:val="16"/>
          <w:i w:val="1"/>
          <w:iCs w:val="1"/>
          <w:color w:val="auto"/>
        </w:rPr>
        <w:t>Tarrytown, New York Leases</w:t>
      </w:r>
      <w:r>
        <w:rPr>
          <w:rFonts w:ascii="Arial" w:cs="Arial" w:eastAsia="Arial" w:hAnsi="Arial"/>
          <w:sz w:val="16"/>
          <w:szCs w:val="16"/>
          <w:color w:val="auto"/>
        </w:rPr>
        <w:t>” for further details.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impact our business.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certain indebtedness and contingent liabilities, including milestone and royalty payment obligations. As of December 31, 2021, we had an aggregate of $2.700 billion of outstanding indebtedness under our senior unsecured notes and the lease financing facility. We may also incur additional debt in the future. Any such indebtedness could:</w:t>
      </w:r>
    </w:p>
    <w:p>
      <w:pPr>
        <w:spacing w:after="0" w:line="18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23"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1"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2021, we had $2.886 billion in cash and cash equivalents and $9.647 billion in marketable securities (including $1.250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LIBOR, or the replacement of LIBOR with an alternative reference rate, may adversely affect our business, operating results, and financial condition.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subject to risks related to uncertainty regarding the London Interbank Offered Rate (“LIBOR”), which is in the process of being phased out. The U.K. Financial Conduct Authority, which regulates LIBOR, has announced that it intends to phase out LIBOR. The publication of U.S. dollar LIBOR for certain tenors and all non-U.S. dollar LIBOR tenors ceased after December 31, 2021 (other than certain sterling and Japanese yen settings being published on a synthetic temporary basis). Banks reporting information used to set U.S. dollar LIBOR for all other tenors are currently expected to stop doing so after June 30, 2023, although the LIBOR administrator may discontinue or modify LIBOR prior to that date. In 2021, the U.S. Federal Reserve Board and certain other regulatory bodies issued guidance encouraging banks and other financial market participants to cease entering into new contracts that use U.S. dollar LIBOR as a reference rate as soon as practicable and in any event no later than December 31, 2021. Although regulators in various jurisdictions have been working to replace LIBOR and have encouraged the development and adoption of alternative reference rates, such as the Secured Overnight Financing Rate (“SOFR”), there continues to be uncertainty regarding the nature of potential changes to and future utilization of specific LIBOR tenors, the development and acceptance of alternative reference rates, and other reforms. We cannot predict the consequences and timing of these developments or other market or regulatory changes related to the phase-out of LIBOR. A transition away from LIBOR as a benchmark for establishing the applicable interest rate may adversely affect our outstanding variable-rate indebtedness (if any) and our variable-rate finance lease, as well as floating-rate debt securities in our investment portfolio. For example, if a published U.S. dollar LIBOR is unavailable or no longer representative, interest for borrowings (if any) with an interest rate based on LIBOR under our revolving credit facility will be determined using various alternative methods, any of which may result in interest obligations which are more than, or do not otherwise correlate over time with, the payments that would have been made on such debt prior to any LIBOR phase-out.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70" w:lineRule="exact"/>
        <w:rPr>
          <w:sz w:val="20"/>
          <w:szCs w:val="20"/>
          <w:color w:val="auto"/>
        </w:rPr>
      </w:pPr>
    </w:p>
    <w:p>
      <w:pPr>
        <w:ind w:left="66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product sales of our marketed products (as recorded by us or our collaborators), in particular EYLEA, Dupixent, and Libtayo, as well as our overall operating results;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Dupixent, and Libtayo;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of the COVID-19 pandemic on our business, including future sales of REGEN-COV;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any of our marketed products or product candidates or new indications for our marketed products;</w:t>
      </w:r>
    </w:p>
    <w:p>
      <w:pPr>
        <w:ind w:left="660" w:hanging="328"/>
        <w:spacing w:after="0" w:line="28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repurchase our Common Stock under any share repurchase program on favorable terms or at all;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7"/>
          <w:szCs w:val="17"/>
          <w:i w:val="1"/>
          <w:iCs w:val="1"/>
          <w:color w:val="auto"/>
        </w:rPr>
        <w:t>Future sales of our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by our significant shareholders or us may depress our stock price and impair our ability to raise funds in new share offerings</w:t>
      </w:r>
      <w:r>
        <w:rPr>
          <w:rFonts w:ascii="Arial" w:cs="Arial" w:eastAsia="Arial" w:hAnsi="Arial"/>
          <w:sz w:val="17"/>
          <w:szCs w:val="17"/>
          <w:color w:val="auto"/>
        </w:rPr>
        <w:t>” below, a large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7" w:name="page78"/>
    <w:bookmarkEnd w:id="77"/>
    <w:p>
      <w:pPr>
        <w:jc w:val="both"/>
        <w:ind w:right="20"/>
        <w:spacing w:after="0" w:line="277" w:lineRule="auto"/>
        <w:rPr>
          <w:sz w:val="20"/>
          <w:szCs w:val="20"/>
          <w:color w:val="auto"/>
        </w:rPr>
      </w:pPr>
      <w:r>
        <w:rPr>
          <w:rFonts w:ascii="Arial" w:cs="Arial" w:eastAsia="Arial" w:hAnsi="Arial"/>
          <w:sz w:val="18"/>
          <w:szCs w:val="18"/>
          <w:color w:val="auto"/>
        </w:rPr>
        <w:t>require us to make substantial payments to satisfy judgments or to settle litigation, which may harm our business, prospects, operating results, and financial condition.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small number of our shareholders beneficially own a substantial amount of our Common Stock. As of December 31, 2021, our five largest shareholders plus Dr. Schleifer, our Chief Executive Officer, beneficially owned approximately 38.1% of our outstanding shares of Common Stock, assuming, in the case of our Chief Executive Officer, the conversion of his Class A Stock into Common Stock and the exercise of all options held by him which are exercisable within 60 days of December 31, 2021.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we will repurchase shares of our Common Stock or that we will repurchase shares at favorable prices.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November 2021, our board of directors authorized a share repurchase program to repurchase up to $3.0 billion of our Common Stock (of which $2.845 billion remained available as of December 31, 2021). There can be no assurance of any future share repurchases or share repurchase program authorizations.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repurchase shares of our Common Stock at favorable prices, if at all.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existing shareholders may be able to exert substantial influence over matters requiring shareholder approval and over our management.</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December 31, 2021, holders of Class A Stock held 14.6%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2021:</w:t>
      </w:r>
    </w:p>
    <w:p>
      <w:pPr>
        <w:spacing w:after="0" w:line="178" w:lineRule="exact"/>
        <w:rPr>
          <w:sz w:val="20"/>
          <w:szCs w:val="20"/>
          <w:color w:val="auto"/>
        </w:rPr>
      </w:pPr>
    </w:p>
    <w:p>
      <w:pPr>
        <w:jc w:val="both"/>
        <w:ind w:left="660" w:hanging="328"/>
        <w:spacing w:after="0" w:line="269"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current executive officers and directors beneficially owned 7.4% of our outstanding shares of Common Stock, assuming conversion of their Class A Stock into Common Stock and the exercise of all options held by such persons which are exercisable within 60 days of December 31, 2021, and 18.8% of the combined voting power of our outstanding shares of Common Stock and Class A Stock, assuming the exercise of all options held by such persons which are exercisable within 60 days of December 31, 2021; and</w:t>
      </w:r>
    </w:p>
    <w:p>
      <w:pPr>
        <w:spacing w:after="0" w:line="1" w:lineRule="exact"/>
        <w:rPr>
          <w:rFonts w:ascii="Arial" w:cs="Arial" w:eastAsia="Arial" w:hAnsi="Arial"/>
          <w:sz w:val="17"/>
          <w:szCs w:val="17"/>
          <w:color w:val="auto"/>
        </w:rPr>
      </w:pPr>
    </w:p>
    <w:p>
      <w:pPr>
        <w:jc w:val="both"/>
        <w:ind w:left="660" w:hanging="328"/>
        <w:spacing w:after="0" w:line="29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five largest shareholders plus Dr. Schleifer, our Chief Executive Officer, beneficially owned approximately 38.1% of our outstanding shares of Common Stock, assuming, in the case of our Chief Executive Officer, the conversion of his Class A Stock into Common Stock and the exercise of all options held by him which are exercisable within 60 days of December 31, 2021. In addition, these five shareholders plus our Chief Executive Officer held approximately 45.4% of the combined voting power of our outstanding shares of Common Stock and Class A Stock, assuming the exercise of all options held by our Chief Executive Officer which are exercisable within 60 days of December 31, 2021.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8" w:name="page79"/>
    <w:bookmarkEnd w:id="78"/>
    <w:p>
      <w:pPr>
        <w:jc w:val="both"/>
        <w:spacing w:after="0" w:line="286" w:lineRule="auto"/>
        <w:rPr>
          <w:sz w:val="20"/>
          <w:szCs w:val="20"/>
          <w:color w:val="auto"/>
        </w:rPr>
      </w:pPr>
      <w:r>
        <w:rPr>
          <w:rFonts w:ascii="Arial" w:cs="Arial" w:eastAsia="Arial" w:hAnsi="Arial"/>
          <w:sz w:val="17"/>
          <w:szCs w:val="17"/>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57" w:lineRule="exact"/>
        <w:rPr>
          <w:sz w:val="20"/>
          <w:szCs w:val="20"/>
          <w:color w:val="auto"/>
        </w:rPr>
      </w:pPr>
    </w:p>
    <w:p>
      <w:pPr>
        <w:ind w:left="66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influence over matters requiring shareholder approval and over our management.</w:t>
      </w:r>
      <w:r>
        <w:rPr>
          <w:rFonts w:ascii="Arial" w:cs="Arial" w:eastAsia="Arial" w:hAnsi="Arial"/>
          <w:sz w:val="18"/>
          <w:szCs w:val="18"/>
          <w:color w:val="auto"/>
        </w:rPr>
        <w:t>”</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Sanofi, Bayer, and Teva are currently bound by certain “standstill” provisions under the January 2014 amended and restated investor agreement between us and Sanofi, as amended; our 2016 ANG2 license and collaboration agreement and our 2014 PDGFR-beta license and collaboration agreement with Bayer; and our 2016 collaboration agreement with Teva, respectively. These provisions contractually prohibit Sanofi, Bayer, and Teva from seeking to directly or indirectly exert control of our Company or acquiring more than a specified percentage of our Class A Stock and Common Stock, taken together (30% in the case of Sanofi, 20% in the case of Bayer, and 5% in the case of Teva).</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A summary of our significant owned and leased properties is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At our Tarrytown, New York location, we lease approximately 1,467,000 square feet of laboratory and office space, of which approximately 1,354,000 square feet is occupied by Regeneron. Refer to Part II, Item 7. “Management’s Discussion and Analysis of Financial Condition and Results of Operations - Liquidity and Capital Resources - </w:t>
      </w:r>
      <w:r>
        <w:rPr>
          <w:rFonts w:ascii="Arial" w:cs="Arial" w:eastAsia="Arial" w:hAnsi="Arial"/>
          <w:sz w:val="18"/>
          <w:szCs w:val="18"/>
          <w:i w:val="1"/>
          <w:iCs w:val="1"/>
          <w:color w:val="auto"/>
        </w:rPr>
        <w:t>Tarrytown, New York Leases</w:t>
      </w:r>
      <w:r>
        <w:rPr>
          <w:rFonts w:ascii="Arial" w:cs="Arial" w:eastAsia="Arial" w:hAnsi="Arial"/>
          <w:sz w:val="18"/>
          <w:szCs w:val="18"/>
          <w:color w:val="auto"/>
        </w:rPr>
        <w:t>” for further details. We also own an approximate 100-acre parcel of undeveloped land adjacent to our Tarrytown, New York location, which we plan to start developing in 2022, primarily in connection with expanding our research and support facilities to accommodate our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Rensselaer, New York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facilities in Rensselaer, New York totaling approximately 950,000 square feet of manufacturing, research, office, and warehouse space. This includes approximately 212,000 square feet of warehouse space which we constructed on a 130-acre parcel of land near our Rensselaer facility. We are in the process of further developing this property, primarily in connection with constructing a fill/finish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Limerick, Ireland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 facility in Limerick, Ireland totaling approximately 555,000 square feet of manufacturing, warehouse, laboratory, and office space. We are in the process of further developing this property to support our growth and expand our manufacturing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15 to our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20" w:right="300" w:hanging="714"/>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Registrant’s Common Equity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par value $.001 per share, is quoted on The NASDAQ Global Select Market under the symbol “REGN.” Our Class A Stock, par value $.001 per share, is not publicly quoted or traded.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27, 2022, there were 166 shareholders of record of our Common Stock and 15 shareholders of record of our Class A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never paid cash dividends on our Common Stock or Class A Stock and do not anticipate paying any in the foreseeable future.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Set forth below is a line graph comparing the cumulative total shareholder return on Regeneron’s Common Stock with the cumulative total return of (i) the NASDAQ US Benchmark Pharmaceuticals Total Return Index (“NQ US Pharma TR Index”), and (ii) Standard &amp; Poor’s 500 Stock Index (“S&amp;P 500”) for the period from December 31, 2016 through December 31, 2021. The comparison assumes that $100 was invested on December 31, 2016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111760</wp:posOffset>
            </wp:positionV>
            <wp:extent cx="6858000" cy="40201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00" cy="402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Borders>
              <w:bottom w:val="single" w:sz="8" w:color="CDEAFA"/>
            </w:tcBorders>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12/31/2016</w:t>
            </w:r>
          </w:p>
        </w:tc>
        <w:tc>
          <w:tcPr>
            <w:tcW w:w="220" w:type="dxa"/>
            <w:vAlign w:val="bottom"/>
            <w:tcBorders>
              <w:bottom w:val="single" w:sz="8" w:color="CDEAFA"/>
            </w:tcBorders>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12/31/2017</w:t>
            </w:r>
          </w:p>
        </w:tc>
        <w:tc>
          <w:tcPr>
            <w:tcW w:w="220" w:type="dxa"/>
            <w:vAlign w:val="bottom"/>
            <w:tcBorders>
              <w:bottom w:val="single" w:sz="8" w:color="CDEAFA"/>
            </w:tcBorders>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3"/>
              </w:rPr>
              <w:t>12/31/2018</w:t>
            </w:r>
          </w:p>
        </w:tc>
        <w:tc>
          <w:tcPr>
            <w:tcW w:w="240" w:type="dxa"/>
            <w:vAlign w:val="bottom"/>
            <w:tcBorders>
              <w:bottom w:val="single" w:sz="8" w:color="CDEAFA"/>
            </w:tcBorders>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12/31/2019</w:t>
            </w:r>
          </w:p>
        </w:tc>
        <w:tc>
          <w:tcPr>
            <w:tcW w:w="200" w:type="dxa"/>
            <w:vAlign w:val="bottom"/>
            <w:tcBorders>
              <w:bottom w:val="single" w:sz="8" w:color="CDEAFA"/>
            </w:tcBorders>
          </w:tcPr>
          <w:p>
            <w:pPr>
              <w:spacing w:after="0"/>
              <w:rPr>
                <w:sz w:val="20"/>
                <w:szCs w:val="20"/>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12/31/2020</w:t>
            </w:r>
          </w:p>
        </w:tc>
        <w:tc>
          <w:tcPr>
            <w:tcW w:w="220" w:type="dxa"/>
            <w:vAlign w:val="bottom"/>
            <w:tcBorders>
              <w:bottom w:val="single" w:sz="8" w:color="CDEAFA"/>
            </w:tcBorders>
          </w:tcPr>
          <w:p>
            <w:pPr>
              <w:spacing w:after="0"/>
              <w:rPr>
                <w:sz w:val="20"/>
                <w:szCs w:val="20"/>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12/31/2021</w:t>
            </w:r>
          </w:p>
        </w:tc>
      </w:tr>
      <w:tr>
        <w:trPr>
          <w:trHeight w:val="210"/>
        </w:trPr>
        <w:tc>
          <w:tcPr>
            <w:tcW w:w="4740" w:type="dxa"/>
            <w:vAlign w:val="bottom"/>
            <w:shd w:val="clear" w:color="auto" w:fill="CDEAFA"/>
          </w:tcPr>
          <w:p>
            <w:pPr>
              <w:spacing w:after="0"/>
              <w:rPr>
                <w:sz w:val="20"/>
                <w:szCs w:val="20"/>
                <w:color w:val="auto"/>
              </w:rPr>
            </w:pPr>
            <w:r>
              <w:rPr>
                <w:rFonts w:ascii="Arial" w:cs="Arial" w:eastAsia="Arial" w:hAnsi="Arial"/>
                <w:sz w:val="18"/>
                <w:szCs w:val="18"/>
                <w:color w:val="auto"/>
              </w:rPr>
              <w:t>Regeneron</w:t>
            </w:r>
          </w:p>
        </w:tc>
        <w:tc>
          <w:tcPr>
            <w:tcW w:w="200" w:type="dxa"/>
            <w:vAlign w:val="bottom"/>
            <w:shd w:val="clear" w:color="auto" w:fill="CDEAFA"/>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DEAFA"/>
          </w:tcPr>
          <w:p>
            <w:pPr>
              <w:jc w:val="right"/>
              <w:ind w:right="5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DEAFA"/>
          </w:tcPr>
          <w:p>
            <w:pPr>
              <w:spacing w:after="0"/>
              <w:rPr>
                <w:sz w:val="18"/>
                <w:szCs w:val="18"/>
                <w:color w:val="auto"/>
              </w:rPr>
            </w:pPr>
          </w:p>
        </w:tc>
        <w:tc>
          <w:tcPr>
            <w:tcW w:w="220" w:type="dxa"/>
            <w:vAlign w:val="bottom"/>
            <w:shd w:val="clear" w:color="auto" w:fill="CDEAFA"/>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102.42</w:t>
            </w:r>
          </w:p>
        </w:tc>
        <w:tc>
          <w:tcPr>
            <w:tcW w:w="220" w:type="dxa"/>
            <w:vAlign w:val="bottom"/>
            <w:shd w:val="clear" w:color="auto" w:fill="CDEAFA"/>
          </w:tcPr>
          <w:p>
            <w:pPr>
              <w:spacing w:after="0"/>
              <w:rPr>
                <w:sz w:val="18"/>
                <w:szCs w:val="18"/>
                <w:color w:val="auto"/>
              </w:rPr>
            </w:pPr>
          </w:p>
        </w:tc>
        <w:tc>
          <w:tcPr>
            <w:tcW w:w="220" w:type="dxa"/>
            <w:vAlign w:val="bottom"/>
            <w:shd w:val="clear" w:color="auto" w:fill="CDEAFA"/>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101.75</w:t>
            </w:r>
          </w:p>
        </w:tc>
        <w:tc>
          <w:tcPr>
            <w:tcW w:w="240" w:type="dxa"/>
            <w:vAlign w:val="bottom"/>
            <w:shd w:val="clear" w:color="auto" w:fill="CDEAFA"/>
          </w:tcPr>
          <w:p>
            <w:pPr>
              <w:spacing w:after="0"/>
              <w:rPr>
                <w:sz w:val="18"/>
                <w:szCs w:val="18"/>
                <w:color w:val="auto"/>
              </w:rPr>
            </w:pPr>
          </w:p>
        </w:tc>
        <w:tc>
          <w:tcPr>
            <w:tcW w:w="180" w:type="dxa"/>
            <w:vAlign w:val="bottom"/>
            <w:shd w:val="clear" w:color="auto" w:fill="CDEAFA"/>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102.29</w:t>
            </w:r>
          </w:p>
        </w:tc>
        <w:tc>
          <w:tcPr>
            <w:tcW w:w="200" w:type="dxa"/>
            <w:vAlign w:val="bottom"/>
            <w:shd w:val="clear" w:color="auto" w:fill="CDEAFA"/>
          </w:tcPr>
          <w:p>
            <w:pPr>
              <w:spacing w:after="0"/>
              <w:rPr>
                <w:sz w:val="18"/>
                <w:szCs w:val="18"/>
                <w:color w:val="auto"/>
              </w:rPr>
            </w:pPr>
          </w:p>
        </w:tc>
        <w:tc>
          <w:tcPr>
            <w:tcW w:w="200" w:type="dxa"/>
            <w:vAlign w:val="bottom"/>
            <w:shd w:val="clear" w:color="auto" w:fill="CDEAFA"/>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131.61</w:t>
            </w:r>
          </w:p>
        </w:tc>
        <w:tc>
          <w:tcPr>
            <w:tcW w:w="220" w:type="dxa"/>
            <w:vAlign w:val="bottom"/>
            <w:shd w:val="clear" w:color="auto" w:fill="CDEAFA"/>
          </w:tcPr>
          <w:p>
            <w:pPr>
              <w:spacing w:after="0"/>
              <w:rPr>
                <w:sz w:val="18"/>
                <w:szCs w:val="18"/>
                <w:color w:val="auto"/>
              </w:rPr>
            </w:pPr>
          </w:p>
        </w:tc>
        <w:tc>
          <w:tcPr>
            <w:tcW w:w="200" w:type="dxa"/>
            <w:vAlign w:val="bottom"/>
            <w:shd w:val="clear" w:color="auto" w:fill="CDEAFA"/>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172.03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S&amp;P 500</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119.42</w:t>
            </w:r>
          </w:p>
        </w:tc>
        <w:tc>
          <w:tcPr>
            <w:tcW w:w="2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111.97</w:t>
            </w:r>
          </w:p>
        </w:tc>
        <w:tc>
          <w:tcPr>
            <w:tcW w:w="2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144.31</w:t>
            </w:r>
          </w:p>
        </w:tc>
        <w:tc>
          <w:tcPr>
            <w:tcW w:w="2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167.77</w:t>
            </w:r>
          </w:p>
        </w:tc>
        <w:tc>
          <w:tcPr>
            <w:tcW w:w="2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212.89</w:t>
            </w:r>
          </w:p>
        </w:tc>
      </w:tr>
      <w:tr>
        <w:trPr>
          <w:trHeight w:val="216"/>
        </w:trPr>
        <w:tc>
          <w:tcPr>
            <w:tcW w:w="4740" w:type="dxa"/>
            <w:vAlign w:val="bottom"/>
            <w:shd w:val="clear" w:color="auto" w:fill="CDEAFA"/>
          </w:tcPr>
          <w:p>
            <w:pPr>
              <w:spacing w:after="0"/>
              <w:rPr>
                <w:sz w:val="20"/>
                <w:szCs w:val="20"/>
                <w:color w:val="auto"/>
              </w:rPr>
            </w:pPr>
            <w:r>
              <w:rPr>
                <w:rFonts w:ascii="Arial" w:cs="Arial" w:eastAsia="Arial" w:hAnsi="Arial"/>
                <w:sz w:val="18"/>
                <w:szCs w:val="18"/>
                <w:color w:val="auto"/>
              </w:rPr>
              <w:t>NQ US Pharma TR Index</w:t>
            </w:r>
          </w:p>
        </w:tc>
        <w:tc>
          <w:tcPr>
            <w:tcW w:w="200" w:type="dxa"/>
            <w:vAlign w:val="bottom"/>
            <w:shd w:val="clear" w:color="auto" w:fill="CDEAFA"/>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DEAFA"/>
          </w:tcPr>
          <w:p>
            <w:pPr>
              <w:jc w:val="right"/>
              <w:ind w:right="5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DEAFA"/>
          </w:tcPr>
          <w:p>
            <w:pPr>
              <w:spacing w:after="0"/>
              <w:rPr>
                <w:sz w:val="18"/>
                <w:szCs w:val="18"/>
                <w:color w:val="auto"/>
              </w:rPr>
            </w:pPr>
          </w:p>
        </w:tc>
        <w:tc>
          <w:tcPr>
            <w:tcW w:w="220" w:type="dxa"/>
            <w:vAlign w:val="bottom"/>
            <w:shd w:val="clear" w:color="auto" w:fill="CDEAFA"/>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120.40</w:t>
            </w:r>
          </w:p>
        </w:tc>
        <w:tc>
          <w:tcPr>
            <w:tcW w:w="220" w:type="dxa"/>
            <w:vAlign w:val="bottom"/>
            <w:shd w:val="clear" w:color="auto" w:fill="CDEAFA"/>
          </w:tcPr>
          <w:p>
            <w:pPr>
              <w:spacing w:after="0"/>
              <w:rPr>
                <w:sz w:val="18"/>
                <w:szCs w:val="18"/>
                <w:color w:val="auto"/>
              </w:rPr>
            </w:pPr>
          </w:p>
        </w:tc>
        <w:tc>
          <w:tcPr>
            <w:tcW w:w="220" w:type="dxa"/>
            <w:vAlign w:val="bottom"/>
            <w:shd w:val="clear" w:color="auto" w:fill="CDEAFA"/>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128.60</w:t>
            </w:r>
          </w:p>
        </w:tc>
        <w:tc>
          <w:tcPr>
            <w:tcW w:w="240" w:type="dxa"/>
            <w:vAlign w:val="bottom"/>
            <w:shd w:val="clear" w:color="auto" w:fill="CDEAFA"/>
          </w:tcPr>
          <w:p>
            <w:pPr>
              <w:spacing w:after="0"/>
              <w:rPr>
                <w:sz w:val="18"/>
                <w:szCs w:val="18"/>
                <w:color w:val="auto"/>
              </w:rPr>
            </w:pPr>
          </w:p>
        </w:tc>
        <w:tc>
          <w:tcPr>
            <w:tcW w:w="180" w:type="dxa"/>
            <w:vAlign w:val="bottom"/>
            <w:shd w:val="clear" w:color="auto" w:fill="CDEAFA"/>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147.25</w:t>
            </w:r>
          </w:p>
        </w:tc>
        <w:tc>
          <w:tcPr>
            <w:tcW w:w="200" w:type="dxa"/>
            <w:vAlign w:val="bottom"/>
            <w:shd w:val="clear" w:color="auto" w:fill="CDEAFA"/>
          </w:tcPr>
          <w:p>
            <w:pPr>
              <w:spacing w:after="0"/>
              <w:rPr>
                <w:sz w:val="18"/>
                <w:szCs w:val="18"/>
                <w:color w:val="auto"/>
              </w:rPr>
            </w:pPr>
          </w:p>
        </w:tc>
        <w:tc>
          <w:tcPr>
            <w:tcW w:w="200" w:type="dxa"/>
            <w:vAlign w:val="bottom"/>
            <w:shd w:val="clear" w:color="auto" w:fill="CDEAFA"/>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162.74</w:t>
            </w:r>
          </w:p>
        </w:tc>
        <w:tc>
          <w:tcPr>
            <w:tcW w:w="220" w:type="dxa"/>
            <w:vAlign w:val="bottom"/>
            <w:shd w:val="clear" w:color="auto" w:fill="CDEAFA"/>
          </w:tcPr>
          <w:p>
            <w:pPr>
              <w:spacing w:after="0"/>
              <w:rPr>
                <w:sz w:val="18"/>
                <w:szCs w:val="18"/>
                <w:color w:val="auto"/>
              </w:rPr>
            </w:pPr>
          </w:p>
        </w:tc>
        <w:tc>
          <w:tcPr>
            <w:tcW w:w="200" w:type="dxa"/>
            <w:vAlign w:val="bottom"/>
            <w:shd w:val="clear" w:color="auto" w:fill="CDEAFA"/>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202.43</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December 31, 2021. Refer to Part II, Item 7. “Management’s Discussion and Analysis of Financial Condition and Results of Operations - Liquidity and Capital Resources” for further details of our share repurchase programs.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jc w:val="center"/>
              <w:ind w:right="304"/>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Purchased Under the</w:t>
            </w:r>
          </w:p>
        </w:tc>
      </w:tr>
      <w:tr>
        <w:trPr>
          <w:trHeight w:val="216"/>
        </w:trPr>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jc w:val="right"/>
              <w:ind w:right="184"/>
              <w:spacing w:after="0"/>
              <w:rPr>
                <w:sz w:val="20"/>
                <w:szCs w:val="20"/>
                <w:color w:val="auto"/>
              </w:rPr>
            </w:pPr>
            <w:r>
              <w:rPr>
                <w:rFonts w:ascii="Arial" w:cs="Arial" w:eastAsia="Arial" w:hAnsi="Arial"/>
                <w:sz w:val="18"/>
                <w:szCs w:val="18"/>
                <w:b w:val="1"/>
                <w:bCs w:val="1"/>
                <w:color w:val="auto"/>
              </w:rPr>
              <w:t>Total Number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Average Price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jc w:val="center"/>
              <w:ind w:right="304"/>
              <w:spacing w:after="0"/>
              <w:rPr>
                <w:sz w:val="20"/>
                <w:szCs w:val="20"/>
                <w:color w:val="auto"/>
              </w:rPr>
            </w:pPr>
            <w:r>
              <w:rPr>
                <w:rFonts w:ascii="Arial" w:cs="Arial" w:eastAsia="Arial" w:hAnsi="Arial"/>
                <w:sz w:val="18"/>
                <w:szCs w:val="18"/>
                <w:b w:val="1"/>
                <w:bCs w:val="1"/>
                <w:color w:val="auto"/>
                <w:w w:val="90"/>
              </w:rPr>
              <w:t>Programs</w:t>
            </w:r>
          </w:p>
        </w:tc>
      </w:tr>
      <w:tr>
        <w:trPr>
          <w:trHeight w:val="234"/>
        </w:trPr>
        <w:tc>
          <w:tcPr>
            <w:tcW w:w="2600" w:type="dxa"/>
            <w:vAlign w:val="bottom"/>
            <w:gridSpan w:val="2"/>
          </w:tcPr>
          <w:p>
            <w:pPr>
              <w:ind w:left="880"/>
              <w:spacing w:after="0"/>
              <w:rPr>
                <w:sz w:val="20"/>
                <w:szCs w:val="20"/>
                <w:color w:val="auto"/>
              </w:rPr>
            </w:pPr>
            <w:r>
              <w:rPr>
                <w:rFonts w:ascii="Arial" w:cs="Arial" w:eastAsia="Arial" w:hAnsi="Arial"/>
                <w:sz w:val="18"/>
                <w:szCs w:val="18"/>
                <w:b w:val="1"/>
                <w:bCs w:val="1"/>
                <w:color w:val="auto"/>
              </w:rPr>
              <w:t>Period</w:t>
            </w:r>
          </w:p>
        </w:tc>
        <w:tc>
          <w:tcPr>
            <w:tcW w:w="1860" w:type="dxa"/>
            <w:vAlign w:val="bottom"/>
          </w:tcPr>
          <w:p>
            <w:pPr>
              <w:jc w:val="right"/>
              <w:ind w:right="144"/>
              <w:spacing w:after="0"/>
              <w:rPr>
                <w:sz w:val="20"/>
                <w:szCs w:val="20"/>
                <w:color w:val="auto"/>
              </w:rPr>
            </w:pPr>
            <w:r>
              <w:rPr>
                <w:rFonts w:ascii="Arial" w:cs="Arial" w:eastAsia="Arial" w:hAnsi="Arial"/>
                <w:sz w:val="18"/>
                <w:szCs w:val="18"/>
                <w:b w:val="1"/>
                <w:bCs w:val="1"/>
                <w:color w:val="auto"/>
              </w:rPr>
              <w:t>Shares Purchased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Paid per Share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jc w:val="center"/>
              <w:ind w:right="304"/>
              <w:spacing w:after="0"/>
              <w:rPr>
                <w:sz w:val="20"/>
                <w:szCs w:val="20"/>
                <w:color w:val="auto"/>
              </w:rPr>
            </w:pPr>
            <w:r>
              <w:rPr>
                <w:rFonts w:ascii="Arial" w:cs="Arial" w:eastAsia="Arial" w:hAnsi="Arial"/>
                <w:sz w:val="18"/>
                <w:szCs w:val="18"/>
                <w:i w:val="1"/>
                <w:iCs w:val="1"/>
                <w:color w:val="auto"/>
                <w:w w:val="96"/>
              </w:rPr>
              <w:t>(in millions)</w:t>
            </w:r>
          </w:p>
        </w:tc>
      </w:tr>
      <w:tr>
        <w:trPr>
          <w:trHeight w:val="209"/>
        </w:trPr>
        <w:tc>
          <w:tcPr>
            <w:tcW w:w="2260" w:type="dxa"/>
            <w:vAlign w:val="bottom"/>
            <w:tcBorders>
              <w:top w:val="single" w:sz="8" w:color="auto"/>
            </w:tcBorders>
            <w:shd w:val="clear" w:color="auto" w:fill="CDEAFA"/>
          </w:tcPr>
          <w:p>
            <w:pPr>
              <w:spacing w:after="0"/>
              <w:rPr>
                <w:sz w:val="20"/>
                <w:szCs w:val="20"/>
                <w:color w:val="auto"/>
              </w:rPr>
            </w:pPr>
            <w:r>
              <w:rPr>
                <w:rFonts w:ascii="Arial" w:cs="Arial" w:eastAsia="Arial" w:hAnsi="Arial"/>
                <w:sz w:val="18"/>
                <w:szCs w:val="18"/>
                <w:color w:val="auto"/>
              </w:rPr>
              <w:t>10/1/2021–10/31/2021</w:t>
            </w:r>
          </w:p>
        </w:tc>
        <w:tc>
          <w:tcPr>
            <w:tcW w:w="340" w:type="dxa"/>
            <w:vAlign w:val="bottom"/>
            <w:tcBorders>
              <w:top w:val="single" w:sz="8" w:color="CDEAFA"/>
            </w:tcBorders>
            <w:shd w:val="clear" w:color="auto" w:fill="CDEAFA"/>
          </w:tcPr>
          <w:p>
            <w:pPr>
              <w:spacing w:after="0"/>
              <w:rPr>
                <w:sz w:val="18"/>
                <w:szCs w:val="18"/>
                <w:color w:val="auto"/>
              </w:rPr>
            </w:pPr>
          </w:p>
        </w:tc>
        <w:tc>
          <w:tcPr>
            <w:tcW w:w="1860" w:type="dxa"/>
            <w:vAlign w:val="bottom"/>
            <w:tcBorders>
              <w:top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1,195,053</w:t>
            </w:r>
          </w:p>
        </w:tc>
        <w:tc>
          <w:tcPr>
            <w:tcW w:w="80" w:type="dxa"/>
            <w:vAlign w:val="bottom"/>
            <w:tcBorders>
              <w:top w:val="single" w:sz="8" w:color="auto"/>
            </w:tcBorders>
            <w:shd w:val="clear" w:color="auto" w:fill="CDEAFA"/>
          </w:tcPr>
          <w:p>
            <w:pPr>
              <w:spacing w:after="0"/>
              <w:rPr>
                <w:sz w:val="18"/>
                <w:szCs w:val="18"/>
                <w:color w:val="auto"/>
              </w:rPr>
            </w:pPr>
          </w:p>
        </w:tc>
        <w:tc>
          <w:tcPr>
            <w:tcW w:w="320" w:type="dxa"/>
            <w:vAlign w:val="bottom"/>
            <w:tcBorders>
              <w:top w:val="single" w:sz="8" w:color="CDEAFA"/>
            </w:tcBorders>
            <w:shd w:val="clear" w:color="auto" w:fill="CDEAFA"/>
          </w:tcPr>
          <w:p>
            <w:pPr>
              <w:spacing w:after="0"/>
              <w:rPr>
                <w:sz w:val="18"/>
                <w:szCs w:val="18"/>
                <w:color w:val="auto"/>
              </w:rPr>
            </w:pPr>
          </w:p>
        </w:tc>
        <w:tc>
          <w:tcPr>
            <w:tcW w:w="280" w:type="dxa"/>
            <w:vAlign w:val="bottom"/>
            <w:tcBorders>
              <w:top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DEAFA"/>
          </w:tcPr>
          <w:p>
            <w:pPr>
              <w:jc w:val="right"/>
              <w:ind w:right="27"/>
              <w:spacing w:after="0"/>
              <w:rPr>
                <w:sz w:val="20"/>
                <w:szCs w:val="20"/>
                <w:color w:val="auto"/>
              </w:rPr>
            </w:pPr>
            <w:r>
              <w:rPr>
                <w:rFonts w:ascii="Arial" w:cs="Arial" w:eastAsia="Arial" w:hAnsi="Arial"/>
                <w:sz w:val="18"/>
                <w:szCs w:val="18"/>
                <w:color w:val="auto"/>
              </w:rPr>
              <w:t>560.51</w:t>
            </w:r>
          </w:p>
        </w:tc>
        <w:tc>
          <w:tcPr>
            <w:tcW w:w="320" w:type="dxa"/>
            <w:vAlign w:val="bottom"/>
            <w:tcBorders>
              <w:top w:val="single" w:sz="8" w:color="CDEAFA"/>
            </w:tcBorders>
            <w:shd w:val="clear" w:color="auto" w:fill="CDEAFA"/>
          </w:tcPr>
          <w:p>
            <w:pPr>
              <w:spacing w:after="0"/>
              <w:rPr>
                <w:sz w:val="18"/>
                <w:szCs w:val="18"/>
                <w:color w:val="auto"/>
              </w:rPr>
            </w:pPr>
          </w:p>
        </w:tc>
        <w:tc>
          <w:tcPr>
            <w:tcW w:w="1840" w:type="dxa"/>
            <w:vAlign w:val="bottom"/>
            <w:tcBorders>
              <w:top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1,195,053</w:t>
            </w:r>
          </w:p>
        </w:tc>
        <w:tc>
          <w:tcPr>
            <w:tcW w:w="60" w:type="dxa"/>
            <w:vAlign w:val="bottom"/>
            <w:tcBorders>
              <w:top w:val="single" w:sz="8" w:color="auto"/>
            </w:tcBorders>
            <w:shd w:val="clear" w:color="auto" w:fill="CDEAFA"/>
          </w:tcPr>
          <w:p>
            <w:pPr>
              <w:spacing w:after="0"/>
              <w:rPr>
                <w:sz w:val="18"/>
                <w:szCs w:val="18"/>
                <w:color w:val="auto"/>
              </w:rPr>
            </w:pPr>
          </w:p>
        </w:tc>
        <w:tc>
          <w:tcPr>
            <w:tcW w:w="320" w:type="dxa"/>
            <w:vAlign w:val="bottom"/>
            <w:tcBorders>
              <w:top w:val="single" w:sz="8" w:color="CDEAFA"/>
            </w:tcBorders>
            <w:shd w:val="clear" w:color="auto" w:fill="CDEAFA"/>
          </w:tcPr>
          <w:p>
            <w:pPr>
              <w:spacing w:after="0"/>
              <w:rPr>
                <w:sz w:val="18"/>
                <w:szCs w:val="18"/>
                <w:color w:val="auto"/>
              </w:rPr>
            </w:pPr>
          </w:p>
        </w:tc>
        <w:tc>
          <w:tcPr>
            <w:tcW w:w="380" w:type="dxa"/>
            <w:vAlign w:val="bottom"/>
            <w:tcBorders>
              <w:top w:val="single" w:sz="8" w:color="auto"/>
            </w:tcBorders>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DEAFA"/>
          </w:tcPr>
          <w:p>
            <w:pPr>
              <w:jc w:val="right"/>
              <w:ind w:right="104"/>
              <w:spacing w:after="0"/>
              <w:rPr>
                <w:sz w:val="20"/>
                <w:szCs w:val="20"/>
                <w:color w:val="auto"/>
              </w:rPr>
            </w:pPr>
            <w:r>
              <w:rPr>
                <w:rFonts w:ascii="Arial" w:cs="Arial" w:eastAsia="Arial" w:hAnsi="Arial"/>
                <w:sz w:val="18"/>
                <w:szCs w:val="18"/>
                <w:color w:val="auto"/>
              </w:rPr>
              <w:t>27.5</w:t>
            </w:r>
          </w:p>
        </w:tc>
      </w:tr>
      <w:tr>
        <w:trPr>
          <w:trHeight w:val="15"/>
        </w:trPr>
        <w:tc>
          <w:tcPr>
            <w:tcW w:w="2600" w:type="dxa"/>
            <w:vAlign w:val="bottom"/>
            <w:gridSpan w:val="2"/>
          </w:tcPr>
          <w:p>
            <w:pPr>
              <w:spacing w:after="0"/>
              <w:rPr>
                <w:sz w:val="20"/>
                <w:szCs w:val="20"/>
                <w:color w:val="auto"/>
              </w:rPr>
            </w:pPr>
            <w:r>
              <w:rPr>
                <w:rFonts w:ascii="Arial" w:cs="Arial" w:eastAsia="Arial" w:hAnsi="Arial"/>
                <w:sz w:val="1"/>
                <w:szCs w:val="1"/>
                <w:color w:val="auto"/>
              </w:rPr>
              <w:t>11/1/2021–11/30/2021</w:t>
            </w:r>
          </w:p>
        </w:tc>
        <w:tc>
          <w:tcPr>
            <w:tcW w:w="1860" w:type="dxa"/>
            <w:vAlign w:val="bottom"/>
          </w:tcPr>
          <w:p>
            <w:pPr>
              <w:jc w:val="right"/>
              <w:spacing w:after="0"/>
              <w:rPr>
                <w:sz w:val="20"/>
                <w:szCs w:val="20"/>
                <w:color w:val="auto"/>
              </w:rPr>
            </w:pPr>
            <w:r>
              <w:rPr>
                <w:rFonts w:ascii="Arial" w:cs="Arial" w:eastAsia="Arial" w:hAnsi="Arial"/>
                <w:sz w:val="1"/>
                <w:szCs w:val="1"/>
                <w:color w:val="auto"/>
              </w:rPr>
              <w:t>110,500</w:t>
            </w:r>
          </w:p>
        </w:tc>
        <w:tc>
          <w:tcPr>
            <w:tcW w:w="680" w:type="dxa"/>
            <w:vAlign w:val="bottom"/>
            <w:gridSpan w:val="3"/>
          </w:tcPr>
          <w:p>
            <w:pPr>
              <w:jc w:val="right"/>
              <w:spacing w:after="0"/>
              <w:rPr>
                <w:sz w:val="20"/>
                <w:szCs w:val="20"/>
                <w:color w:val="auto"/>
              </w:rPr>
            </w:pPr>
            <w:r>
              <w:rPr>
                <w:rFonts w:ascii="Arial" w:cs="Arial" w:eastAsia="Arial" w:hAnsi="Arial"/>
                <w:sz w:val="1"/>
                <w:szCs w:val="1"/>
                <w:color w:val="auto"/>
              </w:rPr>
              <w:t>$</w:t>
            </w:r>
          </w:p>
        </w:tc>
        <w:tc>
          <w:tcPr>
            <w:tcW w:w="1600" w:type="dxa"/>
            <w:vAlign w:val="bottom"/>
          </w:tcPr>
          <w:p>
            <w:pPr>
              <w:jc w:val="right"/>
              <w:ind w:right="27"/>
              <w:spacing w:after="0"/>
              <w:rPr>
                <w:sz w:val="20"/>
                <w:szCs w:val="20"/>
                <w:color w:val="auto"/>
              </w:rPr>
            </w:pPr>
            <w:r>
              <w:rPr>
                <w:rFonts w:ascii="Arial" w:cs="Arial" w:eastAsia="Arial" w:hAnsi="Arial"/>
                <w:sz w:val="1"/>
                <w:szCs w:val="1"/>
                <w:color w:val="auto"/>
              </w:rPr>
              <w:t>645.90</w:t>
            </w:r>
          </w:p>
        </w:tc>
        <w:tc>
          <w:tcPr>
            <w:tcW w:w="320" w:type="dxa"/>
            <w:vAlign w:val="bottom"/>
          </w:tcPr>
          <w:p>
            <w:pPr>
              <w:spacing w:after="0" w:line="20" w:lineRule="exact"/>
              <w:rPr>
                <w:sz w:val="1"/>
                <w:szCs w:val="1"/>
                <w:color w:val="auto"/>
              </w:rPr>
            </w:pPr>
          </w:p>
        </w:tc>
        <w:tc>
          <w:tcPr>
            <w:tcW w:w="1840" w:type="dxa"/>
            <w:vAlign w:val="bottom"/>
          </w:tcPr>
          <w:p>
            <w:pPr>
              <w:jc w:val="right"/>
              <w:spacing w:after="0"/>
              <w:rPr>
                <w:sz w:val="20"/>
                <w:szCs w:val="20"/>
                <w:color w:val="auto"/>
              </w:rPr>
            </w:pPr>
            <w:r>
              <w:rPr>
                <w:rFonts w:ascii="Arial" w:cs="Arial" w:eastAsia="Arial" w:hAnsi="Arial"/>
                <w:sz w:val="1"/>
                <w:szCs w:val="1"/>
                <w:color w:val="auto"/>
              </w:rPr>
              <w:t>110,500</w:t>
            </w:r>
          </w:p>
        </w:tc>
        <w:tc>
          <w:tcPr>
            <w:tcW w:w="760" w:type="dxa"/>
            <w:vAlign w:val="bottom"/>
            <w:gridSpan w:val="3"/>
          </w:tcPr>
          <w:p>
            <w:pPr>
              <w:jc w:val="right"/>
              <w:ind w:right="70"/>
              <w:spacing w:after="0"/>
              <w:rPr>
                <w:sz w:val="20"/>
                <w:szCs w:val="20"/>
                <w:color w:val="auto"/>
              </w:rPr>
            </w:pPr>
            <w:r>
              <w:rPr>
                <w:rFonts w:ascii="Arial" w:cs="Arial" w:eastAsia="Arial" w:hAnsi="Arial"/>
                <w:sz w:val="1"/>
                <w:szCs w:val="1"/>
                <w:color w:val="auto"/>
              </w:rPr>
              <w:t>$</w:t>
            </w:r>
          </w:p>
        </w:tc>
        <w:tc>
          <w:tcPr>
            <w:tcW w:w="1580" w:type="dxa"/>
            <w:vAlign w:val="bottom"/>
          </w:tcPr>
          <w:p>
            <w:pPr>
              <w:jc w:val="right"/>
              <w:ind w:right="104"/>
              <w:spacing w:after="0"/>
              <w:rPr>
                <w:sz w:val="20"/>
                <w:szCs w:val="20"/>
                <w:color w:val="auto"/>
              </w:rPr>
            </w:pPr>
            <w:r>
              <w:rPr>
                <w:rFonts w:ascii="Arial" w:cs="Arial" w:eastAsia="Arial" w:hAnsi="Arial"/>
                <w:sz w:val="1"/>
                <w:szCs w:val="1"/>
                <w:color w:val="auto"/>
              </w:rPr>
              <w:t>2,956.1</w:t>
            </w:r>
          </w:p>
        </w:tc>
      </w:tr>
      <w:tr>
        <w:trPr>
          <w:trHeight w:val="195"/>
        </w:trPr>
        <w:tc>
          <w:tcPr>
            <w:tcW w:w="2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(b)</w:t>
            </w:r>
          </w:p>
        </w:tc>
      </w:tr>
      <w:tr>
        <w:trPr>
          <w:trHeight w:val="235"/>
        </w:trPr>
        <w:tc>
          <w:tcPr>
            <w:tcW w:w="260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12/1/2021–12/31/2021</w:t>
            </w:r>
          </w:p>
        </w:tc>
        <w:tc>
          <w:tcPr>
            <w:tcW w:w="186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271,289</w:t>
            </w:r>
          </w:p>
        </w:tc>
        <w:tc>
          <w:tcPr>
            <w:tcW w:w="80" w:type="dxa"/>
            <w:vAlign w:val="bottom"/>
            <w:tcBorders>
              <w:bottom w:val="single" w:sz="8" w:color="auto"/>
            </w:tcBorders>
            <w:shd w:val="clear" w:color="auto" w:fill="CDEAFA"/>
          </w:tcPr>
          <w:p>
            <w:pPr>
              <w:spacing w:after="0"/>
              <w:rPr>
                <w:sz w:val="20"/>
                <w:szCs w:val="20"/>
                <w:color w:val="auto"/>
              </w:rPr>
            </w:pPr>
          </w:p>
        </w:tc>
        <w:tc>
          <w:tcPr>
            <w:tcW w:w="60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DEAFA"/>
          </w:tcPr>
          <w:p>
            <w:pPr>
              <w:jc w:val="right"/>
              <w:ind w:right="27"/>
              <w:spacing w:after="0"/>
              <w:rPr>
                <w:sz w:val="20"/>
                <w:szCs w:val="20"/>
                <w:color w:val="auto"/>
              </w:rPr>
            </w:pPr>
            <w:r>
              <w:rPr>
                <w:rFonts w:ascii="Arial" w:cs="Arial" w:eastAsia="Arial" w:hAnsi="Arial"/>
                <w:sz w:val="18"/>
                <w:szCs w:val="18"/>
                <w:color w:val="auto"/>
              </w:rPr>
              <w:t>643.03</w:t>
            </w:r>
          </w:p>
        </w:tc>
        <w:tc>
          <w:tcPr>
            <w:tcW w:w="320" w:type="dxa"/>
            <w:vAlign w:val="bottom"/>
            <w:shd w:val="clear" w:color="auto" w:fill="CDEAFA"/>
          </w:tcPr>
          <w:p>
            <w:pPr>
              <w:spacing w:after="0"/>
              <w:rPr>
                <w:sz w:val="20"/>
                <w:szCs w:val="20"/>
                <w:color w:val="auto"/>
              </w:rPr>
            </w:pPr>
          </w:p>
        </w:tc>
        <w:tc>
          <w:tcPr>
            <w:tcW w:w="18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176,000</w:t>
            </w:r>
          </w:p>
        </w:tc>
        <w:tc>
          <w:tcPr>
            <w:tcW w:w="60" w:type="dxa"/>
            <w:vAlign w:val="bottom"/>
            <w:tcBorders>
              <w:bottom w:val="single" w:sz="8" w:color="auto"/>
            </w:tcBorders>
            <w:shd w:val="clear" w:color="auto" w:fill="CDEAFA"/>
          </w:tcPr>
          <w:p>
            <w:pPr>
              <w:spacing w:after="0"/>
              <w:rPr>
                <w:sz w:val="20"/>
                <w:szCs w:val="20"/>
                <w:color w:val="auto"/>
              </w:rPr>
            </w:pPr>
          </w:p>
        </w:tc>
        <w:tc>
          <w:tcPr>
            <w:tcW w:w="700" w:type="dxa"/>
            <w:vAlign w:val="bottom"/>
            <w:gridSpan w:val="2"/>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DEAFA"/>
          </w:tcPr>
          <w:p>
            <w:pPr>
              <w:jc w:val="right"/>
              <w:ind w:right="104"/>
              <w:spacing w:after="0"/>
              <w:rPr>
                <w:sz w:val="20"/>
                <w:szCs w:val="20"/>
                <w:color w:val="auto"/>
              </w:rPr>
            </w:pPr>
            <w:r>
              <w:rPr>
                <w:rFonts w:ascii="Arial" w:cs="Arial" w:eastAsia="Arial" w:hAnsi="Arial"/>
                <w:sz w:val="18"/>
                <w:szCs w:val="18"/>
                <w:color w:val="auto"/>
              </w:rPr>
              <w:t>2,845.0</w:t>
            </w:r>
          </w:p>
        </w:tc>
      </w:tr>
      <w:tr>
        <w:trPr>
          <w:trHeight w:val="224"/>
        </w:trPr>
        <w:tc>
          <w:tcPr>
            <w:tcW w:w="2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spacing w:after="0"/>
              <w:rPr>
                <w:sz w:val="20"/>
                <w:szCs w:val="20"/>
                <w:color w:val="auto"/>
              </w:rPr>
            </w:pPr>
            <w:r>
              <w:rPr>
                <w:rFonts w:ascii="Arial" w:cs="Arial" w:eastAsia="Arial" w:hAnsi="Arial"/>
                <w:sz w:val="18"/>
                <w:szCs w:val="18"/>
                <w:color w:val="auto"/>
              </w:rPr>
              <w:t>1,576,842</w:t>
            </w:r>
          </w:p>
        </w:tc>
        <w:tc>
          <w:tcPr>
            <w:tcW w:w="680" w:type="dxa"/>
            <w:vAlign w:val="bottom"/>
            <w:gridSpan w:val="3"/>
          </w:tcPr>
          <w:p>
            <w:pPr>
              <w:jc w:val="right"/>
              <w:ind w:right="350"/>
              <w:spacing w:after="0"/>
              <w:rPr>
                <w:sz w:val="20"/>
                <w:szCs w:val="20"/>
                <w:color w:val="auto"/>
              </w:rPr>
            </w:pPr>
            <w:r>
              <w:rPr>
                <w:rFonts w:ascii="Arial" w:cs="Arial" w:eastAsia="Arial" w:hAnsi="Arial"/>
                <w:sz w:val="15"/>
                <w:szCs w:val="15"/>
                <w:color w:val="auto"/>
              </w:rPr>
              <w:t>(a)</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1,481,553</w:t>
            </w:r>
          </w:p>
        </w:tc>
        <w:tc>
          <w:tcPr>
            <w:tcW w:w="760" w:type="dxa"/>
            <w:vAlign w:val="bottom"/>
            <w:gridSpan w:val="3"/>
          </w:tcPr>
          <w:p>
            <w:pPr>
              <w:jc w:val="right"/>
              <w:ind w:right="450"/>
              <w:spacing w:after="0"/>
              <w:rPr>
                <w:sz w:val="20"/>
                <w:szCs w:val="20"/>
                <w:color w:val="auto"/>
              </w:rPr>
            </w:pPr>
            <w:r>
              <w:rPr>
                <w:rFonts w:ascii="Arial" w:cs="Arial" w:eastAsia="Arial" w:hAnsi="Arial"/>
                <w:sz w:val="15"/>
                <w:szCs w:val="15"/>
                <w:color w:val="auto"/>
              </w:rPr>
              <w:t>(a)</w:t>
            </w:r>
          </w:p>
        </w:tc>
        <w:tc>
          <w:tcPr>
            <w:tcW w:w="1580" w:type="dxa"/>
            <w:vAlign w:val="bottom"/>
          </w:tcPr>
          <w:p>
            <w:pPr>
              <w:spacing w:after="0"/>
              <w:rPr>
                <w:sz w:val="19"/>
                <w:szCs w:val="19"/>
                <w:color w:val="auto"/>
              </w:rPr>
            </w:pPr>
          </w:p>
        </w:tc>
      </w:tr>
    </w:tbl>
    <w:p>
      <w:pPr>
        <w:spacing w:after="0" w:line="232" w:lineRule="exact"/>
        <w:rPr>
          <w:sz w:val="20"/>
          <w:szCs w:val="20"/>
          <w:color w:val="auto"/>
        </w:rPr>
      </w:pPr>
    </w:p>
    <w:p>
      <w:pPr>
        <w:ind w:left="180" w:right="180" w:firstLine="8"/>
        <w:spacing w:after="0" w:line="375" w:lineRule="auto"/>
        <w:tabs>
          <w:tab w:leader="none" w:pos="363" w:val="left"/>
        </w:tabs>
        <w:numPr>
          <w:ilvl w:val="0"/>
          <w:numId w:val="33"/>
        </w:numPr>
        <w:rPr>
          <w:rFonts w:ascii="Arial" w:cs="Arial" w:eastAsia="Arial" w:hAnsi="Arial"/>
          <w:sz w:val="21"/>
          <w:szCs w:val="21"/>
          <w:color w:val="auto"/>
          <w:vertAlign w:val="superscript"/>
        </w:rPr>
      </w:pPr>
      <w:r>
        <w:rPr>
          <w:rFonts w:ascii="Arial" w:cs="Arial" w:eastAsia="Arial" w:hAnsi="Arial"/>
          <w:sz w:val="13"/>
          <w:szCs w:val="13"/>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ind w:left="380" w:hanging="192"/>
        <w:spacing w:after="0" w:line="220" w:lineRule="auto"/>
        <w:tabs>
          <w:tab w:leader="none" w:pos="380" w:val="left"/>
        </w:tabs>
        <w:numPr>
          <w:ilvl w:val="0"/>
          <w:numId w:val="33"/>
        </w:numPr>
        <w:rPr>
          <w:rFonts w:ascii="Arial" w:cs="Arial" w:eastAsia="Arial" w:hAnsi="Arial"/>
          <w:sz w:val="23"/>
          <w:szCs w:val="23"/>
          <w:color w:val="auto"/>
          <w:vertAlign w:val="superscript"/>
        </w:rPr>
      </w:pPr>
      <w:r>
        <w:rPr>
          <w:rFonts w:ascii="Arial" w:cs="Arial" w:eastAsia="Arial" w:hAnsi="Arial"/>
          <w:sz w:val="14"/>
          <w:szCs w:val="14"/>
          <w:color w:val="auto"/>
        </w:rPr>
        <w:t>In November 2021, our board of directors authorized an additional share repurchase program to repurchase up to $3.0 billion of our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related notes included elsewhere in this report. Refer to Part II, Item 7 in our Annual Report on Form 10-K for the fiscal year ended December 31, 2020 (filed with the SEC on February 8, 2021) for additional discussion of our financial condition and results of operations for the year ended December 31, 2019, as well as our financial condition and results of operations for the year ended December 31, 2020 compared to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serious diseases. Our commercialized medicines and product candidates in development are designed to help patients with eye diseases, allergic and inflammatory diseases, cancer, cardiovascular and metabolic diseases, pain, hematologic conditions, infectious diseases, and rare diseases.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nine FDA-approved products that have received marketing approval and over 30 product candidates in clinical development, almost all of which were homegrown in our laboratories. In addition, REGEN-COV has not been approved by the FDA, but has been authorized under an EUA for COVID-19 (see Part I, Item 1. “Business - REGEN-COV - Emergency and Temporary Use Authorizations” for a description of recent revisions to the EUA to exclude its use in geographic regions where infection or exposure is likely due to a variant that is not susceptible to the treatment). Also refer to Part I, Item 1. “Business - Products” and “Business - Programs in Clinical Development” for additional information related to marketed products and product candidates.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or losses from sales of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summary of the significant accounting policies that impact us is provided in Note 1 to our Consolidated Financial Statements.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1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requires an assumption (or assumptions) regarding a future outcome; and</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estimate or the use of different assumptions to prepare the estimate could have a material effect on our results of operations or financial condition.</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Product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from product sales at a point in time when our customer is deemed to have obtained control of the product, which generally occurs upon receipt or acceptance by our customer.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3" w:name="page84"/>
    <w:bookmarkEnd w:id="83"/>
    <w:p>
      <w:pPr>
        <w:jc w:val="both"/>
        <w:spacing w:after="0" w:line="291" w:lineRule="auto"/>
        <w:rPr>
          <w:sz w:val="20"/>
          <w:szCs w:val="20"/>
          <w:color w:val="auto"/>
        </w:rPr>
      </w:pPr>
      <w:r>
        <w:rPr>
          <w:rFonts w:ascii="Arial" w:cs="Arial" w:eastAsia="Arial" w:hAnsi="Arial"/>
          <w:sz w:val="16"/>
          <w:szCs w:val="16"/>
          <w:color w:val="auto"/>
        </w:rPr>
        <w:t xml:space="preserve">The amount of revenue we recognize from product sales may vary due to rebates, chargebacks, and discounts provided under governmental and other programs, distribution-related fees, and other sales-related deductions. In order to determine the transaction price, we estimate, utilizing the expected value method, the amount of variable consideration to which we will be entitled. This estimate is based upon contracts with customers, healthcare providers, payors and government agencies, statutorily-defined discounts applicable to government-funded programs, historical experience, estimated payor mix, and other relevant factors. Calculating these provisions involves estimates and judgments. We review our estimates of rebates, chargebacks, and other applicable provisions each period and record any necessary adjustments in the current period’s net product sales. Refer to the “Results of Operations - </w:t>
      </w:r>
      <w:r>
        <w:rPr>
          <w:rFonts w:ascii="Arial" w:cs="Arial" w:eastAsia="Arial" w:hAnsi="Arial"/>
          <w:sz w:val="16"/>
          <w:szCs w:val="16"/>
          <w:i w:val="1"/>
          <w:iCs w:val="1"/>
          <w:color w:val="auto"/>
        </w:rPr>
        <w:t xml:space="preserve">Revenues </w:t>
      </w:r>
      <w:r>
        <w:rPr>
          <w:rFonts w:ascii="Arial" w:cs="Arial" w:eastAsia="Arial" w:hAnsi="Arial"/>
          <w:sz w:val="16"/>
          <w:szCs w:val="16"/>
          <w:color w:val="auto"/>
        </w:rPr>
        <w:t>-</w:t>
      </w:r>
      <w:r>
        <w:rPr>
          <w:rFonts w:ascii="Arial" w:cs="Arial" w:eastAsia="Arial" w:hAnsi="Arial"/>
          <w:sz w:val="16"/>
          <w:szCs w:val="16"/>
          <w:i w:val="1"/>
          <w:iCs w:val="1"/>
          <w:color w:val="auto"/>
        </w:rPr>
        <w:t xml:space="preserve"> Net Product Sales</w:t>
      </w:r>
      <w:r>
        <w:rPr>
          <w:rFonts w:ascii="Arial" w:cs="Arial" w:eastAsia="Arial" w:hAnsi="Arial"/>
          <w:sz w:val="16"/>
          <w:szCs w:val="16"/>
          <w:color w:val="auto"/>
        </w:rPr>
        <w:t>” section below for further details regarding our provisions, and credits/ payments, for sales-related deductions.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various collaborative arrangements to research, develop, manufacture, and commercialize products and/or product candidates.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collaboration agreements may require us to deliver various rights, services, and/or goods across the entire life cycle of a product or product candidate. In agreements involving multiple goods or services promised to be transferred to our collaborator, we must assess, at the inception of the contract, whether each promise represents a separate obligation (i.e., is “distinct”), or whether such promises should be combined as a single unit of account. When we have a combined unit of account which includes a license and providing research and development services to our collaborator, recognition of up-front payments and development milestones earned from our collaborator is deferred (as a liability) and recognized over the development period (i.e., over time). In arrangements where we satisfy our obligation(s) during the development phase over time, we recognize amounts initially deferred over time typically using an input method on the basis of our research and development costs incurred relative to the total expected cost which determines the extent of our progress toward completion. We review our estimates each period and make revisions to such estimates as necessary. Due to the variability in the scope of activities and length of time necessary to develop a drug product, potential delays in development programs, changes to development plans and budgets as programs progress, including if we and our collaborators decide to expand or contract our clinical plans for a drug candidate in various disease indications, and uncertainty in the ultimate requirements to obtain governmental approval for commercialization, revisions to our estimates are likely to occur periodically, potentially resulting in material changes to amounts recognized.</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are entitled to reimbursement of all or a portion of the expenses (e.g., research and development expenses) that we incur under a collaboration, we record those reimbursable amounts in the period in which such costs are incurred.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collaborator performs research and development work or commercialization-related activities and share costs, we also recognize, as expense (e.g., research and development expense or selling, general and administrative expense, as applicable) in the period when our collaborator incurs such expenses, the portion of the collaborator’s expenses that we are obligated to reimburse. Our collaborators provide us with estimated expenses for the most recent fiscal quarter. The estimates are revised, if necessary, in subsequent periods if actual expenses differ from those estimates.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pacing w:after="0" w:line="170" w:lineRule="exact"/>
        <w:rPr>
          <w:sz w:val="20"/>
          <w:szCs w:val="20"/>
          <w:color w:val="auto"/>
        </w:rPr>
      </w:pPr>
    </w:p>
    <w:p>
      <w:pPr>
        <w:jc w:val="both"/>
        <w:ind w:left="660" w:hanging="328"/>
        <w:spacing w:after="0" w:line="25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supply commercial product to our collaborator, we may be reimbursed for our manufacturing costs as commercial product is shipped to the collaborator; however, recognition of such cost reimbursements may be deferred until the product is sold by our collaborator to third-party customers;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receive royalties and/or sales-based milestone payments from our collaborator, we recognize such amounts in the period earned.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collaborators provide us with estimates of product sales and our share of profits or losses, as applicable, for each quarter. The estimates are revised, if necessary, in subsequent periods if our share of actual profits or losses differ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stock-based compensation expense for equity grants under our long-term incentive plans to employees and non-employee members of our board of directors based on the grant-date fair value of those awards. The grant-date fair value of an award is generally recognized as compensation expense over the award’s requisite service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the Black-Scholes model to compute the estimated fair value of stock option awards. Using this model, fair value is calculated based on assumptions with respect to (i) expected volatility of our Common Stock price, (ii) the periods of time over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4" w:name="page85"/>
    <w:bookmarkEnd w:id="84"/>
    <w:p>
      <w:pPr>
        <w:jc w:val="both"/>
        <w:spacing w:after="0" w:line="255" w:lineRule="auto"/>
        <w:rPr>
          <w:sz w:val="20"/>
          <w:szCs w:val="20"/>
          <w:color w:val="auto"/>
        </w:rPr>
      </w:pPr>
      <w:r>
        <w:rPr>
          <w:rFonts w:ascii="Arial" w:cs="Arial" w:eastAsia="Arial" w:hAnsi="Arial"/>
          <w:sz w:val="18"/>
          <w:szCs w:val="18"/>
          <w:color w:val="auto"/>
        </w:rPr>
        <w:t>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employee and board of director option grants. The expected dividend yield is zero as we have never paid dividends and do not currently anticipate paying any in the foreseeable future.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also includes an estimate, which is made at the time of grant, of the number of awards that are expected to be forfeited.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estimate is revised, if necessary, in subsequent periods if actual forfeitures differ from those estimates.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a Monte Carlo simulation to compute the estimated fair value of performance-based restricted stock units, which are subject to vesting based on the Company’s attainment of pre-established market performance goals.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assumptions used in computing the fair value of equity awards reflect our best estimates but involve uncertainties related to market and other conditions, many of which are outside of our control. Changes in any of these assumptions may materially affect the fair value of awards granted and the amount of stock-based compensation recognized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 deferred tax assets and liabilities for the expected future tax consequences of events that have been included in the financial statements or tax returns, including deferred tax assets and liabilities for expected amounts of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Uncertain tax positions, for which management’s assessment is that there is more than a 50% probability that the position will be sustained upon examination by a taxing authority based upon its technical merits, are subjected to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and changes in facts or circumstances related to a tax position. We adjust the amount of the liability to reflect any subsequent changes in the relevant facts and circumstances surrounding the uncertain positions.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periodically analyze our inventory levels to identify inventory that may expire prior to expected sale or has a cost basis in excess of its estimated realizable value, and write 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write down such inventory to its estimated realizable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6 to our Consolidated Financial Statements for information related to our inventory write-offs and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accrue, based on management’s judgment, for an estimated loss when the potential loss from claims or legal proceedings is considered probable and the amount can be reasonably estimated. As additional information becomes available, or, based on specific events such as the outcome of litigation or settlement of claims, we reassess the potential liability related to pending claims and litigation, and may change our estimates.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40" w:type="dxa"/>
            <w:vAlign w:val="bottom"/>
            <w:gridSpan w:val="2"/>
            <w:vMerge w:val="restart"/>
          </w:tcPr>
          <w:p>
            <w:pPr>
              <w:ind w:left="860"/>
              <w:spacing w:after="0"/>
              <w:rPr>
                <w:sz w:val="20"/>
                <w:szCs w:val="20"/>
                <w:color w:val="auto"/>
              </w:rPr>
            </w:pPr>
            <w:r>
              <w:rPr>
                <w:rFonts w:ascii="Arial" w:cs="Arial" w:eastAsia="Arial" w:hAnsi="Arial"/>
                <w:sz w:val="18"/>
                <w:szCs w:val="18"/>
                <w:i w:val="1"/>
                <w:iCs w:val="1"/>
                <w:color w:val="auto"/>
              </w:rPr>
              <w:t>(In millions, except per share data)</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0"/>
          </w:tcPr>
          <w:p>
            <w:pPr>
              <w:jc w:val="right"/>
              <w:ind w:right="270"/>
              <w:spacing w:after="0"/>
              <w:rPr>
                <w:sz w:val="20"/>
                <w:szCs w:val="20"/>
                <w:color w:val="auto"/>
              </w:rPr>
            </w:pPr>
            <w:r>
              <w:rPr>
                <w:rFonts w:ascii="Arial" w:cs="Arial" w:eastAsia="Arial" w:hAnsi="Arial"/>
                <w:sz w:val="18"/>
                <w:szCs w:val="18"/>
                <w:b w:val="1"/>
                <w:bCs w:val="1"/>
                <w:color w:val="auto"/>
                <w:w w:val="94"/>
              </w:rPr>
              <w:t>Year Ended December 31,</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880" w:type="dxa"/>
            <w:vAlign w:val="bottom"/>
            <w:tcBorders>
              <w:top w:val="single" w:sz="8" w:color="CDEAFA"/>
            </w:tcBorders>
            <w:shd w:val="clear" w:color="auto" w:fill="CDEAFA"/>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DEAFA"/>
            </w:tcBorders>
            <w:shd w:val="clear" w:color="auto" w:fill="CDEAFA"/>
          </w:tcPr>
          <w:p>
            <w:pPr>
              <w:spacing w:after="0"/>
              <w:rPr>
                <w:sz w:val="18"/>
                <w:szCs w:val="18"/>
                <w:color w:val="auto"/>
              </w:rPr>
            </w:pPr>
          </w:p>
        </w:tc>
        <w:tc>
          <w:tcPr>
            <w:tcW w:w="900" w:type="dxa"/>
            <w:vAlign w:val="bottom"/>
            <w:tcBorders>
              <w:top w:val="single" w:sz="8" w:color="CDEAFA"/>
            </w:tcBorders>
            <w:shd w:val="clear" w:color="auto" w:fill="CDEAFA"/>
          </w:tcPr>
          <w:p>
            <w:pPr>
              <w:spacing w:after="0"/>
              <w:rPr>
                <w:sz w:val="18"/>
                <w:szCs w:val="18"/>
                <w:color w:val="auto"/>
              </w:rPr>
            </w:pPr>
          </w:p>
        </w:tc>
        <w:tc>
          <w:tcPr>
            <w:tcW w:w="220" w:type="dxa"/>
            <w:vAlign w:val="bottom"/>
            <w:tcBorders>
              <w:top w:val="single" w:sz="8" w:color="CDEAFA"/>
            </w:tcBorders>
            <w:shd w:val="clear" w:color="auto" w:fill="CDEAFA"/>
          </w:tcPr>
          <w:p>
            <w:pPr>
              <w:spacing w:after="0"/>
              <w:rPr>
                <w:sz w:val="18"/>
                <w:szCs w:val="18"/>
                <w:color w:val="auto"/>
              </w:rPr>
            </w:pPr>
          </w:p>
        </w:tc>
        <w:tc>
          <w:tcPr>
            <w:tcW w:w="240" w:type="dxa"/>
            <w:vAlign w:val="bottom"/>
            <w:tcBorders>
              <w:top w:val="single" w:sz="8" w:color="CDEAFA"/>
            </w:tcBorders>
            <w:shd w:val="clear" w:color="auto" w:fill="CDEAFA"/>
          </w:tcPr>
          <w:p>
            <w:pPr>
              <w:spacing w:after="0"/>
              <w:rPr>
                <w:sz w:val="18"/>
                <w:szCs w:val="18"/>
                <w:color w:val="auto"/>
              </w:rPr>
            </w:pPr>
          </w:p>
        </w:tc>
        <w:tc>
          <w:tcPr>
            <w:tcW w:w="220" w:type="dxa"/>
            <w:vAlign w:val="bottom"/>
            <w:tcBorders>
              <w:top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DEAFA"/>
          </w:tcPr>
          <w:p>
            <w:pPr>
              <w:jc w:val="right"/>
              <w:spacing w:after="0"/>
              <w:rPr>
                <w:sz w:val="20"/>
                <w:szCs w:val="20"/>
                <w:color w:val="auto"/>
              </w:rPr>
            </w:pPr>
            <w:r>
              <w:rPr>
                <w:rFonts w:ascii="Arial" w:cs="Arial" w:eastAsia="Arial" w:hAnsi="Arial"/>
                <w:sz w:val="18"/>
                <w:szCs w:val="18"/>
                <w:color w:val="auto"/>
              </w:rPr>
              <w:t>16,071.7</w:t>
            </w:r>
          </w:p>
        </w:tc>
        <w:tc>
          <w:tcPr>
            <w:tcW w:w="80" w:type="dxa"/>
            <w:vAlign w:val="bottom"/>
            <w:tcBorders>
              <w:top w:val="single" w:sz="8" w:color="auto"/>
            </w:tcBorders>
            <w:shd w:val="clear" w:color="auto" w:fill="CDEAFA"/>
          </w:tcPr>
          <w:p>
            <w:pPr>
              <w:spacing w:after="0"/>
              <w:rPr>
                <w:sz w:val="18"/>
                <w:szCs w:val="18"/>
                <w:color w:val="auto"/>
              </w:rPr>
            </w:pPr>
          </w:p>
        </w:tc>
        <w:tc>
          <w:tcPr>
            <w:tcW w:w="300" w:type="dxa"/>
            <w:vAlign w:val="bottom"/>
            <w:tcBorders>
              <w:top w:val="single" w:sz="8" w:color="CDEAFA"/>
            </w:tcBorders>
            <w:shd w:val="clear" w:color="auto" w:fill="CDEAFA"/>
          </w:tcPr>
          <w:p>
            <w:pPr>
              <w:spacing w:after="0"/>
              <w:rPr>
                <w:sz w:val="18"/>
                <w:szCs w:val="18"/>
                <w:color w:val="auto"/>
              </w:rPr>
            </w:pPr>
          </w:p>
        </w:tc>
        <w:tc>
          <w:tcPr>
            <w:tcW w:w="360" w:type="dxa"/>
            <w:vAlign w:val="bottom"/>
            <w:tcBorders>
              <w:top w:val="single" w:sz="8" w:color="auto"/>
            </w:tcBorders>
            <w:shd w:val="clear" w:color="auto" w:fill="CDEAFA"/>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3"/>
            <w:shd w:val="clear" w:color="auto" w:fill="CDEAFA"/>
          </w:tcPr>
          <w:p>
            <w:pPr>
              <w:jc w:val="right"/>
              <w:spacing w:after="0"/>
              <w:rPr>
                <w:sz w:val="20"/>
                <w:szCs w:val="20"/>
                <w:color w:val="auto"/>
              </w:rPr>
            </w:pPr>
            <w:r>
              <w:rPr>
                <w:rFonts w:ascii="Arial" w:cs="Arial" w:eastAsia="Arial" w:hAnsi="Arial"/>
                <w:sz w:val="18"/>
                <w:szCs w:val="18"/>
                <w:color w:val="auto"/>
              </w:rPr>
              <w:t>8,497.1</w:t>
            </w:r>
          </w:p>
        </w:tc>
        <w:tc>
          <w:tcPr>
            <w:tcW w:w="60" w:type="dxa"/>
            <w:vAlign w:val="bottom"/>
            <w:tcBorders>
              <w:top w:val="single" w:sz="8" w:color="auto"/>
            </w:tcBorders>
            <w:shd w:val="clear" w:color="auto" w:fill="CDEAFA"/>
          </w:tcPr>
          <w:p>
            <w:pPr>
              <w:spacing w:after="0"/>
              <w:rPr>
                <w:sz w:val="18"/>
                <w:szCs w:val="18"/>
                <w:color w:val="auto"/>
              </w:rPr>
            </w:pPr>
          </w:p>
        </w:tc>
        <w:tc>
          <w:tcPr>
            <w:tcW w:w="280" w:type="dxa"/>
            <w:vAlign w:val="bottom"/>
            <w:tcBorders>
              <w:top w:val="single" w:sz="8" w:color="CDEAFA"/>
            </w:tcBorders>
            <w:shd w:val="clear" w:color="auto" w:fill="CDEAFA"/>
          </w:tcPr>
          <w:p>
            <w:pPr>
              <w:spacing w:after="0"/>
              <w:rPr>
                <w:sz w:val="18"/>
                <w:szCs w:val="18"/>
                <w:color w:val="auto"/>
              </w:rPr>
            </w:pPr>
          </w:p>
        </w:tc>
        <w:tc>
          <w:tcPr>
            <w:tcW w:w="500" w:type="dxa"/>
            <w:vAlign w:val="bottom"/>
            <w:tcBorders>
              <w:top w:val="single" w:sz="8" w:color="auto"/>
            </w:tcBorders>
            <w:shd w:val="clear" w:color="auto" w:fill="CDEAFA"/>
          </w:tcPr>
          <w:p>
            <w:pPr>
              <w:jc w:val="right"/>
              <w:ind w:right="21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4"/>
            <w:shd w:val="clear" w:color="auto" w:fill="CDEAFA"/>
          </w:tcPr>
          <w:p>
            <w:pPr>
              <w:jc w:val="right"/>
              <w:ind w:right="10"/>
              <w:spacing w:after="0"/>
              <w:rPr>
                <w:sz w:val="20"/>
                <w:szCs w:val="20"/>
                <w:color w:val="auto"/>
              </w:rPr>
            </w:pPr>
            <w:r>
              <w:rPr>
                <w:rFonts w:ascii="Arial" w:cs="Arial" w:eastAsia="Arial" w:hAnsi="Arial"/>
                <w:sz w:val="18"/>
                <w:szCs w:val="18"/>
                <w:color w:val="auto"/>
                <w:w w:val="86"/>
              </w:rPr>
              <w:t>6,557.6</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3880" w:type="dxa"/>
            <w:vAlign w:val="bottom"/>
            <w:tcBorders>
              <w:bottom w:val="single" w:sz="8" w:color="CDEAFA"/>
            </w:tcBorders>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DEAFA"/>
            </w:tcBorders>
          </w:tcPr>
          <w:p>
            <w:pPr>
              <w:spacing w:after="0"/>
              <w:rPr>
                <w:sz w:val="19"/>
                <w:szCs w:val="19"/>
                <w:color w:val="auto"/>
              </w:rPr>
            </w:pPr>
          </w:p>
        </w:tc>
        <w:tc>
          <w:tcPr>
            <w:tcW w:w="900" w:type="dxa"/>
            <w:vAlign w:val="bottom"/>
            <w:tcBorders>
              <w:bottom w:val="single" w:sz="8" w:color="CDEAFA"/>
            </w:tcBorders>
          </w:tcPr>
          <w:p>
            <w:pPr>
              <w:spacing w:after="0"/>
              <w:rPr>
                <w:sz w:val="19"/>
                <w:szCs w:val="19"/>
                <w:color w:val="auto"/>
              </w:rPr>
            </w:pPr>
          </w:p>
        </w:tc>
        <w:tc>
          <w:tcPr>
            <w:tcW w:w="220" w:type="dxa"/>
            <w:vAlign w:val="bottom"/>
            <w:tcBorders>
              <w:bottom w:val="single" w:sz="8" w:color="CDEAFA"/>
            </w:tcBorders>
          </w:tcPr>
          <w:p>
            <w:pPr>
              <w:spacing w:after="0"/>
              <w:rPr>
                <w:sz w:val="19"/>
                <w:szCs w:val="19"/>
                <w:color w:val="auto"/>
              </w:rPr>
            </w:pPr>
          </w:p>
        </w:tc>
        <w:tc>
          <w:tcPr>
            <w:tcW w:w="24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7,124.9</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CDEAFA"/>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4,920.5</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CDEAFA"/>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86"/>
              </w:rPr>
              <w:t>4,347.8</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880" w:type="dxa"/>
            <w:vAlign w:val="bottom"/>
            <w:shd w:val="clear" w:color="auto" w:fill="CDEAFA"/>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DEAFA"/>
          </w:tcPr>
          <w:p>
            <w:pPr>
              <w:spacing w:after="0"/>
              <w:rPr>
                <w:sz w:val="18"/>
                <w:szCs w:val="18"/>
                <w:color w:val="auto"/>
              </w:rPr>
            </w:pPr>
          </w:p>
        </w:tc>
        <w:tc>
          <w:tcPr>
            <w:tcW w:w="90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86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8,946.8</w:t>
            </w:r>
          </w:p>
        </w:tc>
        <w:tc>
          <w:tcPr>
            <w:tcW w:w="8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360" w:type="dxa"/>
            <w:vAlign w:val="bottom"/>
            <w:shd w:val="clear" w:color="auto" w:fill="CDEAFA"/>
          </w:tcPr>
          <w:p>
            <w:pPr>
              <w:spacing w:after="0"/>
              <w:rPr>
                <w:sz w:val="18"/>
                <w:szCs w:val="18"/>
                <w:color w:val="auto"/>
              </w:rPr>
            </w:pPr>
          </w:p>
        </w:tc>
        <w:tc>
          <w:tcPr>
            <w:tcW w:w="700" w:type="dxa"/>
            <w:vAlign w:val="bottom"/>
            <w:gridSpan w:val="3"/>
            <w:shd w:val="clear" w:color="auto" w:fill="CDEAFA"/>
          </w:tcPr>
          <w:p>
            <w:pPr>
              <w:jc w:val="right"/>
              <w:spacing w:after="0"/>
              <w:rPr>
                <w:sz w:val="20"/>
                <w:szCs w:val="20"/>
                <w:color w:val="auto"/>
              </w:rPr>
            </w:pPr>
            <w:r>
              <w:rPr>
                <w:rFonts w:ascii="Arial" w:cs="Arial" w:eastAsia="Arial" w:hAnsi="Arial"/>
                <w:sz w:val="18"/>
                <w:szCs w:val="18"/>
                <w:color w:val="auto"/>
              </w:rPr>
              <w:t>3,576.6</w:t>
            </w:r>
          </w:p>
        </w:tc>
        <w:tc>
          <w:tcPr>
            <w:tcW w:w="6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640" w:type="dxa"/>
            <w:vAlign w:val="bottom"/>
            <w:gridSpan w:val="4"/>
            <w:shd w:val="clear" w:color="auto" w:fill="CDEAFA"/>
          </w:tcPr>
          <w:p>
            <w:pPr>
              <w:jc w:val="right"/>
              <w:ind w:right="10"/>
              <w:spacing w:after="0"/>
              <w:rPr>
                <w:sz w:val="20"/>
                <w:szCs w:val="20"/>
                <w:color w:val="auto"/>
              </w:rPr>
            </w:pPr>
            <w:r>
              <w:rPr>
                <w:rFonts w:ascii="Arial" w:cs="Arial" w:eastAsia="Arial" w:hAnsi="Arial"/>
                <w:sz w:val="18"/>
                <w:szCs w:val="18"/>
                <w:color w:val="auto"/>
                <w:w w:val="86"/>
              </w:rPr>
              <w:t>2,209.8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3880" w:type="dxa"/>
            <w:vAlign w:val="bottom"/>
            <w:tcBorders>
              <w:bottom w:val="single" w:sz="8" w:color="CDEAFA"/>
            </w:tcBorders>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DEAFA"/>
            </w:tcBorders>
          </w:tcPr>
          <w:p>
            <w:pPr>
              <w:spacing w:after="0"/>
              <w:rPr>
                <w:sz w:val="19"/>
                <w:szCs w:val="19"/>
                <w:color w:val="auto"/>
              </w:rPr>
            </w:pPr>
          </w:p>
        </w:tc>
        <w:tc>
          <w:tcPr>
            <w:tcW w:w="900" w:type="dxa"/>
            <w:vAlign w:val="bottom"/>
            <w:tcBorders>
              <w:bottom w:val="single" w:sz="8" w:color="CDEAFA"/>
            </w:tcBorders>
          </w:tcPr>
          <w:p>
            <w:pPr>
              <w:spacing w:after="0"/>
              <w:rPr>
                <w:sz w:val="19"/>
                <w:szCs w:val="19"/>
                <w:color w:val="auto"/>
              </w:rPr>
            </w:pPr>
          </w:p>
        </w:tc>
        <w:tc>
          <w:tcPr>
            <w:tcW w:w="220" w:type="dxa"/>
            <w:vAlign w:val="bottom"/>
            <w:tcBorders>
              <w:bottom w:val="single" w:sz="8" w:color="CDEAFA"/>
            </w:tcBorders>
          </w:tcPr>
          <w:p>
            <w:pPr>
              <w:spacing w:after="0"/>
              <w:rPr>
                <w:sz w:val="19"/>
                <w:szCs w:val="19"/>
                <w:color w:val="auto"/>
              </w:rPr>
            </w:pPr>
          </w:p>
        </w:tc>
        <w:tc>
          <w:tcPr>
            <w:tcW w:w="24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379.0</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CDEAFA"/>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233.8</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CDEAFA"/>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88"/>
              </w:rPr>
              <w:t>219.3</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880" w:type="dxa"/>
            <w:vAlign w:val="bottom"/>
            <w:shd w:val="clear" w:color="auto" w:fill="CDEAFA"/>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DEAFA"/>
          </w:tcPr>
          <w:p>
            <w:pPr>
              <w:spacing w:after="0"/>
              <w:rPr>
                <w:sz w:val="18"/>
                <w:szCs w:val="18"/>
                <w:color w:val="auto"/>
              </w:rPr>
            </w:pPr>
          </w:p>
        </w:tc>
        <w:tc>
          <w:tcPr>
            <w:tcW w:w="90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86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9,325.8</w:t>
            </w:r>
          </w:p>
        </w:tc>
        <w:tc>
          <w:tcPr>
            <w:tcW w:w="8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360" w:type="dxa"/>
            <w:vAlign w:val="bottom"/>
            <w:shd w:val="clear" w:color="auto" w:fill="CDEAFA"/>
          </w:tcPr>
          <w:p>
            <w:pPr>
              <w:spacing w:after="0"/>
              <w:rPr>
                <w:sz w:val="18"/>
                <w:szCs w:val="18"/>
                <w:color w:val="auto"/>
              </w:rPr>
            </w:pPr>
          </w:p>
        </w:tc>
        <w:tc>
          <w:tcPr>
            <w:tcW w:w="700" w:type="dxa"/>
            <w:vAlign w:val="bottom"/>
            <w:gridSpan w:val="3"/>
            <w:shd w:val="clear" w:color="auto" w:fill="CDEAFA"/>
          </w:tcPr>
          <w:p>
            <w:pPr>
              <w:jc w:val="right"/>
              <w:spacing w:after="0"/>
              <w:rPr>
                <w:sz w:val="20"/>
                <w:szCs w:val="20"/>
                <w:color w:val="auto"/>
              </w:rPr>
            </w:pPr>
            <w:r>
              <w:rPr>
                <w:rFonts w:ascii="Arial" w:cs="Arial" w:eastAsia="Arial" w:hAnsi="Arial"/>
                <w:sz w:val="18"/>
                <w:szCs w:val="18"/>
                <w:color w:val="auto"/>
              </w:rPr>
              <w:t>3,810.4</w:t>
            </w:r>
          </w:p>
        </w:tc>
        <w:tc>
          <w:tcPr>
            <w:tcW w:w="6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640" w:type="dxa"/>
            <w:vAlign w:val="bottom"/>
            <w:gridSpan w:val="4"/>
            <w:shd w:val="clear" w:color="auto" w:fill="CDEAFA"/>
          </w:tcPr>
          <w:p>
            <w:pPr>
              <w:jc w:val="right"/>
              <w:ind w:right="10"/>
              <w:spacing w:after="0"/>
              <w:rPr>
                <w:sz w:val="20"/>
                <w:szCs w:val="20"/>
                <w:color w:val="auto"/>
              </w:rPr>
            </w:pPr>
            <w:r>
              <w:rPr>
                <w:rFonts w:ascii="Arial" w:cs="Arial" w:eastAsia="Arial" w:hAnsi="Arial"/>
                <w:sz w:val="18"/>
                <w:szCs w:val="18"/>
                <w:color w:val="auto"/>
                <w:w w:val="86"/>
              </w:rPr>
              <w:t>2,429.1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3880" w:type="dxa"/>
            <w:vAlign w:val="bottom"/>
            <w:tcBorders>
              <w:bottom w:val="single" w:sz="8" w:color="CDEAFA"/>
            </w:tcBorders>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DEAFA"/>
            </w:tcBorders>
          </w:tcPr>
          <w:p>
            <w:pPr>
              <w:spacing w:after="0"/>
              <w:rPr>
                <w:sz w:val="19"/>
                <w:szCs w:val="19"/>
                <w:color w:val="auto"/>
              </w:rPr>
            </w:pPr>
          </w:p>
        </w:tc>
        <w:tc>
          <w:tcPr>
            <w:tcW w:w="900" w:type="dxa"/>
            <w:vAlign w:val="bottom"/>
            <w:tcBorders>
              <w:bottom w:val="single" w:sz="8" w:color="CDEAFA"/>
            </w:tcBorders>
          </w:tcPr>
          <w:p>
            <w:pPr>
              <w:spacing w:after="0"/>
              <w:rPr>
                <w:sz w:val="19"/>
                <w:szCs w:val="19"/>
                <w:color w:val="auto"/>
              </w:rPr>
            </w:pPr>
          </w:p>
        </w:tc>
        <w:tc>
          <w:tcPr>
            <w:tcW w:w="220" w:type="dxa"/>
            <w:vAlign w:val="bottom"/>
            <w:tcBorders>
              <w:bottom w:val="single" w:sz="8" w:color="CDEAFA"/>
            </w:tcBorders>
          </w:tcPr>
          <w:p>
            <w:pPr>
              <w:spacing w:after="0"/>
              <w:rPr>
                <w:sz w:val="19"/>
                <w:szCs w:val="19"/>
                <w:color w:val="auto"/>
              </w:rPr>
            </w:pPr>
          </w:p>
        </w:tc>
        <w:tc>
          <w:tcPr>
            <w:tcW w:w="24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1,250.5</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CDEAFA"/>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297.2</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CDEAFA"/>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88"/>
              </w:rPr>
              <w:t>313.3</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880" w:type="dxa"/>
            <w:vAlign w:val="bottom"/>
            <w:tcBorders>
              <w:bottom w:val="single" w:sz="8" w:color="CDEAFA"/>
            </w:tcBorders>
            <w:shd w:val="clear" w:color="auto" w:fill="CDEAFA"/>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DEAFA"/>
            </w:tcBorders>
            <w:shd w:val="clear" w:color="auto" w:fill="CDEAFA"/>
          </w:tcPr>
          <w:p>
            <w:pPr>
              <w:spacing w:after="0"/>
              <w:rPr>
                <w:sz w:val="19"/>
                <w:szCs w:val="19"/>
                <w:color w:val="auto"/>
              </w:rPr>
            </w:pPr>
          </w:p>
        </w:tc>
        <w:tc>
          <w:tcPr>
            <w:tcW w:w="900" w:type="dxa"/>
            <w:vAlign w:val="bottom"/>
            <w:tcBorders>
              <w:bottom w:val="single" w:sz="8" w:color="CDEAFA"/>
            </w:tcBorders>
            <w:shd w:val="clear" w:color="auto" w:fill="CDEAFA"/>
          </w:tcPr>
          <w:p>
            <w:pPr>
              <w:spacing w:after="0"/>
              <w:rPr>
                <w:sz w:val="19"/>
                <w:szCs w:val="19"/>
                <w:color w:val="auto"/>
              </w:rPr>
            </w:pPr>
          </w:p>
        </w:tc>
        <w:tc>
          <w:tcPr>
            <w:tcW w:w="220" w:type="dxa"/>
            <w:vAlign w:val="bottom"/>
            <w:tcBorders>
              <w:bottom w:val="single" w:sz="8" w:color="CDEAFA"/>
            </w:tcBorders>
            <w:shd w:val="clear" w:color="auto" w:fill="CDEAFA"/>
          </w:tcPr>
          <w:p>
            <w:pPr>
              <w:spacing w:after="0"/>
              <w:rPr>
                <w:sz w:val="19"/>
                <w:szCs w:val="19"/>
                <w:color w:val="auto"/>
              </w:rPr>
            </w:pPr>
          </w:p>
        </w:tc>
        <w:tc>
          <w:tcPr>
            <w:tcW w:w="240" w:type="dxa"/>
            <w:vAlign w:val="bottom"/>
            <w:tcBorders>
              <w:bottom w:val="single" w:sz="8" w:color="CDEAFA"/>
            </w:tcBorders>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DEAFA"/>
          </w:tcPr>
          <w:p>
            <w:pPr>
              <w:jc w:val="right"/>
              <w:spacing w:after="0"/>
              <w:rPr>
                <w:sz w:val="20"/>
                <w:szCs w:val="20"/>
                <w:color w:val="auto"/>
              </w:rPr>
            </w:pPr>
            <w:r>
              <w:rPr>
                <w:rFonts w:ascii="Arial" w:cs="Arial" w:eastAsia="Arial" w:hAnsi="Arial"/>
                <w:sz w:val="18"/>
                <w:szCs w:val="18"/>
                <w:color w:val="auto"/>
              </w:rPr>
              <w:t>8,075.3</w:t>
            </w:r>
          </w:p>
        </w:tc>
        <w:tc>
          <w:tcPr>
            <w:tcW w:w="80" w:type="dxa"/>
            <w:vAlign w:val="bottom"/>
            <w:tcBorders>
              <w:bottom w:val="single" w:sz="8" w:color="auto"/>
            </w:tcBorders>
            <w:shd w:val="clear" w:color="auto" w:fill="CDEAFA"/>
          </w:tcPr>
          <w:p>
            <w:pPr>
              <w:spacing w:after="0"/>
              <w:rPr>
                <w:sz w:val="19"/>
                <w:szCs w:val="19"/>
                <w:color w:val="auto"/>
              </w:rPr>
            </w:pPr>
          </w:p>
        </w:tc>
        <w:tc>
          <w:tcPr>
            <w:tcW w:w="300" w:type="dxa"/>
            <w:vAlign w:val="bottom"/>
            <w:tcBorders>
              <w:bottom w:val="single" w:sz="8" w:color="CDEAFA"/>
            </w:tcBorders>
            <w:shd w:val="clear" w:color="auto" w:fill="CDEAFA"/>
          </w:tcPr>
          <w:p>
            <w:pPr>
              <w:spacing w:after="0"/>
              <w:rPr>
                <w:sz w:val="19"/>
                <w:szCs w:val="19"/>
                <w:color w:val="auto"/>
              </w:rPr>
            </w:pPr>
          </w:p>
        </w:tc>
        <w:tc>
          <w:tcPr>
            <w:tcW w:w="360" w:type="dxa"/>
            <w:vAlign w:val="bottom"/>
            <w:tcBorders>
              <w:bottom w:val="single" w:sz="8" w:color="auto"/>
            </w:tcBorders>
            <w:shd w:val="clear" w:color="auto" w:fill="CDEAFA"/>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3"/>
            <w:shd w:val="clear" w:color="auto" w:fill="CDEAFA"/>
          </w:tcPr>
          <w:p>
            <w:pPr>
              <w:jc w:val="right"/>
              <w:spacing w:after="0"/>
              <w:rPr>
                <w:sz w:val="20"/>
                <w:szCs w:val="20"/>
                <w:color w:val="auto"/>
              </w:rPr>
            </w:pPr>
            <w:r>
              <w:rPr>
                <w:rFonts w:ascii="Arial" w:cs="Arial" w:eastAsia="Arial" w:hAnsi="Arial"/>
                <w:sz w:val="18"/>
                <w:szCs w:val="18"/>
                <w:color w:val="auto"/>
              </w:rPr>
              <w:t>3,513.2</w:t>
            </w:r>
          </w:p>
        </w:tc>
        <w:tc>
          <w:tcPr>
            <w:tcW w:w="60" w:type="dxa"/>
            <w:vAlign w:val="bottom"/>
            <w:tcBorders>
              <w:bottom w:val="single" w:sz="8" w:color="auto"/>
            </w:tcBorders>
            <w:shd w:val="clear" w:color="auto" w:fill="CDEAFA"/>
          </w:tcPr>
          <w:p>
            <w:pPr>
              <w:spacing w:after="0"/>
              <w:rPr>
                <w:sz w:val="19"/>
                <w:szCs w:val="19"/>
                <w:color w:val="auto"/>
              </w:rPr>
            </w:pPr>
          </w:p>
        </w:tc>
        <w:tc>
          <w:tcPr>
            <w:tcW w:w="280" w:type="dxa"/>
            <w:vAlign w:val="bottom"/>
            <w:tcBorders>
              <w:bottom w:val="single" w:sz="8" w:color="CDEAFA"/>
            </w:tcBorders>
            <w:shd w:val="clear" w:color="auto" w:fill="CDEAFA"/>
          </w:tcPr>
          <w:p>
            <w:pPr>
              <w:spacing w:after="0"/>
              <w:rPr>
                <w:sz w:val="19"/>
                <w:szCs w:val="19"/>
                <w:color w:val="auto"/>
              </w:rPr>
            </w:pPr>
          </w:p>
        </w:tc>
        <w:tc>
          <w:tcPr>
            <w:tcW w:w="500" w:type="dxa"/>
            <w:vAlign w:val="bottom"/>
            <w:tcBorders>
              <w:bottom w:val="single" w:sz="8" w:color="auto"/>
            </w:tcBorders>
            <w:shd w:val="clear" w:color="auto" w:fill="CDEAFA"/>
          </w:tcPr>
          <w:p>
            <w:pPr>
              <w:jc w:val="right"/>
              <w:ind w:right="2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4"/>
            <w:shd w:val="clear" w:color="auto" w:fill="CDEAFA"/>
          </w:tcPr>
          <w:p>
            <w:pPr>
              <w:jc w:val="right"/>
              <w:ind w:right="10"/>
              <w:spacing w:after="0"/>
              <w:rPr>
                <w:sz w:val="20"/>
                <w:szCs w:val="20"/>
                <w:color w:val="auto"/>
              </w:rPr>
            </w:pPr>
            <w:r>
              <w:rPr>
                <w:rFonts w:ascii="Arial" w:cs="Arial" w:eastAsia="Arial" w:hAnsi="Arial"/>
                <w:sz w:val="18"/>
                <w:szCs w:val="18"/>
                <w:color w:val="auto"/>
                <w:w w:val="86"/>
              </w:rPr>
              <w:t>2,115.8</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gridSpan w:val="2"/>
          </w:tcPr>
          <w:p>
            <w:pPr>
              <w:ind w:left="860"/>
              <w:spacing w:after="0"/>
              <w:rPr>
                <w:sz w:val="20"/>
                <w:szCs w:val="20"/>
                <w:color w:val="auto"/>
              </w:rPr>
            </w:pPr>
            <w:r>
              <w:rPr>
                <w:rFonts w:ascii="Arial" w:cs="Arial" w:eastAsia="Arial" w:hAnsi="Arial"/>
                <w:sz w:val="18"/>
                <w:szCs w:val="18"/>
                <w:color w:val="auto"/>
              </w:rPr>
              <w:t>Net income per share - diluted</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71.97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30.52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w w:val="88"/>
              </w:rPr>
              <w:t>18.46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7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Change</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DEAFA"/>
            </w:tcBorders>
            <w:gridSpan w:val="2"/>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DEAFA"/>
            </w:tcBorders>
          </w:tcPr>
          <w:p>
            <w:pPr>
              <w:spacing w:after="0"/>
              <w:rPr>
                <w:sz w:val="19"/>
                <w:szCs w:val="19"/>
                <w:color w:val="auto"/>
              </w:rPr>
            </w:pPr>
          </w:p>
        </w:tc>
        <w:tc>
          <w:tcPr>
            <w:tcW w:w="11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DEAFA"/>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2019</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CDEAFA"/>
            </w:tcBorders>
          </w:tcPr>
          <w:p>
            <w:pPr>
              <w:spacing w:after="0"/>
              <w:rPr>
                <w:sz w:val="19"/>
                <w:szCs w:val="19"/>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2021 vs. 2020</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CDEAFA"/>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2020 vs. 2019</w:t>
            </w:r>
          </w:p>
        </w:tc>
        <w:tc>
          <w:tcPr>
            <w:tcW w:w="0" w:type="dxa"/>
            <w:vAlign w:val="bottom"/>
          </w:tcPr>
          <w:p>
            <w:pPr>
              <w:spacing w:after="0"/>
              <w:rPr>
                <w:sz w:val="1"/>
                <w:szCs w:val="1"/>
                <w:color w:val="auto"/>
              </w:rPr>
            </w:pPr>
          </w:p>
        </w:tc>
      </w:tr>
      <w:tr>
        <w:trPr>
          <w:trHeight w:val="209"/>
        </w:trPr>
        <w:tc>
          <w:tcPr>
            <w:tcW w:w="474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Net product sales in the United States:</w:t>
            </w:r>
          </w:p>
        </w:tc>
        <w:tc>
          <w:tcPr>
            <w:tcW w:w="300" w:type="dxa"/>
            <w:vAlign w:val="bottom"/>
            <w:shd w:val="clear" w:color="auto" w:fill="CDEAFA"/>
          </w:tcPr>
          <w:p>
            <w:pPr>
              <w:spacing w:after="0"/>
              <w:rPr>
                <w:sz w:val="18"/>
                <w:szCs w:val="18"/>
                <w:color w:val="auto"/>
              </w:rPr>
            </w:pPr>
          </w:p>
        </w:tc>
        <w:tc>
          <w:tcPr>
            <w:tcW w:w="90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660" w:type="dxa"/>
            <w:vAlign w:val="bottom"/>
            <w:shd w:val="clear" w:color="auto" w:fill="CDEAFA"/>
          </w:tcPr>
          <w:p>
            <w:pPr>
              <w:spacing w:after="0"/>
              <w:rPr>
                <w:sz w:val="18"/>
                <w:szCs w:val="18"/>
                <w:color w:val="auto"/>
              </w:rPr>
            </w:pPr>
          </w:p>
        </w:tc>
        <w:tc>
          <w:tcPr>
            <w:tcW w:w="20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360" w:type="dxa"/>
            <w:vAlign w:val="bottom"/>
            <w:shd w:val="clear" w:color="auto" w:fill="CDEAFA"/>
          </w:tcPr>
          <w:p>
            <w:pPr>
              <w:spacing w:after="0"/>
              <w:rPr>
                <w:sz w:val="18"/>
                <w:szCs w:val="18"/>
                <w:color w:val="auto"/>
              </w:rPr>
            </w:pPr>
          </w:p>
        </w:tc>
        <w:tc>
          <w:tcPr>
            <w:tcW w:w="380" w:type="dxa"/>
            <w:vAlign w:val="bottom"/>
            <w:shd w:val="clear" w:color="auto" w:fill="CDEAFA"/>
          </w:tcPr>
          <w:p>
            <w:pPr>
              <w:spacing w:after="0"/>
              <w:rPr>
                <w:sz w:val="18"/>
                <w:szCs w:val="18"/>
                <w:color w:val="auto"/>
              </w:rPr>
            </w:pPr>
          </w:p>
        </w:tc>
        <w:tc>
          <w:tcPr>
            <w:tcW w:w="2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26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EYLEA</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5,792.3</w:t>
            </w: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86"/>
              </w:rPr>
              <w:t>4,947.2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4,644.2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845.1</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DEAFA"/>
          </w:tcPr>
          <w:p>
            <w:pPr>
              <w:ind w:left="180"/>
              <w:spacing w:after="0"/>
              <w:rPr>
                <w:sz w:val="20"/>
                <w:szCs w:val="20"/>
                <w:color w:val="auto"/>
              </w:rPr>
            </w:pPr>
            <w:r>
              <w:rPr>
                <w:rFonts w:ascii="Arial" w:cs="Arial" w:eastAsia="Arial" w:hAnsi="Arial"/>
                <w:sz w:val="18"/>
                <w:szCs w:val="18"/>
                <w:color w:val="auto"/>
              </w:rPr>
              <w:t>Libtayo</w:t>
            </w:r>
          </w:p>
        </w:tc>
        <w:tc>
          <w:tcPr>
            <w:tcW w:w="300" w:type="dxa"/>
            <w:vAlign w:val="bottom"/>
            <w:shd w:val="clear" w:color="auto" w:fill="CDEAFA"/>
          </w:tcPr>
          <w:p>
            <w:pPr>
              <w:spacing w:after="0"/>
              <w:rPr>
                <w:sz w:val="18"/>
                <w:szCs w:val="18"/>
                <w:color w:val="auto"/>
              </w:rPr>
            </w:pPr>
          </w:p>
        </w:tc>
        <w:tc>
          <w:tcPr>
            <w:tcW w:w="900" w:type="dxa"/>
            <w:vAlign w:val="bottom"/>
            <w:shd w:val="clear" w:color="auto" w:fill="CDEAFA"/>
          </w:tcPr>
          <w:p>
            <w:pPr>
              <w:jc w:val="right"/>
              <w:ind w:right="90"/>
              <w:spacing w:after="0"/>
              <w:rPr>
                <w:sz w:val="20"/>
                <w:szCs w:val="20"/>
                <w:color w:val="auto"/>
              </w:rPr>
            </w:pPr>
            <w:r>
              <w:rPr>
                <w:rFonts w:ascii="Arial" w:cs="Arial" w:eastAsia="Arial" w:hAnsi="Arial"/>
                <w:sz w:val="18"/>
                <w:szCs w:val="18"/>
                <w:color w:val="auto"/>
              </w:rPr>
              <w:t>306.3</w:t>
            </w:r>
          </w:p>
        </w:tc>
        <w:tc>
          <w:tcPr>
            <w:tcW w:w="22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66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270.7</w:t>
            </w:r>
          </w:p>
        </w:tc>
        <w:tc>
          <w:tcPr>
            <w:tcW w:w="20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740" w:type="dxa"/>
            <w:vAlign w:val="bottom"/>
            <w:gridSpan w:val="2"/>
            <w:shd w:val="clear" w:color="auto" w:fill="CDEAFA"/>
          </w:tcPr>
          <w:p>
            <w:pPr>
              <w:jc w:val="right"/>
              <w:ind w:right="30"/>
              <w:spacing w:after="0"/>
              <w:rPr>
                <w:sz w:val="20"/>
                <w:szCs w:val="20"/>
                <w:color w:val="auto"/>
              </w:rPr>
            </w:pPr>
            <w:r>
              <w:rPr>
                <w:rFonts w:ascii="Arial" w:cs="Arial" w:eastAsia="Arial" w:hAnsi="Arial"/>
                <w:sz w:val="18"/>
                <w:szCs w:val="18"/>
                <w:color w:val="auto"/>
              </w:rPr>
              <w:t>175.7</w:t>
            </w:r>
          </w:p>
        </w:tc>
        <w:tc>
          <w:tcPr>
            <w:tcW w:w="2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62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35.6</w:t>
            </w:r>
          </w:p>
        </w:tc>
        <w:tc>
          <w:tcPr>
            <w:tcW w:w="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260" w:type="dxa"/>
            <w:vAlign w:val="bottom"/>
            <w:shd w:val="clear" w:color="auto" w:fill="CDEAFA"/>
          </w:tcPr>
          <w:p>
            <w:pPr>
              <w:spacing w:after="0"/>
              <w:rPr>
                <w:sz w:val="18"/>
                <w:szCs w:val="18"/>
                <w:color w:val="auto"/>
              </w:rPr>
            </w:pP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Praluent</w:t>
            </w:r>
          </w:p>
        </w:tc>
        <w:tc>
          <w:tcPr>
            <w:tcW w:w="30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DEAFA"/>
          </w:tcPr>
          <w:p>
            <w:pPr>
              <w:ind w:left="180"/>
              <w:spacing w:after="0"/>
              <w:rPr>
                <w:sz w:val="20"/>
                <w:szCs w:val="20"/>
                <w:color w:val="auto"/>
              </w:rPr>
            </w:pPr>
            <w:r>
              <w:rPr>
                <w:rFonts w:ascii="Arial" w:cs="Arial" w:eastAsia="Arial" w:hAnsi="Arial"/>
                <w:sz w:val="18"/>
                <w:szCs w:val="18"/>
                <w:color w:val="auto"/>
              </w:rPr>
              <w:t>REGEN-COV</w:t>
            </w:r>
          </w:p>
        </w:tc>
        <w:tc>
          <w:tcPr>
            <w:tcW w:w="300" w:type="dxa"/>
            <w:vAlign w:val="bottom"/>
            <w:shd w:val="clear" w:color="auto" w:fill="CDEAFA"/>
          </w:tcPr>
          <w:p>
            <w:pPr>
              <w:spacing w:after="0"/>
              <w:rPr>
                <w:sz w:val="18"/>
                <w:szCs w:val="18"/>
                <w:color w:val="auto"/>
              </w:rPr>
            </w:pPr>
          </w:p>
        </w:tc>
        <w:tc>
          <w:tcPr>
            <w:tcW w:w="900" w:type="dxa"/>
            <w:vAlign w:val="bottom"/>
            <w:shd w:val="clear" w:color="auto" w:fill="CDEAFA"/>
          </w:tcPr>
          <w:p>
            <w:pPr>
              <w:jc w:val="right"/>
              <w:ind w:right="90"/>
              <w:spacing w:after="0"/>
              <w:rPr>
                <w:sz w:val="20"/>
                <w:szCs w:val="20"/>
                <w:color w:val="auto"/>
              </w:rPr>
            </w:pPr>
            <w:r>
              <w:rPr>
                <w:rFonts w:ascii="Arial" w:cs="Arial" w:eastAsia="Arial" w:hAnsi="Arial"/>
                <w:sz w:val="18"/>
                <w:szCs w:val="18"/>
                <w:color w:val="auto"/>
              </w:rPr>
              <w:t>5,828.0</w:t>
            </w:r>
          </w:p>
        </w:tc>
        <w:tc>
          <w:tcPr>
            <w:tcW w:w="22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66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185.7</w:t>
            </w:r>
          </w:p>
        </w:tc>
        <w:tc>
          <w:tcPr>
            <w:tcW w:w="20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360" w:type="dxa"/>
            <w:vAlign w:val="bottom"/>
            <w:shd w:val="clear" w:color="auto" w:fill="CDEAFA"/>
          </w:tcPr>
          <w:p>
            <w:pPr>
              <w:spacing w:after="0"/>
              <w:rPr>
                <w:sz w:val="18"/>
                <w:szCs w:val="18"/>
                <w:color w:val="auto"/>
              </w:rPr>
            </w:pPr>
          </w:p>
        </w:tc>
        <w:tc>
          <w:tcPr>
            <w:tcW w:w="700" w:type="dxa"/>
            <w:vAlign w:val="bottom"/>
            <w:gridSpan w:val="3"/>
            <w:shd w:val="clear" w:color="auto" w:fill="CDEAFA"/>
          </w:tcPr>
          <w:p>
            <w:pPr>
              <w:jc w:val="right"/>
              <w:ind w:right="350"/>
              <w:spacing w:after="0"/>
              <w:rPr>
                <w:sz w:val="20"/>
                <w:szCs w:val="20"/>
                <w:color w:val="auto"/>
              </w:rPr>
            </w:pPr>
            <w:r>
              <w:rPr>
                <w:rFonts w:ascii="Arial" w:cs="Arial" w:eastAsia="Arial" w:hAnsi="Arial"/>
                <w:sz w:val="18"/>
                <w:szCs w:val="18"/>
                <w:color w:val="auto"/>
              </w:rPr>
              <w:t>—</w:t>
            </w:r>
          </w:p>
        </w:tc>
        <w:tc>
          <w:tcPr>
            <w:tcW w:w="6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62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w w:val="86"/>
              </w:rPr>
              <w:t>5,642.3</w:t>
            </w:r>
          </w:p>
        </w:tc>
        <w:tc>
          <w:tcPr>
            <w:tcW w:w="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260" w:type="dxa"/>
            <w:vAlign w:val="bottom"/>
            <w:shd w:val="clear" w:color="auto" w:fill="CDEAFA"/>
          </w:tcPr>
          <w:p>
            <w:pPr>
              <w:spacing w:after="0"/>
              <w:rPr>
                <w:sz w:val="18"/>
                <w:szCs w:val="18"/>
                <w:color w:val="auto"/>
              </w:rPr>
            </w:pP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Evkeeza</w:t>
            </w:r>
          </w:p>
        </w:tc>
        <w:tc>
          <w:tcPr>
            <w:tcW w:w="30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DEAFA"/>
          </w:tcPr>
          <w:p>
            <w:pPr>
              <w:ind w:left="180"/>
              <w:spacing w:after="0"/>
              <w:rPr>
                <w:sz w:val="20"/>
                <w:szCs w:val="20"/>
                <w:color w:val="auto"/>
              </w:rPr>
            </w:pPr>
            <w:r>
              <w:rPr>
                <w:rFonts w:ascii="Arial" w:cs="Arial" w:eastAsia="Arial" w:hAnsi="Arial"/>
                <w:sz w:val="18"/>
                <w:szCs w:val="18"/>
                <w:color w:val="auto"/>
              </w:rPr>
              <w:t>ARCALYST</w:t>
            </w:r>
          </w:p>
        </w:tc>
        <w:tc>
          <w:tcPr>
            <w:tcW w:w="300" w:type="dxa"/>
            <w:vAlign w:val="bottom"/>
            <w:shd w:val="clear" w:color="auto" w:fill="CDEAFA"/>
          </w:tcPr>
          <w:p>
            <w:pPr>
              <w:spacing w:after="0"/>
              <w:rPr>
                <w:sz w:val="18"/>
                <w:szCs w:val="18"/>
                <w:color w:val="auto"/>
              </w:rPr>
            </w:pPr>
          </w:p>
        </w:tc>
        <w:tc>
          <w:tcPr>
            <w:tcW w:w="9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66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740" w:type="dxa"/>
            <w:vAlign w:val="bottom"/>
            <w:gridSpan w:val="2"/>
            <w:shd w:val="clear" w:color="auto" w:fill="CDEAFA"/>
          </w:tcPr>
          <w:p>
            <w:pPr>
              <w:jc w:val="right"/>
              <w:ind w:right="3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62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260" w:type="dxa"/>
            <w:vAlign w:val="bottom"/>
            <w:shd w:val="clear" w:color="auto" w:fill="CDEAFA"/>
          </w:tcPr>
          <w:p>
            <w:pPr>
              <w:spacing w:after="0"/>
              <w:rPr>
                <w:sz w:val="18"/>
                <w:szCs w:val="18"/>
                <w:color w:val="auto"/>
              </w:rPr>
            </w:pP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DEAFA"/>
          </w:tcPr>
          <w:p>
            <w:pPr>
              <w:ind w:left="180"/>
              <w:spacing w:after="0"/>
              <w:rPr>
                <w:sz w:val="20"/>
                <w:szCs w:val="20"/>
                <w:color w:val="auto"/>
              </w:rPr>
            </w:pPr>
            <w:r>
              <w:rPr>
                <w:rFonts w:ascii="Arial" w:cs="Arial" w:eastAsia="Arial" w:hAnsi="Arial"/>
                <w:sz w:val="18"/>
                <w:szCs w:val="18"/>
                <w:color w:val="auto"/>
              </w:rPr>
              <w:t>Sanofi</w:t>
            </w:r>
          </w:p>
        </w:tc>
        <w:tc>
          <w:tcPr>
            <w:tcW w:w="300" w:type="dxa"/>
            <w:vAlign w:val="bottom"/>
            <w:shd w:val="clear" w:color="auto" w:fill="CDEAFA"/>
          </w:tcPr>
          <w:p>
            <w:pPr>
              <w:spacing w:after="0"/>
              <w:rPr>
                <w:sz w:val="18"/>
                <w:szCs w:val="18"/>
                <w:color w:val="auto"/>
              </w:rPr>
            </w:pPr>
          </w:p>
        </w:tc>
        <w:tc>
          <w:tcPr>
            <w:tcW w:w="900" w:type="dxa"/>
            <w:vAlign w:val="bottom"/>
            <w:shd w:val="clear" w:color="auto" w:fill="CDEAFA"/>
          </w:tcPr>
          <w:p>
            <w:pPr>
              <w:jc w:val="right"/>
              <w:ind w:right="90"/>
              <w:spacing w:after="0"/>
              <w:rPr>
                <w:sz w:val="20"/>
                <w:szCs w:val="20"/>
                <w:color w:val="auto"/>
              </w:rPr>
            </w:pPr>
            <w:r>
              <w:rPr>
                <w:rFonts w:ascii="Arial" w:cs="Arial" w:eastAsia="Arial" w:hAnsi="Arial"/>
                <w:sz w:val="18"/>
                <w:szCs w:val="18"/>
                <w:color w:val="auto"/>
              </w:rPr>
              <w:t>1,902.2</w:t>
            </w:r>
          </w:p>
        </w:tc>
        <w:tc>
          <w:tcPr>
            <w:tcW w:w="22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66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w w:val="86"/>
              </w:rPr>
              <w:t>1,186.4</w:t>
            </w:r>
          </w:p>
        </w:tc>
        <w:tc>
          <w:tcPr>
            <w:tcW w:w="20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740" w:type="dxa"/>
            <w:vAlign w:val="bottom"/>
            <w:gridSpan w:val="2"/>
            <w:shd w:val="clear" w:color="auto" w:fill="CDEAFA"/>
          </w:tcPr>
          <w:p>
            <w:pPr>
              <w:jc w:val="right"/>
              <w:ind w:right="30"/>
              <w:spacing w:after="0"/>
              <w:rPr>
                <w:sz w:val="20"/>
                <w:szCs w:val="20"/>
                <w:color w:val="auto"/>
              </w:rPr>
            </w:pPr>
            <w:r>
              <w:rPr>
                <w:rFonts w:ascii="Arial" w:cs="Arial" w:eastAsia="Arial" w:hAnsi="Arial"/>
                <w:sz w:val="18"/>
                <w:szCs w:val="18"/>
                <w:color w:val="auto"/>
              </w:rPr>
              <w:t>403.6</w:t>
            </w:r>
          </w:p>
        </w:tc>
        <w:tc>
          <w:tcPr>
            <w:tcW w:w="2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62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715.8</w:t>
            </w:r>
          </w:p>
        </w:tc>
        <w:tc>
          <w:tcPr>
            <w:tcW w:w="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260" w:type="dxa"/>
            <w:vAlign w:val="bottom"/>
            <w:shd w:val="clear" w:color="auto" w:fill="CDEAFA"/>
          </w:tcPr>
          <w:p>
            <w:pPr>
              <w:spacing w:after="0"/>
              <w:rPr>
                <w:sz w:val="18"/>
                <w:szCs w:val="18"/>
                <w:color w:val="auto"/>
              </w:rPr>
            </w:pP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Bayer</w:t>
            </w:r>
          </w:p>
        </w:tc>
        <w:tc>
          <w:tcPr>
            <w:tcW w:w="30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1,409.3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86"/>
              </w:rPr>
              <w:t>1,186.1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1,145.6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223.2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DEAFA"/>
          </w:tcPr>
          <w:p>
            <w:pPr>
              <w:ind w:left="180"/>
              <w:spacing w:after="0"/>
              <w:rPr>
                <w:sz w:val="20"/>
                <w:szCs w:val="20"/>
                <w:color w:val="auto"/>
              </w:rPr>
            </w:pPr>
            <w:r>
              <w:rPr>
                <w:rFonts w:ascii="Arial" w:cs="Arial" w:eastAsia="Arial" w:hAnsi="Arial"/>
                <w:sz w:val="18"/>
                <w:szCs w:val="18"/>
                <w:color w:val="auto"/>
              </w:rPr>
              <w:t>Roche</w:t>
            </w:r>
          </w:p>
        </w:tc>
        <w:tc>
          <w:tcPr>
            <w:tcW w:w="300" w:type="dxa"/>
            <w:vAlign w:val="bottom"/>
            <w:shd w:val="clear" w:color="auto" w:fill="CDEAFA"/>
          </w:tcPr>
          <w:p>
            <w:pPr>
              <w:spacing w:after="0"/>
              <w:rPr>
                <w:sz w:val="18"/>
                <w:szCs w:val="18"/>
                <w:color w:val="auto"/>
              </w:rPr>
            </w:pPr>
          </w:p>
        </w:tc>
        <w:tc>
          <w:tcPr>
            <w:tcW w:w="900" w:type="dxa"/>
            <w:vAlign w:val="bottom"/>
            <w:shd w:val="clear" w:color="auto" w:fill="CDEAFA"/>
          </w:tcPr>
          <w:p>
            <w:pPr>
              <w:jc w:val="right"/>
              <w:ind w:right="90"/>
              <w:spacing w:after="0"/>
              <w:rPr>
                <w:sz w:val="20"/>
                <w:szCs w:val="20"/>
                <w:color w:val="auto"/>
              </w:rPr>
            </w:pPr>
            <w:r>
              <w:rPr>
                <w:rFonts w:ascii="Arial" w:cs="Arial" w:eastAsia="Arial" w:hAnsi="Arial"/>
                <w:sz w:val="18"/>
                <w:szCs w:val="18"/>
                <w:color w:val="auto"/>
              </w:rPr>
              <w:t>361.8</w:t>
            </w:r>
          </w:p>
        </w:tc>
        <w:tc>
          <w:tcPr>
            <w:tcW w:w="22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940" w:type="dxa"/>
            <w:vAlign w:val="bottom"/>
            <w:gridSpan w:val="3"/>
            <w:shd w:val="clear" w:color="auto" w:fill="CDEAFA"/>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DEAFA"/>
          </w:tcPr>
          <w:p>
            <w:pPr>
              <w:spacing w:after="0"/>
              <w:rPr>
                <w:sz w:val="18"/>
                <w:szCs w:val="18"/>
                <w:color w:val="auto"/>
              </w:rPr>
            </w:pPr>
          </w:p>
        </w:tc>
        <w:tc>
          <w:tcPr>
            <w:tcW w:w="360" w:type="dxa"/>
            <w:vAlign w:val="bottom"/>
            <w:shd w:val="clear" w:color="auto" w:fill="CDEAFA"/>
          </w:tcPr>
          <w:p>
            <w:pPr>
              <w:spacing w:after="0"/>
              <w:rPr>
                <w:sz w:val="18"/>
                <w:szCs w:val="18"/>
                <w:color w:val="auto"/>
              </w:rPr>
            </w:pPr>
          </w:p>
        </w:tc>
        <w:tc>
          <w:tcPr>
            <w:tcW w:w="700" w:type="dxa"/>
            <w:vAlign w:val="bottom"/>
            <w:gridSpan w:val="3"/>
            <w:shd w:val="clear" w:color="auto" w:fill="CDEAFA"/>
          </w:tcPr>
          <w:p>
            <w:pPr>
              <w:jc w:val="right"/>
              <w:ind w:right="350"/>
              <w:spacing w:after="0"/>
              <w:rPr>
                <w:sz w:val="20"/>
                <w:szCs w:val="20"/>
                <w:color w:val="auto"/>
              </w:rPr>
            </w:pPr>
            <w:r>
              <w:rPr>
                <w:rFonts w:ascii="Arial" w:cs="Arial" w:eastAsia="Arial" w:hAnsi="Arial"/>
                <w:sz w:val="18"/>
                <w:szCs w:val="18"/>
                <w:color w:val="auto"/>
              </w:rPr>
              <w:t>—</w:t>
            </w:r>
          </w:p>
        </w:tc>
        <w:tc>
          <w:tcPr>
            <w:tcW w:w="6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62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361.8</w:t>
            </w:r>
          </w:p>
        </w:tc>
        <w:tc>
          <w:tcPr>
            <w:tcW w:w="4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260" w:type="dxa"/>
            <w:vAlign w:val="bottom"/>
            <w:shd w:val="clear" w:color="auto" w:fill="CDEAFA"/>
          </w:tcPr>
          <w:p>
            <w:pPr>
              <w:spacing w:after="0"/>
              <w:rPr>
                <w:sz w:val="18"/>
                <w:szCs w:val="18"/>
                <w:color w:val="auto"/>
              </w:rPr>
            </w:pP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DEAFA"/>
            </w:tcBorders>
            <w:gridSpan w:val="2"/>
          </w:tcPr>
          <w:p>
            <w:pPr>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281.2</w:t>
            </w:r>
          </w:p>
        </w:tc>
        <w:tc>
          <w:tcPr>
            <w:tcW w:w="220" w:type="dxa"/>
            <w:vAlign w:val="bottom"/>
            <w:tcBorders>
              <w:bottom w:val="single" w:sz="8" w:color="CDEAF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557.0</w:t>
            </w:r>
          </w:p>
        </w:tc>
        <w:tc>
          <w:tcPr>
            <w:tcW w:w="200" w:type="dxa"/>
            <w:vAlign w:val="bottom"/>
            <w:tcBorders>
              <w:bottom w:val="single" w:sz="8" w:color="CDEAFA"/>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174.0</w:t>
            </w:r>
          </w:p>
        </w:tc>
        <w:tc>
          <w:tcPr>
            <w:tcW w:w="200" w:type="dxa"/>
            <w:vAlign w:val="bottom"/>
            <w:tcBorders>
              <w:bottom w:val="single" w:sz="8" w:color="CDEA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(275.8)</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CDEAF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DEAFA"/>
            </w:tcBorders>
            <w:gridSpan w:val="2"/>
            <w:shd w:val="clear" w:color="auto" w:fill="CDEAFA"/>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DEAFA"/>
          </w:tcPr>
          <w:p>
            <w:pPr>
              <w:jc w:val="right"/>
              <w:ind w:right="90"/>
              <w:spacing w:after="0"/>
              <w:rPr>
                <w:sz w:val="20"/>
                <w:szCs w:val="20"/>
                <w:color w:val="auto"/>
              </w:rPr>
            </w:pPr>
            <w:r>
              <w:rPr>
                <w:rFonts w:ascii="Arial" w:cs="Arial" w:eastAsia="Arial" w:hAnsi="Arial"/>
                <w:sz w:val="18"/>
                <w:szCs w:val="18"/>
                <w:color w:val="auto"/>
                <w:w w:val="99"/>
              </w:rPr>
              <w:t>16,071.7</w:t>
            </w:r>
          </w:p>
        </w:tc>
        <w:tc>
          <w:tcPr>
            <w:tcW w:w="220" w:type="dxa"/>
            <w:vAlign w:val="bottom"/>
            <w:tcBorders>
              <w:bottom w:val="single" w:sz="8" w:color="CDEAFA"/>
            </w:tcBorders>
            <w:shd w:val="clear" w:color="auto" w:fill="CDEAFA"/>
          </w:tcPr>
          <w:p>
            <w:pPr>
              <w:spacing w:after="0"/>
              <w:rPr>
                <w:sz w:val="19"/>
                <w:szCs w:val="19"/>
                <w:color w:val="auto"/>
              </w:rPr>
            </w:pPr>
          </w:p>
        </w:tc>
        <w:tc>
          <w:tcPr>
            <w:tcW w:w="2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DEAFA"/>
          </w:tcPr>
          <w:p>
            <w:pPr>
              <w:spacing w:after="0"/>
              <w:rPr>
                <w:sz w:val="19"/>
                <w:szCs w:val="19"/>
                <w:color w:val="auto"/>
              </w:rPr>
            </w:pPr>
          </w:p>
        </w:tc>
        <w:tc>
          <w:tcPr>
            <w:tcW w:w="66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w w:val="86"/>
              </w:rPr>
              <w:t>8,497.1</w:t>
            </w:r>
          </w:p>
        </w:tc>
        <w:tc>
          <w:tcPr>
            <w:tcW w:w="200" w:type="dxa"/>
            <w:vAlign w:val="bottom"/>
            <w:tcBorders>
              <w:bottom w:val="single" w:sz="8" w:color="CDEAFA"/>
            </w:tcBorders>
            <w:shd w:val="clear" w:color="auto" w:fill="CDEAFA"/>
          </w:tcPr>
          <w:p>
            <w:pPr>
              <w:spacing w:after="0"/>
              <w:rPr>
                <w:sz w:val="19"/>
                <w:szCs w:val="19"/>
                <w:color w:val="auto"/>
              </w:rPr>
            </w:pPr>
          </w:p>
        </w:tc>
        <w:tc>
          <w:tcPr>
            <w:tcW w:w="80" w:type="dxa"/>
            <w:vAlign w:val="bottom"/>
            <w:tcBorders>
              <w:bottom w:val="single" w:sz="8" w:color="auto"/>
            </w:tcBorders>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DEAFA"/>
          </w:tcPr>
          <w:p>
            <w:pPr>
              <w:jc w:val="right"/>
              <w:ind w:right="30"/>
              <w:spacing w:after="0"/>
              <w:rPr>
                <w:sz w:val="20"/>
                <w:szCs w:val="20"/>
                <w:color w:val="auto"/>
              </w:rPr>
            </w:pPr>
            <w:r>
              <w:rPr>
                <w:rFonts w:ascii="Arial" w:cs="Arial" w:eastAsia="Arial" w:hAnsi="Arial"/>
                <w:sz w:val="18"/>
                <w:szCs w:val="18"/>
                <w:color w:val="auto"/>
                <w:w w:val="99"/>
              </w:rPr>
              <w:t>6,557.6</w:t>
            </w:r>
          </w:p>
        </w:tc>
        <w:tc>
          <w:tcPr>
            <w:tcW w:w="200" w:type="dxa"/>
            <w:vAlign w:val="bottom"/>
            <w:tcBorders>
              <w:bottom w:val="single" w:sz="8" w:color="CDEAFA"/>
            </w:tcBorders>
            <w:shd w:val="clear" w:color="auto" w:fill="CDEAFA"/>
          </w:tcPr>
          <w:p>
            <w:pPr>
              <w:spacing w:after="0"/>
              <w:rPr>
                <w:sz w:val="19"/>
                <w:szCs w:val="19"/>
                <w:color w:val="auto"/>
              </w:rPr>
            </w:pPr>
          </w:p>
        </w:tc>
        <w:tc>
          <w:tcPr>
            <w:tcW w:w="120" w:type="dxa"/>
            <w:vAlign w:val="bottom"/>
            <w:tcBorders>
              <w:bottom w:val="single" w:sz="8" w:color="auto"/>
            </w:tcBorders>
            <w:shd w:val="clear" w:color="auto" w:fill="CDEAFA"/>
          </w:tcPr>
          <w:p>
            <w:pPr>
              <w:spacing w:after="0"/>
              <w:rPr>
                <w:sz w:val="19"/>
                <w:szCs w:val="19"/>
                <w:color w:val="auto"/>
              </w:rPr>
            </w:pPr>
          </w:p>
        </w:tc>
        <w:tc>
          <w:tcPr>
            <w:tcW w:w="340" w:type="dxa"/>
            <w:vAlign w:val="bottom"/>
            <w:tcBorders>
              <w:bottom w:val="single" w:sz="8" w:color="auto"/>
            </w:tcBorders>
            <w:gridSpan w:val="2"/>
            <w:shd w:val="clear" w:color="auto" w:fill="CDEAFA"/>
          </w:tcPr>
          <w:p>
            <w:pPr>
              <w:jc w:val="right"/>
              <w:ind w:right="24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DEAFA"/>
          </w:tcPr>
          <w:p>
            <w:pPr>
              <w:jc w:val="right"/>
              <w:spacing w:after="0"/>
              <w:rPr>
                <w:sz w:val="20"/>
                <w:szCs w:val="20"/>
                <w:color w:val="auto"/>
              </w:rPr>
            </w:pPr>
            <w:r>
              <w:rPr>
                <w:rFonts w:ascii="Arial" w:cs="Arial" w:eastAsia="Arial" w:hAnsi="Arial"/>
                <w:sz w:val="18"/>
                <w:szCs w:val="18"/>
                <w:color w:val="auto"/>
                <w:w w:val="86"/>
              </w:rPr>
              <w:t>7,574.6</w:t>
            </w:r>
          </w:p>
        </w:tc>
        <w:tc>
          <w:tcPr>
            <w:tcW w:w="40" w:type="dxa"/>
            <w:vAlign w:val="bottom"/>
            <w:tcBorders>
              <w:bottom w:val="single" w:sz="8" w:color="auto"/>
            </w:tcBorders>
            <w:shd w:val="clear" w:color="auto" w:fill="CDEAFA"/>
          </w:tcPr>
          <w:p>
            <w:pPr>
              <w:spacing w:after="0"/>
              <w:rPr>
                <w:sz w:val="19"/>
                <w:szCs w:val="19"/>
                <w:color w:val="auto"/>
              </w:rPr>
            </w:pPr>
          </w:p>
        </w:tc>
        <w:tc>
          <w:tcPr>
            <w:tcW w:w="220" w:type="dxa"/>
            <w:vAlign w:val="bottom"/>
            <w:tcBorders>
              <w:bottom w:val="single" w:sz="8" w:color="CDEAFA"/>
            </w:tcBorders>
            <w:shd w:val="clear" w:color="auto" w:fill="CDEAFA"/>
          </w:tcPr>
          <w:p>
            <w:pPr>
              <w:spacing w:after="0"/>
              <w:rPr>
                <w:sz w:val="19"/>
                <w:szCs w:val="19"/>
                <w:color w:val="auto"/>
              </w:rPr>
            </w:pPr>
          </w:p>
        </w:tc>
        <w:tc>
          <w:tcPr>
            <w:tcW w:w="26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1,939.5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80" w:right="4640" w:firstLine="8"/>
        <w:spacing w:after="0" w:line="370" w:lineRule="auto"/>
        <w:tabs>
          <w:tab w:leader="none" w:pos="288"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 xml:space="preserve">Net product sales of Praluent in the United States were recorded by Sanofi prior to April 1, 2020. </w:t>
      </w:r>
      <w:r>
        <w:rPr>
          <w:rFonts w:ascii="Arial" w:cs="Arial" w:eastAsia="Arial" w:hAnsi="Arial"/>
          <w:sz w:val="22"/>
          <w:szCs w:val="22"/>
          <w:color w:val="auto"/>
          <w:vertAlign w:val="superscript"/>
        </w:rPr>
        <w:t>**</w:t>
      </w:r>
      <w:r>
        <w:rPr>
          <w:rFonts w:ascii="Arial" w:cs="Arial" w:eastAsia="Arial" w:hAnsi="Arial"/>
          <w:sz w:val="14"/>
          <w:szCs w:val="14"/>
          <w:color w:val="auto"/>
        </w:rPr>
        <w:t xml:space="preserve"> Effective April 1, 2021, Kiniksa records net product sales of ARCALYST in the United States.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Net product sales of EYLEA in the United States increased in 2021, compared to 2020, due to higher sales volume (including the adverse impact of the COVID-19 pandemic on U.S. EYLEA demand during the three months ended June 30, 2020), partly offset by an increase in sales-related deductions.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years ended December 31, 2021 and 2020, net product sales of REGEN-COV were recorded in connection with our agreements with the U.S. government. As of December 31, 2021, the Company had completed its final deliveries of drug product under its agreements with the U.S. government. Refer to Part I, Item 1. “Business - Agreements Related to COVID-19 - </w:t>
      </w:r>
      <w:r>
        <w:rPr>
          <w:rFonts w:ascii="Arial" w:cs="Arial" w:eastAsia="Arial" w:hAnsi="Arial"/>
          <w:sz w:val="18"/>
          <w:szCs w:val="18"/>
          <w:i w:val="1"/>
          <w:iCs w:val="1"/>
          <w:color w:val="auto"/>
        </w:rPr>
        <w:t>U.S. Government</w:t>
      </w:r>
      <w:r>
        <w:rPr>
          <w:rFonts w:ascii="Arial" w:cs="Arial" w:eastAsia="Arial" w:hAnsi="Arial"/>
          <w:sz w:val="18"/>
          <w:szCs w:val="18"/>
          <w:color w:val="auto"/>
        </w:rPr>
        <w:t>” for further details. The degree to which future sales of our COVID-19 monoclonal antibodies will continue is highly uncertain and will depend on, among other factors, the number of new COVID-19 cases and effectiveness of our product against variants of concern. Refer to Part I, Item 1. “Business - Products - REGEN-COV - Emergency and Temporary Use Authorizations” for additional information.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6" w:name="page87"/>
    <w:bookmarkEnd w:id="86"/>
    <w:p>
      <w:pPr>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7"/>
              </w:rPr>
              <w:t>Rebates,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Other Sales-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gridSpan w:val="3"/>
            <w:vMerge w:val="restart"/>
          </w:tcPr>
          <w:p>
            <w:pPr>
              <w:ind w:left="280"/>
              <w:spacing w:after="0"/>
              <w:rPr>
                <w:sz w:val="20"/>
                <w:szCs w:val="20"/>
                <w:color w:val="auto"/>
              </w:rPr>
            </w:pPr>
            <w:r>
              <w:rPr>
                <w:rFonts w:ascii="Arial" w:cs="Arial" w:eastAsia="Arial" w:hAnsi="Arial"/>
                <w:sz w:val="18"/>
                <w:szCs w:val="18"/>
                <w:i w:val="1"/>
                <w:iCs w:val="1"/>
                <w:color w:val="auto"/>
              </w:rPr>
              <w:t>(In millions)</w:t>
            </w:r>
          </w:p>
        </w:tc>
        <w:tc>
          <w:tcPr>
            <w:tcW w:w="14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Chargebacks,</w:t>
            </w:r>
          </w:p>
        </w:tc>
        <w:tc>
          <w:tcPr>
            <w:tcW w:w="1420" w:type="dxa"/>
            <w:vAlign w:val="bottom"/>
            <w:gridSpan w:val="4"/>
          </w:tcPr>
          <w:p>
            <w:pPr>
              <w:ind w:left="60"/>
              <w:spacing w:after="0"/>
              <w:rPr>
                <w:sz w:val="20"/>
                <w:szCs w:val="20"/>
                <w:color w:val="auto"/>
              </w:rPr>
            </w:pPr>
            <w:r>
              <w:rPr>
                <w:rFonts w:ascii="Arial" w:cs="Arial" w:eastAsia="Arial" w:hAnsi="Arial"/>
                <w:sz w:val="18"/>
                <w:szCs w:val="18"/>
                <w:b w:val="1"/>
                <w:bCs w:val="1"/>
                <w:color w:val="auto"/>
              </w:rPr>
              <w:t>Distribution-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00" w:type="dxa"/>
            <w:vAlign w:val="bottom"/>
            <w:gridSpan w:val="3"/>
            <w:vMerge w:val="continue"/>
          </w:tcPr>
          <w:p>
            <w:pPr>
              <w:spacing w:after="0"/>
              <w:rPr>
                <w:sz w:val="20"/>
                <w:szCs w:val="20"/>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7"/>
              </w:rPr>
              <w:t>and Discounts</w:t>
            </w:r>
          </w:p>
        </w:tc>
        <w:tc>
          <w:tcPr>
            <w:tcW w:w="1420" w:type="dxa"/>
            <w:vAlign w:val="bottom"/>
            <w:gridSpan w:val="4"/>
          </w:tcPr>
          <w:p>
            <w:pPr>
              <w:ind w:left="60"/>
              <w:spacing w:after="0"/>
              <w:rPr>
                <w:sz w:val="20"/>
                <w:szCs w:val="20"/>
                <w:color w:val="auto"/>
              </w:rPr>
            </w:pPr>
            <w:r>
              <w:rPr>
                <w:rFonts w:ascii="Arial" w:cs="Arial" w:eastAsia="Arial" w:hAnsi="Arial"/>
                <w:sz w:val="18"/>
                <w:szCs w:val="18"/>
                <w:b w:val="1"/>
                <w:bCs w:val="1"/>
                <w:color w:val="auto"/>
              </w:rPr>
              <w:t>Related Fees</w:t>
            </w:r>
          </w:p>
        </w:tc>
        <w:tc>
          <w:tcPr>
            <w:tcW w:w="60" w:type="dxa"/>
            <w:vAlign w:val="bottom"/>
          </w:tcPr>
          <w:p>
            <w:pPr>
              <w:spacing w:after="0"/>
              <w:rPr>
                <w:sz w:val="20"/>
                <w:szCs w:val="20"/>
                <w:color w:val="auto"/>
              </w:rPr>
            </w:pPr>
          </w:p>
        </w:tc>
        <w:tc>
          <w:tcPr>
            <w:tcW w:w="13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7"/>
              </w:rPr>
              <w:t>Deductions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tcBorders>
              <w:top w:val="single" w:sz="8" w:color="CDEAFA"/>
            </w:tcBorders>
            <w:gridSpan w:val="2"/>
            <w:shd w:val="clear" w:color="auto" w:fill="CDEAFA"/>
          </w:tcPr>
          <w:p>
            <w:pPr>
              <w:spacing w:after="0"/>
              <w:rPr>
                <w:sz w:val="20"/>
                <w:szCs w:val="20"/>
                <w:color w:val="auto"/>
              </w:rPr>
            </w:pPr>
            <w:r>
              <w:rPr>
                <w:rFonts w:ascii="Arial" w:cs="Arial" w:eastAsia="Arial" w:hAnsi="Arial"/>
                <w:sz w:val="18"/>
                <w:szCs w:val="18"/>
                <w:color w:val="auto"/>
              </w:rPr>
              <w:t>Balance as of December 31, 2018</w:t>
            </w:r>
          </w:p>
        </w:tc>
        <w:tc>
          <w:tcPr>
            <w:tcW w:w="220" w:type="dxa"/>
            <w:vAlign w:val="bottom"/>
            <w:tcBorders>
              <w:top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41.1</w:t>
            </w:r>
          </w:p>
        </w:tc>
        <w:tc>
          <w:tcPr>
            <w:tcW w:w="240" w:type="dxa"/>
            <w:vAlign w:val="bottom"/>
            <w:tcBorders>
              <w:top w:val="single" w:sz="8" w:color="CDEAFA"/>
            </w:tcBorders>
            <w:shd w:val="clear" w:color="auto" w:fill="CDEAFA"/>
          </w:tcPr>
          <w:p>
            <w:pPr>
              <w:spacing w:after="0"/>
              <w:rPr>
                <w:sz w:val="18"/>
                <w:szCs w:val="18"/>
                <w:color w:val="auto"/>
              </w:rPr>
            </w:pPr>
          </w:p>
        </w:tc>
        <w:tc>
          <w:tcPr>
            <w:tcW w:w="40" w:type="dxa"/>
            <w:vAlign w:val="bottom"/>
            <w:tcBorders>
              <w:top w:val="single" w:sz="8" w:color="CDEAFA"/>
            </w:tcBorders>
            <w:shd w:val="clear" w:color="auto" w:fill="CDEAFA"/>
          </w:tcPr>
          <w:p>
            <w:pPr>
              <w:spacing w:after="0"/>
              <w:rPr>
                <w:sz w:val="18"/>
                <w:szCs w:val="18"/>
                <w:color w:val="auto"/>
              </w:rPr>
            </w:pPr>
          </w:p>
        </w:tc>
        <w:tc>
          <w:tcPr>
            <w:tcW w:w="280" w:type="dxa"/>
            <w:vAlign w:val="bottom"/>
            <w:tcBorders>
              <w:top w:val="single" w:sz="8" w:color="auto"/>
            </w:tcBorders>
            <w:shd w:val="clear" w:color="auto" w:fill="CDEAFA"/>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42.0</w:t>
            </w:r>
          </w:p>
        </w:tc>
        <w:tc>
          <w:tcPr>
            <w:tcW w:w="60" w:type="dxa"/>
            <w:vAlign w:val="bottom"/>
            <w:tcBorders>
              <w:top w:val="single" w:sz="8" w:color="CDEAFA"/>
            </w:tcBorders>
            <w:shd w:val="clear" w:color="auto" w:fill="CDEAFA"/>
          </w:tcPr>
          <w:p>
            <w:pPr>
              <w:spacing w:after="0"/>
              <w:rPr>
                <w:sz w:val="18"/>
                <w:szCs w:val="18"/>
                <w:color w:val="auto"/>
              </w:rPr>
            </w:pPr>
          </w:p>
        </w:tc>
        <w:tc>
          <w:tcPr>
            <w:tcW w:w="240" w:type="dxa"/>
            <w:vAlign w:val="bottom"/>
            <w:tcBorders>
              <w:top w:val="single" w:sz="8" w:color="CDEAFA"/>
            </w:tcBorders>
            <w:shd w:val="clear" w:color="auto" w:fill="CDEAFA"/>
          </w:tcPr>
          <w:p>
            <w:pPr>
              <w:spacing w:after="0"/>
              <w:rPr>
                <w:sz w:val="18"/>
                <w:szCs w:val="18"/>
                <w:color w:val="auto"/>
              </w:rPr>
            </w:pPr>
          </w:p>
        </w:tc>
        <w:tc>
          <w:tcPr>
            <w:tcW w:w="220" w:type="dxa"/>
            <w:vAlign w:val="bottom"/>
            <w:tcBorders>
              <w:top w:val="single" w:sz="8" w:color="auto"/>
            </w:tcBorders>
            <w:gridSpan w:val="2"/>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DEAFA"/>
            </w:tcBorders>
            <w:shd w:val="clear" w:color="auto" w:fill="CDEAFA"/>
          </w:tcPr>
          <w:p>
            <w:pPr>
              <w:spacing w:after="0"/>
              <w:rPr>
                <w:sz w:val="18"/>
                <w:szCs w:val="18"/>
                <w:color w:val="auto"/>
              </w:rPr>
            </w:pPr>
          </w:p>
        </w:tc>
        <w:tc>
          <w:tcPr>
            <w:tcW w:w="120" w:type="dxa"/>
            <w:vAlign w:val="bottom"/>
            <w:tcBorders>
              <w:top w:val="single" w:sz="8" w:color="CDEAFA"/>
            </w:tcBorders>
            <w:shd w:val="clear" w:color="auto" w:fill="CDEAFA"/>
          </w:tcPr>
          <w:p>
            <w:pPr>
              <w:spacing w:after="0"/>
              <w:rPr>
                <w:sz w:val="18"/>
                <w:szCs w:val="18"/>
                <w:color w:val="auto"/>
              </w:rPr>
            </w:pPr>
          </w:p>
        </w:tc>
        <w:tc>
          <w:tcPr>
            <w:tcW w:w="340" w:type="dxa"/>
            <w:vAlign w:val="bottom"/>
            <w:tcBorders>
              <w:top w:val="single" w:sz="8" w:color="auto"/>
            </w:tcBorders>
            <w:gridSpan w:val="2"/>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91.4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Provisions</w:t>
            </w:r>
          </w:p>
        </w:tc>
        <w:tc>
          <w:tcPr>
            <w:tcW w:w="2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423.2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242.9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727.9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20" w:type="dxa"/>
            <w:vAlign w:val="bottom"/>
            <w:gridSpan w:val="2"/>
            <w:shd w:val="clear" w:color="auto" w:fill="CDEAFA"/>
          </w:tcPr>
          <w:p>
            <w:pPr>
              <w:ind w:left="180"/>
              <w:spacing w:after="0"/>
              <w:rPr>
                <w:sz w:val="20"/>
                <w:szCs w:val="20"/>
                <w:color w:val="auto"/>
              </w:rPr>
            </w:pPr>
            <w:r>
              <w:rPr>
                <w:rFonts w:ascii="Arial" w:cs="Arial" w:eastAsia="Arial" w:hAnsi="Arial"/>
                <w:sz w:val="18"/>
                <w:szCs w:val="18"/>
                <w:color w:val="auto"/>
              </w:rPr>
              <w:t>Credits/payments</w:t>
            </w:r>
          </w:p>
        </w:tc>
        <w:tc>
          <w:tcPr>
            <w:tcW w:w="220" w:type="dxa"/>
            <w:vAlign w:val="bottom"/>
            <w:tcBorders>
              <w:bottom w:val="single" w:sz="8" w:color="auto"/>
            </w:tcBorders>
            <w:shd w:val="clear" w:color="auto" w:fill="CDEAFA"/>
          </w:tcPr>
          <w:p>
            <w:pPr>
              <w:spacing w:after="0"/>
              <w:rPr>
                <w:sz w:val="19"/>
                <w:szCs w:val="19"/>
                <w:color w:val="auto"/>
              </w:rPr>
            </w:pPr>
          </w:p>
        </w:tc>
        <w:tc>
          <w:tcPr>
            <w:tcW w:w="96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(384.0)</w:t>
            </w:r>
          </w:p>
        </w:tc>
        <w:tc>
          <w:tcPr>
            <w:tcW w:w="240" w:type="dxa"/>
            <w:vAlign w:val="bottom"/>
            <w:shd w:val="clear" w:color="auto" w:fill="CDEAFA"/>
          </w:tcPr>
          <w:p>
            <w:pPr>
              <w:spacing w:after="0"/>
              <w:rPr>
                <w:sz w:val="19"/>
                <w:szCs w:val="19"/>
                <w:color w:val="auto"/>
              </w:rPr>
            </w:pPr>
          </w:p>
        </w:tc>
        <w:tc>
          <w:tcPr>
            <w:tcW w:w="40" w:type="dxa"/>
            <w:vAlign w:val="bottom"/>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spacing w:after="0"/>
              <w:rPr>
                <w:sz w:val="19"/>
                <w:szCs w:val="19"/>
                <w:color w:val="auto"/>
              </w:rPr>
            </w:pPr>
          </w:p>
        </w:tc>
        <w:tc>
          <w:tcPr>
            <w:tcW w:w="8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(238.5)</w:t>
            </w:r>
          </w:p>
        </w:tc>
        <w:tc>
          <w:tcPr>
            <w:tcW w:w="60" w:type="dxa"/>
            <w:vAlign w:val="bottom"/>
            <w:shd w:val="clear" w:color="auto" w:fill="CDEAFA"/>
          </w:tcPr>
          <w:p>
            <w:pPr>
              <w:spacing w:after="0"/>
              <w:rPr>
                <w:sz w:val="19"/>
                <w:szCs w:val="19"/>
                <w:color w:val="auto"/>
              </w:rPr>
            </w:pPr>
          </w:p>
        </w:tc>
        <w:tc>
          <w:tcPr>
            <w:tcW w:w="240" w:type="dxa"/>
            <w:vAlign w:val="bottom"/>
            <w:shd w:val="clear" w:color="auto" w:fill="CDEAFA"/>
          </w:tcPr>
          <w:p>
            <w:pPr>
              <w:spacing w:after="0"/>
              <w:rPr>
                <w:sz w:val="19"/>
                <w:szCs w:val="19"/>
                <w:color w:val="auto"/>
              </w:rPr>
            </w:pPr>
          </w:p>
        </w:tc>
        <w:tc>
          <w:tcPr>
            <w:tcW w:w="60" w:type="dxa"/>
            <w:vAlign w:val="bottom"/>
            <w:tcBorders>
              <w:bottom w:val="single" w:sz="8" w:color="auto"/>
            </w:tcBorders>
            <w:shd w:val="clear" w:color="auto" w:fill="CDEAFA"/>
          </w:tcPr>
          <w:p>
            <w:pPr>
              <w:spacing w:after="0"/>
              <w:rPr>
                <w:sz w:val="19"/>
                <w:szCs w:val="19"/>
                <w:color w:val="auto"/>
              </w:rPr>
            </w:pPr>
          </w:p>
        </w:tc>
        <w:tc>
          <w:tcPr>
            <w:tcW w:w="160" w:type="dxa"/>
            <w:vAlign w:val="bottom"/>
            <w:tcBorders>
              <w:bottom w:val="single" w:sz="8" w:color="auto"/>
            </w:tcBorders>
            <w:shd w:val="clear" w:color="auto" w:fill="CDEAFA"/>
          </w:tcPr>
          <w:p>
            <w:pPr>
              <w:spacing w:after="0"/>
              <w:rPr>
                <w:sz w:val="19"/>
                <w:szCs w:val="19"/>
                <w:color w:val="auto"/>
              </w:rPr>
            </w:pPr>
          </w:p>
        </w:tc>
        <w:tc>
          <w:tcPr>
            <w:tcW w:w="9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80" w:type="dxa"/>
            <w:vAlign w:val="bottom"/>
            <w:tcBorders>
              <w:bottom w:val="single" w:sz="8" w:color="auto"/>
            </w:tcBorders>
            <w:shd w:val="clear" w:color="auto" w:fill="CDEAFA"/>
          </w:tcPr>
          <w:p>
            <w:pPr>
              <w:spacing w:after="0"/>
              <w:rPr>
                <w:sz w:val="19"/>
                <w:szCs w:val="19"/>
                <w:color w:val="auto"/>
              </w:rPr>
            </w:pPr>
          </w:p>
        </w:tc>
        <w:tc>
          <w:tcPr>
            <w:tcW w:w="160" w:type="dxa"/>
            <w:vAlign w:val="bottom"/>
            <w:tcBorders>
              <w:bottom w:val="single" w:sz="8" w:color="auto"/>
            </w:tcBorders>
            <w:shd w:val="clear" w:color="auto" w:fill="CDEAFA"/>
          </w:tcPr>
          <w:p>
            <w:pPr>
              <w:spacing w:after="0"/>
              <w:rPr>
                <w:sz w:val="19"/>
                <w:szCs w:val="19"/>
                <w:color w:val="auto"/>
              </w:rPr>
            </w:pPr>
          </w:p>
        </w:tc>
        <w:tc>
          <w:tcPr>
            <w:tcW w:w="8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(663.2)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Balance as of December 31, 2019</w:t>
            </w:r>
          </w:p>
        </w:tc>
        <w:tc>
          <w:tcPr>
            <w:tcW w:w="2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gridSpan w:val="2"/>
            <w:shd w:val="clear" w:color="auto" w:fill="CDEAFA"/>
          </w:tcPr>
          <w:p>
            <w:pPr>
              <w:ind w:left="180"/>
              <w:spacing w:after="0"/>
              <w:rPr>
                <w:sz w:val="20"/>
                <w:szCs w:val="20"/>
                <w:color w:val="auto"/>
              </w:rPr>
            </w:pPr>
            <w:r>
              <w:rPr>
                <w:rFonts w:ascii="Arial" w:cs="Arial" w:eastAsia="Arial" w:hAnsi="Arial"/>
                <w:sz w:val="18"/>
                <w:szCs w:val="18"/>
                <w:color w:val="auto"/>
              </w:rPr>
              <w:t>Provisions</w:t>
            </w:r>
          </w:p>
        </w:tc>
        <w:tc>
          <w:tcPr>
            <w:tcW w:w="220" w:type="dxa"/>
            <w:vAlign w:val="bottom"/>
            <w:shd w:val="clear" w:color="auto" w:fill="CDEAFA"/>
          </w:tcPr>
          <w:p>
            <w:pPr>
              <w:spacing w:after="0"/>
              <w:rPr>
                <w:sz w:val="18"/>
                <w:szCs w:val="18"/>
                <w:color w:val="auto"/>
              </w:rPr>
            </w:pPr>
          </w:p>
        </w:tc>
        <w:tc>
          <w:tcPr>
            <w:tcW w:w="96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762.9</w:t>
            </w:r>
          </w:p>
        </w:tc>
        <w:tc>
          <w:tcPr>
            <w:tcW w:w="24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279.9</w:t>
            </w:r>
          </w:p>
        </w:tc>
        <w:tc>
          <w:tcPr>
            <w:tcW w:w="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94.1</w:t>
            </w:r>
          </w:p>
        </w:tc>
        <w:tc>
          <w:tcPr>
            <w:tcW w:w="1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8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1,136.9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20" w:type="dxa"/>
            <w:vAlign w:val="bottom"/>
            <w:tcBorders>
              <w:bottom w:val="single" w:sz="8" w:color="CDEAFA"/>
            </w:tcBorders>
            <w:gridSpan w:val="2"/>
          </w:tcPr>
          <w:p>
            <w:pPr>
              <w:ind w:left="180"/>
              <w:spacing w:after="0"/>
              <w:rPr>
                <w:sz w:val="20"/>
                <w:szCs w:val="20"/>
                <w:color w:val="auto"/>
              </w:rPr>
            </w:pPr>
            <w:r>
              <w:rPr>
                <w:rFonts w:ascii="Arial" w:cs="Arial" w:eastAsia="Arial" w:hAnsi="Arial"/>
                <w:sz w:val="18"/>
                <w:szCs w:val="18"/>
                <w:color w:val="auto"/>
              </w:rPr>
              <w:t>Credits/payments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240" w:type="dxa"/>
            <w:vAlign w:val="bottom"/>
            <w:tcBorders>
              <w:bottom w:val="single" w:sz="8" w:color="CDEAFA"/>
            </w:tcBorders>
          </w:tcPr>
          <w:p>
            <w:pPr>
              <w:spacing w:after="0"/>
              <w:rPr>
                <w:sz w:val="19"/>
                <w:szCs w:val="19"/>
                <w:color w:val="auto"/>
              </w:rPr>
            </w:pPr>
          </w:p>
        </w:tc>
        <w:tc>
          <w:tcPr>
            <w:tcW w:w="4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60" w:type="dxa"/>
            <w:vAlign w:val="bottom"/>
            <w:tcBorders>
              <w:bottom w:val="single" w:sz="8" w:color="CDEAFA"/>
            </w:tcBorders>
          </w:tcPr>
          <w:p>
            <w:pPr>
              <w:spacing w:after="0"/>
              <w:rPr>
                <w:sz w:val="19"/>
                <w:szCs w:val="19"/>
                <w:color w:val="auto"/>
              </w:rPr>
            </w:pPr>
          </w:p>
        </w:tc>
        <w:tc>
          <w:tcPr>
            <w:tcW w:w="240" w:type="dxa"/>
            <w:vAlign w:val="bottom"/>
            <w:tcBorders>
              <w:bottom w:val="single" w:sz="8" w:color="CDEAFA"/>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Borders>
              <w:bottom w:val="single" w:sz="8" w:color="CDEAFA"/>
            </w:tcBorders>
          </w:tcPr>
          <w:p>
            <w:pPr>
              <w:spacing w:after="0"/>
              <w:rPr>
                <w:sz w:val="19"/>
                <w:szCs w:val="19"/>
                <w:color w:val="auto"/>
              </w:rPr>
            </w:pPr>
          </w:p>
        </w:tc>
        <w:tc>
          <w:tcPr>
            <w:tcW w:w="120" w:type="dxa"/>
            <w:vAlign w:val="bottom"/>
            <w:tcBorders>
              <w:bottom w:val="single" w:sz="8" w:color="CDEA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Balance as of December 31, 2020</w:t>
            </w:r>
          </w:p>
        </w:tc>
        <w:tc>
          <w:tcPr>
            <w:tcW w:w="220" w:type="dxa"/>
            <w:vAlign w:val="bottom"/>
            <w:shd w:val="clear" w:color="auto" w:fill="CDEAFA"/>
          </w:tcPr>
          <w:p>
            <w:pPr>
              <w:spacing w:after="0"/>
              <w:rPr>
                <w:sz w:val="18"/>
                <w:szCs w:val="18"/>
                <w:color w:val="auto"/>
              </w:rPr>
            </w:pPr>
          </w:p>
        </w:tc>
        <w:tc>
          <w:tcPr>
            <w:tcW w:w="96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77.2</w:t>
            </w:r>
          </w:p>
        </w:tc>
        <w:tc>
          <w:tcPr>
            <w:tcW w:w="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8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324.2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Provisions</w:t>
            </w:r>
          </w:p>
        </w:tc>
        <w:tc>
          <w:tcPr>
            <w:tcW w:w="2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1,047.1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363.6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1,561.1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20" w:type="dxa"/>
            <w:vAlign w:val="bottom"/>
            <w:gridSpan w:val="2"/>
            <w:shd w:val="clear" w:color="auto" w:fill="CDEAFA"/>
          </w:tcPr>
          <w:p>
            <w:pPr>
              <w:ind w:left="180"/>
              <w:spacing w:after="0"/>
              <w:rPr>
                <w:sz w:val="20"/>
                <w:szCs w:val="20"/>
                <w:color w:val="auto"/>
              </w:rPr>
            </w:pPr>
            <w:r>
              <w:rPr>
                <w:rFonts w:ascii="Arial" w:cs="Arial" w:eastAsia="Arial" w:hAnsi="Arial"/>
                <w:sz w:val="18"/>
                <w:szCs w:val="18"/>
                <w:color w:val="auto"/>
              </w:rPr>
              <w:t>Credits/payments</w:t>
            </w:r>
          </w:p>
        </w:tc>
        <w:tc>
          <w:tcPr>
            <w:tcW w:w="220" w:type="dxa"/>
            <w:vAlign w:val="bottom"/>
            <w:tcBorders>
              <w:bottom w:val="single" w:sz="8" w:color="auto"/>
            </w:tcBorders>
            <w:shd w:val="clear" w:color="auto" w:fill="CDEAFA"/>
          </w:tcPr>
          <w:p>
            <w:pPr>
              <w:spacing w:after="0"/>
              <w:rPr>
                <w:sz w:val="19"/>
                <w:szCs w:val="19"/>
                <w:color w:val="auto"/>
              </w:rPr>
            </w:pPr>
          </w:p>
        </w:tc>
        <w:tc>
          <w:tcPr>
            <w:tcW w:w="96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(1,034.7)</w:t>
            </w:r>
          </w:p>
        </w:tc>
        <w:tc>
          <w:tcPr>
            <w:tcW w:w="240" w:type="dxa"/>
            <w:vAlign w:val="bottom"/>
            <w:shd w:val="clear" w:color="auto" w:fill="CDEAFA"/>
          </w:tcPr>
          <w:p>
            <w:pPr>
              <w:spacing w:after="0"/>
              <w:rPr>
                <w:sz w:val="19"/>
                <w:szCs w:val="19"/>
                <w:color w:val="auto"/>
              </w:rPr>
            </w:pPr>
          </w:p>
        </w:tc>
        <w:tc>
          <w:tcPr>
            <w:tcW w:w="40" w:type="dxa"/>
            <w:vAlign w:val="bottom"/>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spacing w:after="0"/>
              <w:rPr>
                <w:sz w:val="19"/>
                <w:szCs w:val="19"/>
                <w:color w:val="auto"/>
              </w:rPr>
            </w:pPr>
          </w:p>
        </w:tc>
        <w:tc>
          <w:tcPr>
            <w:tcW w:w="8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(360.8)</w:t>
            </w:r>
          </w:p>
        </w:tc>
        <w:tc>
          <w:tcPr>
            <w:tcW w:w="60" w:type="dxa"/>
            <w:vAlign w:val="bottom"/>
            <w:shd w:val="clear" w:color="auto" w:fill="CDEAFA"/>
          </w:tcPr>
          <w:p>
            <w:pPr>
              <w:spacing w:after="0"/>
              <w:rPr>
                <w:sz w:val="19"/>
                <w:szCs w:val="19"/>
                <w:color w:val="auto"/>
              </w:rPr>
            </w:pPr>
          </w:p>
        </w:tc>
        <w:tc>
          <w:tcPr>
            <w:tcW w:w="240" w:type="dxa"/>
            <w:vAlign w:val="bottom"/>
            <w:shd w:val="clear" w:color="auto" w:fill="CDEAFA"/>
          </w:tcPr>
          <w:p>
            <w:pPr>
              <w:spacing w:after="0"/>
              <w:rPr>
                <w:sz w:val="19"/>
                <w:szCs w:val="19"/>
                <w:color w:val="auto"/>
              </w:rPr>
            </w:pPr>
          </w:p>
        </w:tc>
        <w:tc>
          <w:tcPr>
            <w:tcW w:w="60" w:type="dxa"/>
            <w:vAlign w:val="bottom"/>
            <w:tcBorders>
              <w:bottom w:val="single" w:sz="8" w:color="auto"/>
            </w:tcBorders>
            <w:shd w:val="clear" w:color="auto" w:fill="CDEAFA"/>
          </w:tcPr>
          <w:p>
            <w:pPr>
              <w:spacing w:after="0"/>
              <w:rPr>
                <w:sz w:val="19"/>
                <w:szCs w:val="19"/>
                <w:color w:val="auto"/>
              </w:rPr>
            </w:pPr>
          </w:p>
        </w:tc>
        <w:tc>
          <w:tcPr>
            <w:tcW w:w="160" w:type="dxa"/>
            <w:vAlign w:val="bottom"/>
            <w:tcBorders>
              <w:bottom w:val="single" w:sz="8" w:color="auto"/>
            </w:tcBorders>
            <w:shd w:val="clear" w:color="auto" w:fill="CDEAFA"/>
          </w:tcPr>
          <w:p>
            <w:pPr>
              <w:spacing w:after="0"/>
              <w:rPr>
                <w:sz w:val="19"/>
                <w:szCs w:val="19"/>
                <w:color w:val="auto"/>
              </w:rPr>
            </w:pPr>
          </w:p>
        </w:tc>
        <w:tc>
          <w:tcPr>
            <w:tcW w:w="9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(127.6)</w:t>
            </w:r>
          </w:p>
        </w:tc>
        <w:tc>
          <w:tcPr>
            <w:tcW w:w="160" w:type="dxa"/>
            <w:vAlign w:val="bottom"/>
            <w:shd w:val="clear" w:color="auto" w:fill="CDEAFA"/>
          </w:tcPr>
          <w:p>
            <w:pPr>
              <w:spacing w:after="0"/>
              <w:rPr>
                <w:sz w:val="19"/>
                <w:szCs w:val="19"/>
                <w:color w:val="auto"/>
              </w:rPr>
            </w:pPr>
          </w:p>
        </w:tc>
        <w:tc>
          <w:tcPr>
            <w:tcW w:w="120" w:type="dxa"/>
            <w:vAlign w:val="bottom"/>
            <w:shd w:val="clear" w:color="auto" w:fill="CDEAFA"/>
          </w:tcPr>
          <w:p>
            <w:pPr>
              <w:spacing w:after="0"/>
              <w:rPr>
                <w:sz w:val="19"/>
                <w:szCs w:val="19"/>
                <w:color w:val="auto"/>
              </w:rPr>
            </w:pPr>
          </w:p>
        </w:tc>
        <w:tc>
          <w:tcPr>
            <w:tcW w:w="180" w:type="dxa"/>
            <w:vAlign w:val="bottom"/>
            <w:tcBorders>
              <w:bottom w:val="single" w:sz="8" w:color="auto"/>
            </w:tcBorders>
            <w:shd w:val="clear" w:color="auto" w:fill="CDEAFA"/>
          </w:tcPr>
          <w:p>
            <w:pPr>
              <w:spacing w:after="0"/>
              <w:rPr>
                <w:sz w:val="19"/>
                <w:szCs w:val="19"/>
                <w:color w:val="auto"/>
              </w:rPr>
            </w:pPr>
          </w:p>
        </w:tc>
        <w:tc>
          <w:tcPr>
            <w:tcW w:w="160" w:type="dxa"/>
            <w:vAlign w:val="bottom"/>
            <w:tcBorders>
              <w:bottom w:val="single" w:sz="8" w:color="auto"/>
            </w:tcBorders>
            <w:shd w:val="clear" w:color="auto" w:fill="CDEAFA"/>
          </w:tcPr>
          <w:p>
            <w:pPr>
              <w:spacing w:after="0"/>
              <w:rPr>
                <w:sz w:val="19"/>
                <w:szCs w:val="19"/>
                <w:color w:val="auto"/>
              </w:rPr>
            </w:pPr>
          </w:p>
        </w:tc>
        <w:tc>
          <w:tcPr>
            <w:tcW w:w="8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(1,523.1)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Balance as of December 31, 2021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214.6</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8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80" w:type="dxa"/>
            <w:vAlign w:val="bottom"/>
            <w:tcBorders>
              <w:top w:val="single" w:sz="8" w:color="auto"/>
            </w:tcBorders>
          </w:tcPr>
          <w:p>
            <w:pPr>
              <w:spacing w:after="0"/>
              <w:rPr>
                <w:sz w:val="24"/>
                <w:szCs w:val="24"/>
                <w:color w:val="auto"/>
              </w:rPr>
            </w:pPr>
          </w:p>
        </w:tc>
        <w:tc>
          <w:tcPr>
            <w:tcW w:w="16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8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600" w:type="dxa"/>
            <w:vAlign w:val="bottom"/>
            <w:tcBorders>
              <w:bottom w:val="single" w:sz="8" w:color="CDEAFA"/>
            </w:tcBorders>
            <w:gridSpan w:val="2"/>
            <w:vMerge w:val="continue"/>
          </w:tcPr>
          <w:p>
            <w:pPr>
              <w:spacing w:after="0"/>
              <w:rPr>
                <w:sz w:val="19"/>
                <w:szCs w:val="19"/>
                <w:color w:val="auto"/>
              </w:rPr>
            </w:pPr>
          </w:p>
        </w:tc>
        <w:tc>
          <w:tcPr>
            <w:tcW w:w="2800" w:type="dxa"/>
            <w:vAlign w:val="bottom"/>
            <w:tcBorders>
              <w:bottom w:val="single" w:sz="8" w:color="CDEAFA"/>
            </w:tcBorders>
            <w:vMerge w:val="continue"/>
          </w:tcPr>
          <w:p>
            <w:pPr>
              <w:spacing w:after="0"/>
              <w:rPr>
                <w:sz w:val="19"/>
                <w:szCs w:val="19"/>
                <w:color w:val="auto"/>
              </w:rPr>
            </w:pPr>
          </w:p>
        </w:tc>
        <w:tc>
          <w:tcPr>
            <w:tcW w:w="220" w:type="dxa"/>
            <w:vAlign w:val="bottom"/>
            <w:tcBorders>
              <w:bottom w:val="single" w:sz="8" w:color="CDEAFA"/>
            </w:tcBorders>
          </w:tcPr>
          <w:p>
            <w:pPr>
              <w:spacing w:after="0"/>
              <w:rPr>
                <w:sz w:val="19"/>
                <w:szCs w:val="19"/>
                <w:color w:val="auto"/>
              </w:rPr>
            </w:pPr>
          </w:p>
        </w:tc>
        <w:tc>
          <w:tcPr>
            <w:tcW w:w="960" w:type="dxa"/>
            <w:vAlign w:val="bottom"/>
            <w:tcBorders>
              <w:bottom w:val="single" w:sz="8" w:color="CDEAFA"/>
            </w:tcBorders>
          </w:tcPr>
          <w:p>
            <w:pPr>
              <w:spacing w:after="0"/>
              <w:rPr>
                <w:sz w:val="19"/>
                <w:szCs w:val="19"/>
                <w:color w:val="auto"/>
              </w:rPr>
            </w:pPr>
          </w:p>
        </w:tc>
        <w:tc>
          <w:tcPr>
            <w:tcW w:w="240" w:type="dxa"/>
            <w:vAlign w:val="bottom"/>
            <w:tcBorders>
              <w:bottom w:val="single" w:sz="8" w:color="CDEAFA"/>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DEAFA"/>
            </w:tcBorders>
          </w:tcPr>
          <w:p>
            <w:pPr>
              <w:spacing w:after="0"/>
              <w:rPr>
                <w:sz w:val="19"/>
                <w:szCs w:val="19"/>
                <w:color w:val="auto"/>
              </w:rPr>
            </w:pPr>
          </w:p>
        </w:tc>
        <w:tc>
          <w:tcPr>
            <w:tcW w:w="60" w:type="dxa"/>
            <w:vAlign w:val="bottom"/>
            <w:tcBorders>
              <w:bottom w:val="single" w:sz="8" w:color="CDEAF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DEAFA"/>
            </w:tcBorders>
          </w:tcPr>
          <w:p>
            <w:pPr>
              <w:spacing w:after="0"/>
              <w:rPr>
                <w:sz w:val="19"/>
                <w:szCs w:val="19"/>
                <w:color w:val="auto"/>
              </w:rPr>
            </w:pPr>
          </w:p>
        </w:tc>
        <w:tc>
          <w:tcPr>
            <w:tcW w:w="180" w:type="dxa"/>
            <w:vAlign w:val="bottom"/>
            <w:tcBorders>
              <w:bottom w:val="single" w:sz="8" w:color="CDEAF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00" w:type="dxa"/>
            <w:vAlign w:val="bottom"/>
            <w:gridSpan w:val="3"/>
            <w:shd w:val="clear" w:color="auto" w:fill="CDEAFA"/>
          </w:tcPr>
          <w:p>
            <w:pPr>
              <w:spacing w:after="0"/>
              <w:rPr>
                <w:sz w:val="20"/>
                <w:szCs w:val="20"/>
                <w:color w:val="auto"/>
              </w:rPr>
            </w:pPr>
            <w:r>
              <w:rPr>
                <w:rFonts w:ascii="Arial" w:cs="Arial" w:eastAsia="Arial" w:hAnsi="Arial"/>
                <w:sz w:val="18"/>
                <w:szCs w:val="18"/>
                <w:color w:val="auto"/>
              </w:rPr>
              <w:t>Antibody:</w:t>
            </w:r>
          </w:p>
        </w:tc>
        <w:tc>
          <w:tcPr>
            <w:tcW w:w="220" w:type="dxa"/>
            <w:vAlign w:val="bottom"/>
            <w:shd w:val="clear" w:color="auto" w:fill="CDEAFA"/>
          </w:tcPr>
          <w:p>
            <w:pPr>
              <w:spacing w:after="0"/>
              <w:rPr>
                <w:sz w:val="18"/>
                <w:szCs w:val="18"/>
                <w:color w:val="auto"/>
              </w:rPr>
            </w:pPr>
          </w:p>
        </w:tc>
        <w:tc>
          <w:tcPr>
            <w:tcW w:w="9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90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80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5860" w:type="dxa"/>
            <w:vAlign w:val="bottom"/>
            <w:gridSpan w:val="7"/>
          </w:tcPr>
          <w:p>
            <w:pPr>
              <w:ind w:left="180"/>
              <w:spacing w:after="0" w:line="201"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20" w:type="dxa"/>
            <w:vAlign w:val="bottom"/>
            <w:gridSpan w:val="2"/>
          </w:tcPr>
          <w:p>
            <w:pPr>
              <w:ind w:left="80"/>
              <w:spacing w:after="0"/>
              <w:rPr>
                <w:sz w:val="20"/>
                <w:szCs w:val="20"/>
                <w:color w:val="auto"/>
              </w:rPr>
            </w:pPr>
            <w:r>
              <w:rPr>
                <w:rFonts w:ascii="Arial" w:cs="Arial" w:eastAsia="Arial" w:hAnsi="Arial"/>
                <w:sz w:val="18"/>
                <w:szCs w:val="18"/>
                <w:color w:val="auto"/>
              </w:rPr>
              <w:t>antibodies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1,363.0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785.2</w:t>
            </w:r>
          </w:p>
        </w:tc>
        <w:tc>
          <w:tcPr>
            <w:tcW w:w="1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gridSpan w:val="3"/>
            <w:shd w:val="clear" w:color="auto" w:fill="CDEAFA"/>
          </w:tcPr>
          <w:p>
            <w:pPr>
              <w:ind w:left="180"/>
              <w:spacing w:after="0"/>
              <w:rPr>
                <w:sz w:val="20"/>
                <w:szCs w:val="20"/>
                <w:color w:val="auto"/>
              </w:rPr>
            </w:pPr>
            <w:r>
              <w:rPr>
                <w:rFonts w:ascii="Arial" w:cs="Arial" w:eastAsia="Arial" w:hAnsi="Arial"/>
                <w:sz w:val="18"/>
                <w:szCs w:val="18"/>
                <w:color w:val="auto"/>
              </w:rPr>
              <w:t>Sales-based milestones earned</w:t>
            </w:r>
          </w:p>
        </w:tc>
        <w:tc>
          <w:tcPr>
            <w:tcW w:w="220" w:type="dxa"/>
            <w:vAlign w:val="bottom"/>
            <w:shd w:val="clear" w:color="auto" w:fill="CDEAFA"/>
          </w:tcPr>
          <w:p>
            <w:pPr>
              <w:spacing w:after="0"/>
              <w:rPr>
                <w:sz w:val="18"/>
                <w:szCs w:val="18"/>
                <w:color w:val="auto"/>
              </w:rPr>
            </w:pPr>
          </w:p>
        </w:tc>
        <w:tc>
          <w:tcPr>
            <w:tcW w:w="9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1060" w:type="dxa"/>
            <w:vAlign w:val="bottom"/>
            <w:gridSpan w:val="2"/>
            <w:shd w:val="clear" w:color="auto" w:fill="CDEAFA"/>
          </w:tcPr>
          <w:p>
            <w:pPr>
              <w:jc w:val="right"/>
              <w:ind w:right="8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1080" w:type="dxa"/>
            <w:vAlign w:val="bottom"/>
            <w:gridSpan w:val="2"/>
            <w:shd w:val="clear" w:color="auto" w:fill="CDEAF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620" w:type="dxa"/>
            <w:vAlign w:val="bottom"/>
            <w:tcBorders>
              <w:bottom w:val="single" w:sz="8" w:color="CDEAFA"/>
            </w:tcBorders>
            <w:gridSpan w:val="4"/>
          </w:tcPr>
          <w:p>
            <w:pPr>
              <w:ind w:left="180"/>
              <w:spacing w:after="0" w:line="270" w:lineRule="exact"/>
              <w:rPr>
                <w:sz w:val="20"/>
                <w:szCs w:val="20"/>
                <w:color w:val="auto"/>
              </w:rPr>
            </w:pPr>
            <w:r>
              <w:rPr>
                <w:rFonts w:ascii="Arial" w:cs="Arial" w:eastAsia="Arial" w:hAnsi="Arial"/>
                <w:sz w:val="18"/>
                <w:szCs w:val="18"/>
                <w:color w:val="auto"/>
                <w:w w:val="91"/>
              </w:rPr>
              <w:t>Reimbursement for manufacturing of commercial supplies</w:t>
            </w:r>
            <w:r>
              <w:rPr>
                <w:rFonts w:ascii="Arial" w:cs="Arial" w:eastAsia="Arial" w:hAnsi="Arial"/>
                <w:sz w:val="29"/>
                <w:szCs w:val="29"/>
                <w:color w:val="auto"/>
                <w:w w:val="91"/>
                <w:vertAlign w:val="superscript"/>
              </w:rPr>
              <w:t>(1)</w:t>
            </w:r>
          </w:p>
        </w:tc>
        <w:tc>
          <w:tcPr>
            <w:tcW w:w="960" w:type="dxa"/>
            <w:vAlign w:val="bottom"/>
            <w:tcBorders>
              <w:bottom w:val="single" w:sz="8" w:color="CDEAFA"/>
            </w:tcBorders>
          </w:tcPr>
          <w:p>
            <w:pPr>
              <w:spacing w:after="0"/>
              <w:rPr>
                <w:sz w:val="23"/>
                <w:szCs w:val="23"/>
                <w:color w:val="auto"/>
              </w:rPr>
            </w:pPr>
          </w:p>
        </w:tc>
        <w:tc>
          <w:tcPr>
            <w:tcW w:w="240" w:type="dxa"/>
            <w:vAlign w:val="bottom"/>
            <w:tcBorders>
              <w:bottom w:val="single" w:sz="8" w:color="CDEAFA"/>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CDEAFA"/>
            </w:tcBorders>
          </w:tcPr>
          <w:p>
            <w:pPr>
              <w:spacing w:after="0"/>
              <w:rPr>
                <w:sz w:val="23"/>
                <w:szCs w:val="23"/>
                <w:color w:val="auto"/>
              </w:rPr>
            </w:pPr>
          </w:p>
        </w:tc>
        <w:tc>
          <w:tcPr>
            <w:tcW w:w="60" w:type="dxa"/>
            <w:vAlign w:val="bottom"/>
            <w:tcBorders>
              <w:bottom w:val="single" w:sz="8" w:color="CDEAFA"/>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368.0</w:t>
            </w:r>
          </w:p>
        </w:tc>
        <w:tc>
          <w:tcPr>
            <w:tcW w:w="120" w:type="dxa"/>
            <w:vAlign w:val="bottom"/>
            <w:tcBorders>
              <w:bottom w:val="single" w:sz="8" w:color="CDEAFA"/>
            </w:tcBorders>
          </w:tcPr>
          <w:p>
            <w:pPr>
              <w:spacing w:after="0"/>
              <w:rPr>
                <w:sz w:val="23"/>
                <w:szCs w:val="23"/>
                <w:color w:val="auto"/>
              </w:rPr>
            </w:pPr>
          </w:p>
        </w:tc>
        <w:tc>
          <w:tcPr>
            <w:tcW w:w="180" w:type="dxa"/>
            <w:vAlign w:val="bottom"/>
            <w:tcBorders>
              <w:bottom w:val="single" w:sz="8" w:color="CDEAFA"/>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00" w:type="dxa"/>
            <w:vAlign w:val="bottom"/>
            <w:gridSpan w:val="3"/>
            <w:shd w:val="clear" w:color="auto" w:fill="CDEAFA"/>
          </w:tcPr>
          <w:p>
            <w:pPr>
              <w:spacing w:after="0"/>
              <w:rPr>
                <w:sz w:val="20"/>
                <w:szCs w:val="20"/>
                <w:color w:val="auto"/>
              </w:rPr>
            </w:pPr>
            <w:r>
              <w:rPr>
                <w:rFonts w:ascii="Arial" w:cs="Arial" w:eastAsia="Arial" w:hAnsi="Arial"/>
                <w:sz w:val="18"/>
                <w:szCs w:val="18"/>
                <w:color w:val="auto"/>
              </w:rPr>
              <w:t>Total Antibody</w:t>
            </w:r>
          </w:p>
        </w:tc>
        <w:tc>
          <w:tcPr>
            <w:tcW w:w="220" w:type="dxa"/>
            <w:vAlign w:val="bottom"/>
            <w:shd w:val="clear" w:color="auto" w:fill="CDEAFA"/>
          </w:tcPr>
          <w:p>
            <w:pPr>
              <w:spacing w:after="0"/>
              <w:rPr>
                <w:sz w:val="18"/>
                <w:szCs w:val="18"/>
                <w:color w:val="auto"/>
              </w:rPr>
            </w:pPr>
          </w:p>
        </w:tc>
        <w:tc>
          <w:tcPr>
            <w:tcW w:w="9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40" w:type="dxa"/>
            <w:vAlign w:val="bottom"/>
            <w:tcBorders>
              <w:bottom w:val="single" w:sz="8" w:color="auto"/>
            </w:tcBorders>
            <w:shd w:val="clear" w:color="auto" w:fill="CDEAFA"/>
          </w:tcPr>
          <w:p>
            <w:pPr>
              <w:spacing w:after="0"/>
              <w:rPr>
                <w:sz w:val="18"/>
                <w:szCs w:val="18"/>
                <w:color w:val="auto"/>
              </w:rPr>
            </w:pPr>
          </w:p>
        </w:tc>
        <w:tc>
          <w:tcPr>
            <w:tcW w:w="280" w:type="dxa"/>
            <w:vAlign w:val="bottom"/>
            <w:tcBorders>
              <w:bottom w:val="single" w:sz="8" w:color="auto"/>
            </w:tcBorders>
            <w:shd w:val="clear" w:color="auto" w:fill="CDEAFA"/>
          </w:tcPr>
          <w:p>
            <w:pPr>
              <w:spacing w:after="0"/>
              <w:rPr>
                <w:sz w:val="18"/>
                <w:szCs w:val="18"/>
                <w:color w:val="auto"/>
              </w:rPr>
            </w:pPr>
          </w:p>
        </w:tc>
        <w:tc>
          <w:tcPr>
            <w:tcW w:w="8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1,901.8</w:t>
            </w:r>
          </w:p>
        </w:tc>
        <w:tc>
          <w:tcPr>
            <w:tcW w:w="60" w:type="dxa"/>
            <w:vAlign w:val="bottom"/>
            <w:tcBorders>
              <w:bottom w:val="single" w:sz="8" w:color="auto"/>
            </w:tcBorders>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160" w:type="dxa"/>
            <w:vAlign w:val="bottom"/>
            <w:tcBorders>
              <w:bottom w:val="single" w:sz="8" w:color="auto"/>
            </w:tcBorders>
            <w:shd w:val="clear" w:color="auto" w:fill="CDEAFA"/>
          </w:tcPr>
          <w:p>
            <w:pPr>
              <w:spacing w:after="0"/>
              <w:rPr>
                <w:sz w:val="18"/>
                <w:szCs w:val="18"/>
                <w:color w:val="auto"/>
              </w:rPr>
            </w:pPr>
          </w:p>
        </w:tc>
        <w:tc>
          <w:tcPr>
            <w:tcW w:w="1060" w:type="dxa"/>
            <w:vAlign w:val="bottom"/>
            <w:tcBorders>
              <w:bottom w:val="single" w:sz="8" w:color="auto"/>
            </w:tcBorders>
            <w:gridSpan w:val="2"/>
            <w:shd w:val="clear" w:color="auto" w:fill="CDEAFA"/>
          </w:tcPr>
          <w:p>
            <w:pPr>
              <w:jc w:val="right"/>
              <w:ind w:right="80"/>
              <w:spacing w:after="0"/>
              <w:rPr>
                <w:sz w:val="20"/>
                <w:szCs w:val="20"/>
                <w:color w:val="auto"/>
              </w:rPr>
            </w:pPr>
            <w:r>
              <w:rPr>
                <w:rFonts w:ascii="Arial" w:cs="Arial" w:eastAsia="Arial" w:hAnsi="Arial"/>
                <w:sz w:val="18"/>
                <w:szCs w:val="18"/>
                <w:color w:val="auto"/>
              </w:rPr>
              <w:t>1,203.2</w:t>
            </w:r>
          </w:p>
        </w:tc>
        <w:tc>
          <w:tcPr>
            <w:tcW w:w="12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160" w:type="dxa"/>
            <w:vAlign w:val="bottom"/>
            <w:tcBorders>
              <w:bottom w:val="single" w:sz="8" w:color="auto"/>
            </w:tcBorders>
            <w:shd w:val="clear" w:color="auto" w:fill="CDEAFA"/>
          </w:tcPr>
          <w:p>
            <w:pPr>
              <w:spacing w:after="0"/>
              <w:rPr>
                <w:sz w:val="18"/>
                <w:szCs w:val="18"/>
                <w:color w:val="auto"/>
              </w:rPr>
            </w:pPr>
          </w:p>
        </w:tc>
        <w:tc>
          <w:tcPr>
            <w:tcW w:w="1080" w:type="dxa"/>
            <w:vAlign w:val="bottom"/>
            <w:tcBorders>
              <w:bottom w:val="single" w:sz="8" w:color="auto"/>
            </w:tcBorders>
            <w:gridSpan w:val="2"/>
            <w:shd w:val="clear" w:color="auto" w:fill="CDEAFA"/>
          </w:tcPr>
          <w:p>
            <w:pPr>
              <w:jc w:val="right"/>
              <w:ind w:right="10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4400" w:type="dxa"/>
            <w:vAlign w:val="bottom"/>
            <w:gridSpan w:val="3"/>
          </w:tcPr>
          <w:p>
            <w:pPr>
              <w:spacing w:after="0" w:line="195" w:lineRule="exact"/>
              <w:rPr>
                <w:sz w:val="20"/>
                <w:szCs w:val="20"/>
                <w:color w:val="auto"/>
              </w:rPr>
            </w:pPr>
            <w:r>
              <w:rPr>
                <w:rFonts w:ascii="Arial" w:cs="Arial" w:eastAsia="Arial" w:hAnsi="Arial"/>
                <w:sz w:val="18"/>
                <w:szCs w:val="18"/>
                <w:color w:val="auto"/>
              </w:rPr>
              <w:t>Immuno-oncology:</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7"/>
          </w:tcPr>
          <w:p>
            <w:pPr>
              <w:ind w:left="180"/>
              <w:spacing w:after="0"/>
              <w:rPr>
                <w:sz w:val="20"/>
                <w:szCs w:val="20"/>
                <w:color w:val="auto"/>
              </w:rPr>
            </w:pPr>
            <w:r>
              <w:rPr>
                <w:rFonts w:ascii="Arial" w:cs="Arial" w:eastAsia="Arial" w:hAnsi="Arial"/>
                <w:sz w:val="18"/>
                <w:szCs w:val="18"/>
                <w:color w:val="auto"/>
              </w:rPr>
              <w:t>Regeneron’s share of losses in connection with commercialization of</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20" w:type="dxa"/>
            <w:vAlign w:val="bottom"/>
            <w:gridSpan w:val="2"/>
          </w:tcPr>
          <w:p>
            <w:pPr>
              <w:ind w:left="80"/>
              <w:spacing w:after="0"/>
              <w:rPr>
                <w:sz w:val="20"/>
                <w:szCs w:val="20"/>
                <w:color w:val="auto"/>
              </w:rPr>
            </w:pPr>
            <w:r>
              <w:rPr>
                <w:rFonts w:ascii="Arial" w:cs="Arial" w:eastAsia="Arial" w:hAnsi="Arial"/>
                <w:sz w:val="18"/>
                <w:szCs w:val="18"/>
                <w:color w:val="auto"/>
              </w:rPr>
              <w:t>Libtayo outside the United States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620" w:type="dxa"/>
            <w:vAlign w:val="bottom"/>
            <w:gridSpan w:val="4"/>
            <w:shd w:val="clear" w:color="auto" w:fill="CDEAFA"/>
          </w:tcPr>
          <w:p>
            <w:pPr>
              <w:ind w:left="180"/>
              <w:spacing w:after="0" w:line="270" w:lineRule="exact"/>
              <w:rPr>
                <w:sz w:val="20"/>
                <w:szCs w:val="20"/>
                <w:color w:val="auto"/>
              </w:rPr>
            </w:pPr>
            <w:r>
              <w:rPr>
                <w:rFonts w:ascii="Arial" w:cs="Arial" w:eastAsia="Arial" w:hAnsi="Arial"/>
                <w:sz w:val="18"/>
                <w:szCs w:val="18"/>
                <w:color w:val="auto"/>
                <w:w w:val="91"/>
              </w:rPr>
              <w:t>Reimbursement for manufacturing of commercial supplies</w:t>
            </w:r>
            <w:r>
              <w:rPr>
                <w:rFonts w:ascii="Arial" w:cs="Arial" w:eastAsia="Arial" w:hAnsi="Arial"/>
                <w:sz w:val="29"/>
                <w:szCs w:val="29"/>
                <w:color w:val="auto"/>
                <w:w w:val="91"/>
                <w:vertAlign w:val="superscript"/>
              </w:rPr>
              <w:t>(1)</w:t>
            </w:r>
          </w:p>
        </w:tc>
        <w:tc>
          <w:tcPr>
            <w:tcW w:w="960" w:type="dxa"/>
            <w:vAlign w:val="bottom"/>
            <w:shd w:val="clear" w:color="auto" w:fill="CDEAFA"/>
          </w:tcPr>
          <w:p>
            <w:pPr>
              <w:spacing w:after="0"/>
              <w:rPr>
                <w:sz w:val="23"/>
                <w:szCs w:val="23"/>
                <w:color w:val="auto"/>
              </w:rPr>
            </w:pPr>
          </w:p>
        </w:tc>
        <w:tc>
          <w:tcPr>
            <w:tcW w:w="240" w:type="dxa"/>
            <w:vAlign w:val="bottom"/>
            <w:shd w:val="clear" w:color="auto" w:fill="CDEAFA"/>
          </w:tcPr>
          <w:p>
            <w:pPr>
              <w:spacing w:after="0"/>
              <w:rPr>
                <w:sz w:val="23"/>
                <w:szCs w:val="23"/>
                <w:color w:val="auto"/>
              </w:rPr>
            </w:pPr>
          </w:p>
        </w:tc>
        <w:tc>
          <w:tcPr>
            <w:tcW w:w="40" w:type="dxa"/>
            <w:vAlign w:val="bottom"/>
            <w:tcBorders>
              <w:bottom w:val="single" w:sz="8" w:color="auto"/>
            </w:tcBorders>
            <w:shd w:val="clear" w:color="auto" w:fill="CDEAFA"/>
          </w:tcPr>
          <w:p>
            <w:pPr>
              <w:spacing w:after="0"/>
              <w:rPr>
                <w:sz w:val="23"/>
                <w:szCs w:val="23"/>
                <w:color w:val="auto"/>
              </w:rPr>
            </w:pPr>
          </w:p>
        </w:tc>
        <w:tc>
          <w:tcPr>
            <w:tcW w:w="280" w:type="dxa"/>
            <w:vAlign w:val="bottom"/>
            <w:tcBorders>
              <w:bottom w:val="single" w:sz="8" w:color="auto"/>
            </w:tcBorders>
            <w:shd w:val="clear" w:color="auto" w:fill="CDEAFA"/>
          </w:tcPr>
          <w:p>
            <w:pPr>
              <w:spacing w:after="0"/>
              <w:rPr>
                <w:sz w:val="23"/>
                <w:szCs w:val="23"/>
                <w:color w:val="auto"/>
              </w:rPr>
            </w:pPr>
          </w:p>
        </w:tc>
        <w:tc>
          <w:tcPr>
            <w:tcW w:w="8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14.0</w:t>
            </w:r>
          </w:p>
        </w:tc>
        <w:tc>
          <w:tcPr>
            <w:tcW w:w="60" w:type="dxa"/>
            <w:vAlign w:val="bottom"/>
            <w:tcBorders>
              <w:bottom w:val="single" w:sz="8" w:color="auto"/>
            </w:tcBorders>
            <w:shd w:val="clear" w:color="auto" w:fill="CDEAFA"/>
          </w:tcPr>
          <w:p>
            <w:pPr>
              <w:spacing w:after="0"/>
              <w:rPr>
                <w:sz w:val="23"/>
                <w:szCs w:val="23"/>
                <w:color w:val="auto"/>
              </w:rPr>
            </w:pPr>
          </w:p>
        </w:tc>
        <w:tc>
          <w:tcPr>
            <w:tcW w:w="240" w:type="dxa"/>
            <w:vAlign w:val="bottom"/>
            <w:shd w:val="clear" w:color="auto" w:fill="CDEAFA"/>
          </w:tcPr>
          <w:p>
            <w:pPr>
              <w:spacing w:after="0"/>
              <w:rPr>
                <w:sz w:val="23"/>
                <w:szCs w:val="23"/>
                <w:color w:val="auto"/>
              </w:rPr>
            </w:pPr>
          </w:p>
        </w:tc>
        <w:tc>
          <w:tcPr>
            <w:tcW w:w="60" w:type="dxa"/>
            <w:vAlign w:val="bottom"/>
            <w:shd w:val="clear" w:color="auto" w:fill="CDEAFA"/>
          </w:tcPr>
          <w:p>
            <w:pPr>
              <w:spacing w:after="0"/>
              <w:rPr>
                <w:sz w:val="23"/>
                <w:szCs w:val="23"/>
                <w:color w:val="auto"/>
              </w:rPr>
            </w:pPr>
          </w:p>
        </w:tc>
        <w:tc>
          <w:tcPr>
            <w:tcW w:w="160" w:type="dxa"/>
            <w:vAlign w:val="bottom"/>
            <w:tcBorders>
              <w:bottom w:val="single" w:sz="8" w:color="auto"/>
            </w:tcBorders>
            <w:shd w:val="clear" w:color="auto" w:fill="CDEAFA"/>
          </w:tcPr>
          <w:p>
            <w:pPr>
              <w:spacing w:after="0"/>
              <w:rPr>
                <w:sz w:val="23"/>
                <w:szCs w:val="23"/>
                <w:color w:val="auto"/>
              </w:rPr>
            </w:pPr>
          </w:p>
        </w:tc>
        <w:tc>
          <w:tcPr>
            <w:tcW w:w="1060" w:type="dxa"/>
            <w:vAlign w:val="bottom"/>
            <w:tcBorders>
              <w:bottom w:val="single" w:sz="8" w:color="auto"/>
            </w:tcBorders>
            <w:gridSpan w:val="2"/>
            <w:shd w:val="clear" w:color="auto" w:fill="CDEAFA"/>
          </w:tcPr>
          <w:p>
            <w:pPr>
              <w:jc w:val="right"/>
              <w:ind w:right="8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DEAFA"/>
          </w:tcPr>
          <w:p>
            <w:pPr>
              <w:spacing w:after="0"/>
              <w:rPr>
                <w:sz w:val="23"/>
                <w:szCs w:val="23"/>
                <w:color w:val="auto"/>
              </w:rPr>
            </w:pPr>
          </w:p>
        </w:tc>
        <w:tc>
          <w:tcPr>
            <w:tcW w:w="180" w:type="dxa"/>
            <w:vAlign w:val="bottom"/>
            <w:shd w:val="clear" w:color="auto" w:fill="CDEAFA"/>
          </w:tcPr>
          <w:p>
            <w:pPr>
              <w:spacing w:after="0"/>
              <w:rPr>
                <w:sz w:val="23"/>
                <w:szCs w:val="23"/>
                <w:color w:val="auto"/>
              </w:rPr>
            </w:pPr>
          </w:p>
        </w:tc>
        <w:tc>
          <w:tcPr>
            <w:tcW w:w="160" w:type="dxa"/>
            <w:vAlign w:val="bottom"/>
            <w:tcBorders>
              <w:bottom w:val="single" w:sz="8" w:color="auto"/>
            </w:tcBorders>
            <w:shd w:val="clear" w:color="auto" w:fill="CDEAFA"/>
          </w:tcPr>
          <w:p>
            <w:pPr>
              <w:spacing w:after="0"/>
              <w:rPr>
                <w:sz w:val="23"/>
                <w:szCs w:val="23"/>
                <w:color w:val="auto"/>
              </w:rPr>
            </w:pPr>
          </w:p>
        </w:tc>
        <w:tc>
          <w:tcPr>
            <w:tcW w:w="1080" w:type="dxa"/>
            <w:vAlign w:val="bottom"/>
            <w:tcBorders>
              <w:bottom w:val="single" w:sz="8" w:color="auto"/>
            </w:tcBorders>
            <w:gridSpan w:val="2"/>
            <w:shd w:val="clear" w:color="auto" w:fill="CDEAF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00" w:type="dxa"/>
            <w:vAlign w:val="bottom"/>
            <w:tcBorders>
              <w:bottom w:val="single" w:sz="8" w:color="CDEAFA"/>
            </w:tcBorders>
            <w:gridSpan w:val="3"/>
          </w:tcPr>
          <w:p>
            <w:pPr>
              <w:spacing w:after="0"/>
              <w:rPr>
                <w:sz w:val="20"/>
                <w:szCs w:val="20"/>
                <w:color w:val="auto"/>
              </w:rPr>
            </w:pPr>
            <w:r>
              <w:rPr>
                <w:rFonts w:ascii="Arial" w:cs="Arial" w:eastAsia="Arial" w:hAnsi="Arial"/>
                <w:sz w:val="18"/>
                <w:szCs w:val="18"/>
                <w:color w:val="auto"/>
              </w:rPr>
              <w:t>Total Immuno-oncology</w:t>
            </w:r>
          </w:p>
        </w:tc>
        <w:tc>
          <w:tcPr>
            <w:tcW w:w="220" w:type="dxa"/>
            <w:vAlign w:val="bottom"/>
            <w:tcBorders>
              <w:bottom w:val="single" w:sz="8" w:color="CDEAFA"/>
            </w:tcBorders>
          </w:tcPr>
          <w:p>
            <w:pPr>
              <w:spacing w:after="0"/>
              <w:rPr>
                <w:sz w:val="18"/>
                <w:szCs w:val="18"/>
                <w:color w:val="auto"/>
              </w:rPr>
            </w:pPr>
          </w:p>
        </w:tc>
        <w:tc>
          <w:tcPr>
            <w:tcW w:w="960" w:type="dxa"/>
            <w:vAlign w:val="bottom"/>
            <w:tcBorders>
              <w:bottom w:val="single" w:sz="8" w:color="CDEAFA"/>
            </w:tcBorders>
          </w:tcPr>
          <w:p>
            <w:pPr>
              <w:spacing w:after="0"/>
              <w:rPr>
                <w:sz w:val="18"/>
                <w:szCs w:val="18"/>
                <w:color w:val="auto"/>
              </w:rPr>
            </w:pPr>
          </w:p>
        </w:tc>
        <w:tc>
          <w:tcPr>
            <w:tcW w:w="240" w:type="dxa"/>
            <w:vAlign w:val="bottom"/>
            <w:tcBorders>
              <w:bottom w:val="single" w:sz="8" w:color="CDEAFA"/>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DEAFA"/>
            </w:tcBorders>
          </w:tcPr>
          <w:p>
            <w:pPr>
              <w:spacing w:after="0"/>
              <w:rPr>
                <w:sz w:val="18"/>
                <w:szCs w:val="18"/>
                <w:color w:val="auto"/>
              </w:rPr>
            </w:pPr>
          </w:p>
        </w:tc>
        <w:tc>
          <w:tcPr>
            <w:tcW w:w="60" w:type="dxa"/>
            <w:vAlign w:val="bottom"/>
            <w:tcBorders>
              <w:bottom w:val="single" w:sz="8" w:color="CDEAF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DEAFA"/>
            </w:tcBorders>
          </w:tcPr>
          <w:p>
            <w:pPr>
              <w:spacing w:after="0"/>
              <w:rPr>
                <w:sz w:val="18"/>
                <w:szCs w:val="18"/>
                <w:color w:val="auto"/>
              </w:rPr>
            </w:pPr>
          </w:p>
        </w:tc>
        <w:tc>
          <w:tcPr>
            <w:tcW w:w="180" w:type="dxa"/>
            <w:vAlign w:val="bottom"/>
            <w:tcBorders>
              <w:bottom w:val="single" w:sz="8" w:color="CDEAF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DEAFA"/>
            </w:tcBorders>
            <w:gridSpan w:val="3"/>
            <w:shd w:val="clear" w:color="auto" w:fill="CDEAFA"/>
          </w:tcPr>
          <w:p>
            <w:pPr>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bottom w:val="single" w:sz="8" w:color="CDEAFA"/>
            </w:tcBorders>
            <w:shd w:val="clear" w:color="auto" w:fill="CDEAFA"/>
          </w:tcPr>
          <w:p>
            <w:pPr>
              <w:spacing w:after="0"/>
              <w:rPr>
                <w:sz w:val="19"/>
                <w:szCs w:val="19"/>
                <w:color w:val="auto"/>
              </w:rPr>
            </w:pPr>
          </w:p>
        </w:tc>
        <w:tc>
          <w:tcPr>
            <w:tcW w:w="960" w:type="dxa"/>
            <w:vAlign w:val="bottom"/>
            <w:tcBorders>
              <w:bottom w:val="single" w:sz="8" w:color="CDEAFA"/>
            </w:tcBorders>
            <w:shd w:val="clear" w:color="auto" w:fill="CDEAFA"/>
          </w:tcPr>
          <w:p>
            <w:pPr>
              <w:spacing w:after="0"/>
              <w:rPr>
                <w:sz w:val="19"/>
                <w:szCs w:val="19"/>
                <w:color w:val="auto"/>
              </w:rPr>
            </w:pPr>
          </w:p>
        </w:tc>
        <w:tc>
          <w:tcPr>
            <w:tcW w:w="240" w:type="dxa"/>
            <w:vAlign w:val="bottom"/>
            <w:tcBorders>
              <w:bottom w:val="single" w:sz="8" w:color="CDEAFA"/>
            </w:tcBorders>
            <w:shd w:val="clear" w:color="auto" w:fill="CDEAFA"/>
          </w:tcPr>
          <w:p>
            <w:pPr>
              <w:spacing w:after="0"/>
              <w:rPr>
                <w:sz w:val="19"/>
                <w:szCs w:val="19"/>
                <w:color w:val="auto"/>
              </w:rPr>
            </w:pPr>
          </w:p>
        </w:tc>
        <w:tc>
          <w:tcPr>
            <w:tcW w:w="40" w:type="dxa"/>
            <w:vAlign w:val="bottom"/>
            <w:tcBorders>
              <w:bottom w:val="single" w:sz="8" w:color="auto"/>
            </w:tcBorders>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jc w:val="right"/>
              <w:ind w:right="11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1,902.2</w:t>
            </w:r>
          </w:p>
        </w:tc>
        <w:tc>
          <w:tcPr>
            <w:tcW w:w="60" w:type="dxa"/>
            <w:vAlign w:val="bottom"/>
            <w:tcBorders>
              <w:bottom w:val="single" w:sz="8" w:color="auto"/>
            </w:tcBorders>
            <w:shd w:val="clear" w:color="auto" w:fill="CDEAFA"/>
          </w:tcPr>
          <w:p>
            <w:pPr>
              <w:spacing w:after="0"/>
              <w:rPr>
                <w:sz w:val="19"/>
                <w:szCs w:val="19"/>
                <w:color w:val="auto"/>
              </w:rPr>
            </w:pPr>
          </w:p>
        </w:tc>
        <w:tc>
          <w:tcPr>
            <w:tcW w:w="240" w:type="dxa"/>
            <w:vAlign w:val="bottom"/>
            <w:tcBorders>
              <w:bottom w:val="single" w:sz="8" w:color="CDEAFA"/>
            </w:tcBorders>
            <w:shd w:val="clear" w:color="auto" w:fill="CDEAFA"/>
          </w:tcPr>
          <w:p>
            <w:pPr>
              <w:spacing w:after="0"/>
              <w:rPr>
                <w:sz w:val="19"/>
                <w:szCs w:val="19"/>
                <w:color w:val="auto"/>
              </w:rPr>
            </w:pPr>
          </w:p>
        </w:tc>
        <w:tc>
          <w:tcPr>
            <w:tcW w:w="60" w:type="dxa"/>
            <w:vAlign w:val="bottom"/>
            <w:tcBorders>
              <w:bottom w:val="single" w:sz="8" w:color="CDEAFA"/>
            </w:tcBorders>
            <w:shd w:val="clear" w:color="auto" w:fill="CDEAFA"/>
          </w:tcPr>
          <w:p>
            <w:pPr>
              <w:spacing w:after="0"/>
              <w:rPr>
                <w:sz w:val="19"/>
                <w:szCs w:val="19"/>
                <w:color w:val="auto"/>
              </w:rPr>
            </w:pPr>
          </w:p>
        </w:tc>
        <w:tc>
          <w:tcPr>
            <w:tcW w:w="16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DEAFA"/>
          </w:tcPr>
          <w:p>
            <w:pPr>
              <w:jc w:val="right"/>
              <w:ind w:right="80"/>
              <w:spacing w:after="0"/>
              <w:rPr>
                <w:sz w:val="20"/>
                <w:szCs w:val="20"/>
                <w:color w:val="auto"/>
              </w:rPr>
            </w:pPr>
            <w:r>
              <w:rPr>
                <w:rFonts w:ascii="Arial" w:cs="Arial" w:eastAsia="Arial" w:hAnsi="Arial"/>
                <w:sz w:val="18"/>
                <w:szCs w:val="18"/>
                <w:color w:val="auto"/>
              </w:rPr>
              <w:t>1,186.4</w:t>
            </w:r>
          </w:p>
        </w:tc>
        <w:tc>
          <w:tcPr>
            <w:tcW w:w="120" w:type="dxa"/>
            <w:vAlign w:val="bottom"/>
            <w:tcBorders>
              <w:bottom w:val="single" w:sz="8" w:color="CDEAFA"/>
            </w:tcBorders>
            <w:shd w:val="clear" w:color="auto" w:fill="CDEAFA"/>
          </w:tcPr>
          <w:p>
            <w:pPr>
              <w:spacing w:after="0"/>
              <w:rPr>
                <w:sz w:val="19"/>
                <w:szCs w:val="19"/>
                <w:color w:val="auto"/>
              </w:rPr>
            </w:pPr>
          </w:p>
        </w:tc>
        <w:tc>
          <w:tcPr>
            <w:tcW w:w="180" w:type="dxa"/>
            <w:vAlign w:val="bottom"/>
            <w:tcBorders>
              <w:bottom w:val="single" w:sz="8" w:color="CDEAFA"/>
            </w:tcBorders>
            <w:shd w:val="clear" w:color="auto" w:fill="CDEAFA"/>
          </w:tcPr>
          <w:p>
            <w:pPr>
              <w:spacing w:after="0"/>
              <w:rPr>
                <w:sz w:val="19"/>
                <w:szCs w:val="19"/>
                <w:color w:val="auto"/>
              </w:rPr>
            </w:pPr>
          </w:p>
        </w:tc>
        <w:tc>
          <w:tcPr>
            <w:tcW w:w="16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DEAFA"/>
          </w:tcPr>
          <w:p>
            <w:pPr>
              <w:jc w:val="right"/>
              <w:ind w:right="10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980" w:hanging="186"/>
        <w:spacing w:after="0"/>
        <w:tabs>
          <w:tab w:leader="none" w:pos="98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Corresponding costs incurred by us in connection with such production is recorded within Cost of collaboration and contract manufacturing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Antibody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our share of profits in connection with commercialization of antibodies in 2021, compared to 2020, was driven by higher Dupixent profits.</w:t>
      </w:r>
    </w:p>
    <w:p>
      <w:pPr>
        <w:spacing w:after="0" w:line="2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each of the years ended December 31, 2021 and 2020, the Company earned $50.0 million sales-based milestones from Sanofi, upon aggregate annual sales of antibodies outside the United States (including Praluent) exceeding $1.5 billion and $1.0 billion, respectively, on a rolling twelve-month basis. We are entitled to receive up to an aggregate of $150.0 million in additional milestone payments from Sanofi, which includes the next sales milestone payment of $50.0 million that would be earned when such sales outside the United States exceed $2.0 billion on a rolling twelve-month basis.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reimbursements for manufacturing of commercial supplies in 2021, compared to 2020, was primarily due to higher Dupixent sales, as revenue for such cost reimbursements is recognized when the product is sold by Sanofi to third-party customers.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Regeneron’s share of profits in connection with the commercialization of Dupixent, Praluent (through March 31, 2020), and Kevzara is summarized below:</w:t>
      </w: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46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DEAFA"/>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DEAF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DEAFA"/>
            </w:tcBorders>
            <w:shd w:val="clear" w:color="auto" w:fill="CDEAFA"/>
          </w:tcPr>
          <w:p>
            <w:pPr>
              <w:spacing w:after="0" w:line="263" w:lineRule="exact"/>
              <w:rPr>
                <w:sz w:val="20"/>
                <w:szCs w:val="20"/>
                <w:color w:val="auto"/>
              </w:rPr>
            </w:pPr>
            <w:r>
              <w:rPr>
                <w:rFonts w:ascii="Arial" w:cs="Arial" w:eastAsia="Arial" w:hAnsi="Arial"/>
                <w:sz w:val="18"/>
                <w:szCs w:val="18"/>
                <w:color w:val="auto"/>
              </w:rPr>
              <w:t>Dupixent, Praluent, and Kevzara net product sales</w:t>
            </w:r>
            <w:r>
              <w:rPr>
                <w:rFonts w:ascii="Arial" w:cs="Arial" w:eastAsia="Arial" w:hAnsi="Arial"/>
                <w:sz w:val="29"/>
                <w:szCs w:val="29"/>
                <w:color w:val="auto"/>
                <w:vertAlign w:val="superscript"/>
              </w:rPr>
              <w:t>(1)</w:t>
            </w:r>
          </w:p>
        </w:tc>
        <w:tc>
          <w:tcPr>
            <w:tcW w:w="260" w:type="dxa"/>
            <w:vAlign w:val="bottom"/>
            <w:tcBorders>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6,536.3</w:t>
            </w:r>
          </w:p>
        </w:tc>
        <w:tc>
          <w:tcPr>
            <w:tcW w:w="300" w:type="dxa"/>
            <w:vAlign w:val="bottom"/>
            <w:tcBorders>
              <w:bottom w:val="single" w:sz="8" w:color="CDEAFA"/>
            </w:tcBorders>
            <w:shd w:val="clear" w:color="auto" w:fill="CDEAFA"/>
          </w:tcPr>
          <w:p>
            <w:pPr>
              <w:spacing w:after="0"/>
              <w:rPr>
                <w:sz w:val="22"/>
                <w:szCs w:val="22"/>
                <w:color w:val="auto"/>
              </w:rPr>
            </w:pPr>
          </w:p>
        </w:tc>
        <w:tc>
          <w:tcPr>
            <w:tcW w:w="260" w:type="dxa"/>
            <w:vAlign w:val="bottom"/>
            <w:tcBorders>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4,394.5</w:t>
            </w:r>
          </w:p>
        </w:tc>
        <w:tc>
          <w:tcPr>
            <w:tcW w:w="280" w:type="dxa"/>
            <w:vAlign w:val="bottom"/>
            <w:tcBorders>
              <w:bottom w:val="single" w:sz="8" w:color="CDEAFA"/>
            </w:tcBorders>
            <w:shd w:val="clear" w:color="auto" w:fill="CDEAFA"/>
          </w:tcPr>
          <w:p>
            <w:pPr>
              <w:spacing w:after="0"/>
              <w:rPr>
                <w:sz w:val="22"/>
                <w:szCs w:val="22"/>
                <w:color w:val="auto"/>
              </w:rPr>
            </w:pPr>
          </w:p>
        </w:tc>
        <w:tc>
          <w:tcPr>
            <w:tcW w:w="280" w:type="dxa"/>
            <w:vAlign w:val="bottom"/>
            <w:tcBorders>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2,811.0</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Regeneron’s share of collaboration profits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1,511.5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871.5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02"/>
        </w:trPr>
        <w:tc>
          <w:tcPr>
            <w:tcW w:w="5460" w:type="dxa"/>
            <w:vAlign w:val="bottom"/>
            <w:shd w:val="clear" w:color="auto" w:fill="CDEAFA"/>
          </w:tcPr>
          <w:p>
            <w:pPr>
              <w:spacing w:after="0" w:line="201" w:lineRule="exact"/>
              <w:rPr>
                <w:sz w:val="20"/>
                <w:szCs w:val="20"/>
                <w:color w:val="auto"/>
              </w:rPr>
            </w:pPr>
            <w:r>
              <w:rPr>
                <w:rFonts w:ascii="Arial" w:cs="Arial" w:eastAsia="Arial" w:hAnsi="Arial"/>
                <w:sz w:val="18"/>
                <w:szCs w:val="18"/>
                <w:color w:val="auto"/>
              </w:rPr>
              <w:t>Reimbursement of development expenses incurred by Sanofi in</w:t>
            </w:r>
          </w:p>
        </w:tc>
        <w:tc>
          <w:tcPr>
            <w:tcW w:w="260" w:type="dxa"/>
            <w:vAlign w:val="bottom"/>
            <w:shd w:val="clear" w:color="auto" w:fill="CDEAFA"/>
          </w:tcPr>
          <w:p>
            <w:pPr>
              <w:spacing w:after="0"/>
              <w:rPr>
                <w:sz w:val="17"/>
                <w:szCs w:val="17"/>
                <w:color w:val="auto"/>
              </w:rPr>
            </w:pPr>
          </w:p>
        </w:tc>
        <w:tc>
          <w:tcPr>
            <w:tcW w:w="900" w:type="dxa"/>
            <w:vAlign w:val="bottom"/>
            <w:shd w:val="clear" w:color="auto" w:fill="CDEAFA"/>
          </w:tcPr>
          <w:p>
            <w:pPr>
              <w:spacing w:after="0"/>
              <w:rPr>
                <w:sz w:val="17"/>
                <w:szCs w:val="17"/>
                <w:color w:val="auto"/>
              </w:rPr>
            </w:pPr>
          </w:p>
        </w:tc>
        <w:tc>
          <w:tcPr>
            <w:tcW w:w="300" w:type="dxa"/>
            <w:vAlign w:val="bottom"/>
            <w:shd w:val="clear" w:color="auto" w:fill="CDEAFA"/>
          </w:tcPr>
          <w:p>
            <w:pPr>
              <w:spacing w:after="0"/>
              <w:rPr>
                <w:sz w:val="17"/>
                <w:szCs w:val="17"/>
                <w:color w:val="auto"/>
              </w:rPr>
            </w:pPr>
          </w:p>
        </w:tc>
        <w:tc>
          <w:tcPr>
            <w:tcW w:w="260" w:type="dxa"/>
            <w:vAlign w:val="bottom"/>
            <w:shd w:val="clear" w:color="auto" w:fill="CDEAFA"/>
          </w:tcPr>
          <w:p>
            <w:pPr>
              <w:spacing w:after="0"/>
              <w:rPr>
                <w:sz w:val="17"/>
                <w:szCs w:val="17"/>
                <w:color w:val="auto"/>
              </w:rPr>
            </w:pPr>
          </w:p>
        </w:tc>
        <w:tc>
          <w:tcPr>
            <w:tcW w:w="900" w:type="dxa"/>
            <w:vAlign w:val="bottom"/>
            <w:shd w:val="clear" w:color="auto" w:fill="CDEAFA"/>
          </w:tcPr>
          <w:p>
            <w:pPr>
              <w:spacing w:after="0"/>
              <w:rPr>
                <w:sz w:val="17"/>
                <w:szCs w:val="17"/>
                <w:color w:val="auto"/>
              </w:rPr>
            </w:pPr>
          </w:p>
        </w:tc>
        <w:tc>
          <w:tcPr>
            <w:tcW w:w="280" w:type="dxa"/>
            <w:vAlign w:val="bottom"/>
            <w:shd w:val="clear" w:color="auto" w:fill="CDEAFA"/>
          </w:tcPr>
          <w:p>
            <w:pPr>
              <w:spacing w:after="0"/>
              <w:rPr>
                <w:sz w:val="17"/>
                <w:szCs w:val="17"/>
                <w:color w:val="auto"/>
              </w:rPr>
            </w:pPr>
          </w:p>
        </w:tc>
        <w:tc>
          <w:tcPr>
            <w:tcW w:w="280" w:type="dxa"/>
            <w:vAlign w:val="bottom"/>
            <w:shd w:val="clear" w:color="auto" w:fill="CDEAFA"/>
          </w:tcPr>
          <w:p>
            <w:pPr>
              <w:spacing w:after="0"/>
              <w:rPr>
                <w:sz w:val="17"/>
                <w:szCs w:val="17"/>
                <w:color w:val="auto"/>
              </w:rPr>
            </w:pPr>
          </w:p>
        </w:tc>
        <w:tc>
          <w:tcPr>
            <w:tcW w:w="900" w:type="dxa"/>
            <w:vAlign w:val="bottom"/>
            <w:shd w:val="clear" w:color="auto" w:fill="CDEAF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DEAFA"/>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60" w:type="dxa"/>
            <w:vAlign w:val="bottom"/>
            <w:tcBorders>
              <w:bottom w:val="single" w:sz="8" w:color="auto"/>
            </w:tcBorders>
            <w:shd w:val="clear" w:color="auto" w:fill="CDEAFA"/>
          </w:tcPr>
          <w:p>
            <w:pPr>
              <w:spacing w:after="0"/>
              <w:rPr>
                <w:sz w:val="20"/>
                <w:szCs w:val="20"/>
                <w:color w:val="auto"/>
              </w:rPr>
            </w:pPr>
          </w:p>
        </w:tc>
        <w:tc>
          <w:tcPr>
            <w:tcW w:w="9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(148.5)</w:t>
            </w:r>
          </w:p>
        </w:tc>
        <w:tc>
          <w:tcPr>
            <w:tcW w:w="300" w:type="dxa"/>
            <w:vAlign w:val="bottom"/>
            <w:shd w:val="clear" w:color="auto" w:fill="CDEAFA"/>
          </w:tcPr>
          <w:p>
            <w:pPr>
              <w:spacing w:after="0"/>
              <w:rPr>
                <w:sz w:val="20"/>
                <w:szCs w:val="20"/>
                <w:color w:val="auto"/>
              </w:rPr>
            </w:pPr>
          </w:p>
        </w:tc>
        <w:tc>
          <w:tcPr>
            <w:tcW w:w="260" w:type="dxa"/>
            <w:vAlign w:val="bottom"/>
            <w:tcBorders>
              <w:bottom w:val="single" w:sz="8" w:color="auto"/>
            </w:tcBorders>
            <w:shd w:val="clear" w:color="auto" w:fill="CDEAFA"/>
          </w:tcPr>
          <w:p>
            <w:pPr>
              <w:spacing w:after="0"/>
              <w:rPr>
                <w:sz w:val="20"/>
                <w:szCs w:val="20"/>
                <w:color w:val="auto"/>
              </w:rPr>
            </w:pPr>
          </w:p>
        </w:tc>
        <w:tc>
          <w:tcPr>
            <w:tcW w:w="9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(86.3)</w:t>
            </w:r>
          </w:p>
        </w:tc>
        <w:tc>
          <w:tcPr>
            <w:tcW w:w="280" w:type="dxa"/>
            <w:vAlign w:val="bottom"/>
            <w:shd w:val="clear" w:color="auto" w:fill="CDEAFA"/>
          </w:tcPr>
          <w:p>
            <w:pPr>
              <w:spacing w:after="0"/>
              <w:rPr>
                <w:sz w:val="20"/>
                <w:szCs w:val="20"/>
                <w:color w:val="auto"/>
              </w:rPr>
            </w:pPr>
          </w:p>
        </w:tc>
        <w:tc>
          <w:tcPr>
            <w:tcW w:w="280" w:type="dxa"/>
            <w:vAlign w:val="bottom"/>
            <w:tcBorders>
              <w:bottom w:val="single" w:sz="8" w:color="auto"/>
            </w:tcBorders>
            <w:shd w:val="clear" w:color="auto" w:fill="CDEAFA"/>
          </w:tcPr>
          <w:p>
            <w:pPr>
              <w:spacing w:after="0"/>
              <w:rPr>
                <w:sz w:val="20"/>
                <w:szCs w:val="20"/>
                <w:color w:val="auto"/>
              </w:rPr>
            </w:pPr>
          </w:p>
        </w:tc>
        <w:tc>
          <w:tcPr>
            <w:tcW w:w="9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82"/>
        </w:trPr>
        <w:tc>
          <w:tcPr>
            <w:tcW w:w="5460" w:type="dxa"/>
            <w:vAlign w:val="bottom"/>
          </w:tcPr>
          <w:p>
            <w:pPr>
              <w:spacing w:after="0" w:line="182"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5460" w:type="dxa"/>
            <w:vAlign w:val="bottom"/>
            <w:tcBorders>
              <w:bottom w:val="single" w:sz="8" w:color="CDEAFA"/>
            </w:tcBorders>
          </w:tcPr>
          <w:p>
            <w:pPr>
              <w:ind w:left="180"/>
              <w:spacing w:after="0"/>
              <w:rPr>
                <w:sz w:val="20"/>
                <w:szCs w:val="20"/>
                <w:color w:val="auto"/>
              </w:rPr>
            </w:pPr>
            <w:r>
              <w:rPr>
                <w:rFonts w:ascii="Arial" w:cs="Arial" w:eastAsia="Arial" w:hAnsi="Arial"/>
                <w:sz w:val="18"/>
                <w:szCs w:val="18"/>
                <w:color w:val="auto"/>
              </w:rPr>
              <w:t>antibodies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1,363.0</w:t>
            </w:r>
          </w:p>
        </w:tc>
        <w:tc>
          <w:tcPr>
            <w:tcW w:w="300" w:type="dxa"/>
            <w:vAlign w:val="bottom"/>
            <w:tcBorders>
              <w:bottom w:val="single" w:sz="8" w:color="CDEAFA"/>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785.2</w:t>
            </w:r>
          </w:p>
        </w:tc>
        <w:tc>
          <w:tcPr>
            <w:tcW w:w="280" w:type="dxa"/>
            <w:vAlign w:val="bottom"/>
            <w:tcBorders>
              <w:bottom w:val="single" w:sz="8" w:color="CDEAFA"/>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155"/>
        </w:trPr>
        <w:tc>
          <w:tcPr>
            <w:tcW w:w="5460" w:type="dxa"/>
            <w:vAlign w:val="bottom"/>
            <w:shd w:val="clear" w:color="auto" w:fill="CDEAFA"/>
          </w:tcPr>
          <w:p>
            <w:pPr>
              <w:spacing w:after="0" w:line="155" w:lineRule="exact"/>
              <w:rPr>
                <w:sz w:val="20"/>
                <w:szCs w:val="20"/>
                <w:color w:val="auto"/>
              </w:rPr>
            </w:pPr>
            <w:r>
              <w:rPr>
                <w:rFonts w:ascii="Arial" w:cs="Arial" w:eastAsia="Arial" w:hAnsi="Arial"/>
                <w:sz w:val="17"/>
                <w:szCs w:val="17"/>
                <w:color w:val="auto"/>
              </w:rPr>
              <w:t>Regeneron’s share of collaboration profits as a percentage of Dupixent,</w:t>
            </w:r>
          </w:p>
        </w:tc>
        <w:tc>
          <w:tcPr>
            <w:tcW w:w="260" w:type="dxa"/>
            <w:vAlign w:val="bottom"/>
            <w:shd w:val="clear" w:color="auto" w:fill="CDEAFA"/>
          </w:tcPr>
          <w:p>
            <w:pPr>
              <w:spacing w:after="0"/>
              <w:rPr>
                <w:sz w:val="13"/>
                <w:szCs w:val="13"/>
                <w:color w:val="auto"/>
              </w:rPr>
            </w:pPr>
          </w:p>
        </w:tc>
        <w:tc>
          <w:tcPr>
            <w:tcW w:w="900" w:type="dxa"/>
            <w:vAlign w:val="bottom"/>
            <w:shd w:val="clear" w:color="auto" w:fill="CDEAFA"/>
          </w:tcPr>
          <w:p>
            <w:pPr>
              <w:spacing w:after="0"/>
              <w:rPr>
                <w:sz w:val="13"/>
                <w:szCs w:val="13"/>
                <w:color w:val="auto"/>
              </w:rPr>
            </w:pPr>
          </w:p>
        </w:tc>
        <w:tc>
          <w:tcPr>
            <w:tcW w:w="300" w:type="dxa"/>
            <w:vAlign w:val="bottom"/>
            <w:shd w:val="clear" w:color="auto" w:fill="CDEAFA"/>
          </w:tcPr>
          <w:p>
            <w:pPr>
              <w:spacing w:after="0"/>
              <w:rPr>
                <w:sz w:val="13"/>
                <w:szCs w:val="13"/>
                <w:color w:val="auto"/>
              </w:rPr>
            </w:pPr>
          </w:p>
        </w:tc>
        <w:tc>
          <w:tcPr>
            <w:tcW w:w="260" w:type="dxa"/>
            <w:vAlign w:val="bottom"/>
            <w:shd w:val="clear" w:color="auto" w:fill="CDEAFA"/>
          </w:tcPr>
          <w:p>
            <w:pPr>
              <w:spacing w:after="0"/>
              <w:rPr>
                <w:sz w:val="13"/>
                <w:szCs w:val="13"/>
                <w:color w:val="auto"/>
              </w:rPr>
            </w:pPr>
          </w:p>
        </w:tc>
        <w:tc>
          <w:tcPr>
            <w:tcW w:w="900" w:type="dxa"/>
            <w:vAlign w:val="bottom"/>
            <w:shd w:val="clear" w:color="auto" w:fill="CDEAFA"/>
          </w:tcPr>
          <w:p>
            <w:pPr>
              <w:spacing w:after="0"/>
              <w:rPr>
                <w:sz w:val="13"/>
                <w:szCs w:val="13"/>
                <w:color w:val="auto"/>
              </w:rPr>
            </w:pPr>
          </w:p>
        </w:tc>
        <w:tc>
          <w:tcPr>
            <w:tcW w:w="280" w:type="dxa"/>
            <w:vAlign w:val="bottom"/>
            <w:shd w:val="clear" w:color="auto" w:fill="CDEAFA"/>
          </w:tcPr>
          <w:p>
            <w:pPr>
              <w:spacing w:after="0"/>
              <w:rPr>
                <w:sz w:val="13"/>
                <w:szCs w:val="13"/>
                <w:color w:val="auto"/>
              </w:rPr>
            </w:pPr>
          </w:p>
        </w:tc>
        <w:tc>
          <w:tcPr>
            <w:tcW w:w="280" w:type="dxa"/>
            <w:vAlign w:val="bottom"/>
            <w:shd w:val="clear" w:color="auto" w:fill="CDEAFA"/>
          </w:tcPr>
          <w:p>
            <w:pPr>
              <w:spacing w:after="0"/>
              <w:rPr>
                <w:sz w:val="13"/>
                <w:szCs w:val="13"/>
                <w:color w:val="auto"/>
              </w:rPr>
            </w:pPr>
          </w:p>
        </w:tc>
        <w:tc>
          <w:tcPr>
            <w:tcW w:w="900" w:type="dxa"/>
            <w:vAlign w:val="bottom"/>
            <w:shd w:val="clear" w:color="auto" w:fill="CDEAFA"/>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DEAFA"/>
          </w:tcPr>
          <w:p>
            <w:pPr>
              <w:ind w:left="180"/>
              <w:spacing w:after="0"/>
              <w:rPr>
                <w:sz w:val="20"/>
                <w:szCs w:val="20"/>
                <w:color w:val="auto"/>
              </w:rPr>
            </w:pPr>
            <w:r>
              <w:rPr>
                <w:rFonts w:ascii="Arial" w:cs="Arial" w:eastAsia="Arial" w:hAnsi="Arial"/>
                <w:sz w:val="18"/>
                <w:szCs w:val="18"/>
                <w:color w:val="auto"/>
              </w:rPr>
              <w:t>Praluent, and Kevzara net product sales</w:t>
            </w:r>
          </w:p>
        </w:tc>
        <w:tc>
          <w:tcPr>
            <w:tcW w:w="260" w:type="dxa"/>
            <w:vAlign w:val="bottom"/>
            <w:shd w:val="clear" w:color="auto" w:fill="CDEAFA"/>
          </w:tcPr>
          <w:p>
            <w:pPr>
              <w:spacing w:after="0"/>
              <w:rPr>
                <w:sz w:val="20"/>
                <w:szCs w:val="20"/>
                <w:color w:val="auto"/>
              </w:rPr>
            </w:pP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DEAFA"/>
          </w:tcPr>
          <w:p>
            <w:pPr>
              <w:spacing w:after="0"/>
              <w:rPr>
                <w:sz w:val="20"/>
                <w:szCs w:val="20"/>
                <w:color w:val="auto"/>
              </w:rPr>
            </w:pPr>
          </w:p>
        </w:tc>
        <w:tc>
          <w:tcPr>
            <w:tcW w:w="260" w:type="dxa"/>
            <w:vAlign w:val="bottom"/>
            <w:shd w:val="clear" w:color="auto" w:fill="CDEAFA"/>
          </w:tcPr>
          <w:p>
            <w:pPr>
              <w:spacing w:after="0"/>
              <w:rPr>
                <w:sz w:val="20"/>
                <w:szCs w:val="20"/>
                <w:color w:val="auto"/>
              </w:rPr>
            </w:pP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DEAFA"/>
          </w:tcPr>
          <w:p>
            <w:pPr>
              <w:spacing w:after="0"/>
              <w:rPr>
                <w:sz w:val="20"/>
                <w:szCs w:val="20"/>
                <w:color w:val="auto"/>
              </w:rPr>
            </w:pPr>
          </w:p>
        </w:tc>
        <w:tc>
          <w:tcPr>
            <w:tcW w:w="280" w:type="dxa"/>
            <w:vAlign w:val="bottom"/>
            <w:shd w:val="clear" w:color="auto" w:fill="CDEAFA"/>
          </w:tcPr>
          <w:p>
            <w:pPr>
              <w:spacing w:after="0"/>
              <w:rPr>
                <w:sz w:val="20"/>
                <w:szCs w:val="20"/>
                <w:color w:val="auto"/>
              </w:rPr>
            </w:pP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1140" w:right="1160" w:hanging="9"/>
        <w:spacing w:after="0" w:line="247" w:lineRule="auto"/>
        <w:tabs>
          <w:tab w:leader="none" w:pos="1331"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Global net product sales of Dupixent and Kevzara are recorded by Sanofi. The quarter ended March 31, 2020 was the last quarter for which Sanofi and the Company shared profits and losses in connection with Sanofi’s global net sales and the related commercialization of Praluent (see further details below); therefore, the quarter ended March 31, 2020 was the last quarter for which net product sales of Praluent were included in the table above.</w:t>
      </w:r>
    </w:p>
    <w:p>
      <w:pPr>
        <w:spacing w:after="0" w:line="191"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As described in Part I, Item 1. “Business - Collaboration, License, and Other Agreements - Sanofi - Antibody”, effective April 1, 2020, the Company became solely responsible for the development and commercialization of Praluent in the United States. Under the new agreement, Sanofi is solely responsible for the development and commercialization of Praluent outside of the United States, and pays the Company a 5% royalty on Sanofi’s net product sales of Praluent outside the United States.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1"/>
              </w:rPr>
              <w:t>Bayer Collaboration Revenue</w:t>
            </w:r>
          </w:p>
        </w:tc>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6320" w:type="dxa"/>
            <w:vAlign w:val="bottom"/>
            <w:gridSpan w:val="3"/>
            <w:vMerge w:val="restart"/>
          </w:tcPr>
          <w:p>
            <w:pPr>
              <w:ind w:left="86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5460" w:type="dxa"/>
            <w:vAlign w:val="bottom"/>
            <w:tcBorders>
              <w:top w:val="single" w:sz="8" w:color="CDEAFA"/>
            </w:tcBorders>
            <w:gridSpan w:val="2"/>
            <w:shd w:val="clear" w:color="auto" w:fill="CDEAFA"/>
          </w:tcPr>
          <w:p>
            <w:pPr>
              <w:spacing w:after="0" w:line="182" w:lineRule="exact"/>
              <w:rPr>
                <w:sz w:val="20"/>
                <w:szCs w:val="20"/>
                <w:color w:val="auto"/>
              </w:rPr>
            </w:pPr>
            <w:r>
              <w:rPr>
                <w:rFonts w:ascii="Arial" w:cs="Arial" w:eastAsia="Arial" w:hAnsi="Arial"/>
                <w:sz w:val="18"/>
                <w:szCs w:val="18"/>
                <w:color w:val="auto"/>
              </w:rPr>
              <w:t>Regeneron’s net profit in connection with commercialization of</w:t>
            </w:r>
          </w:p>
        </w:tc>
        <w:tc>
          <w:tcPr>
            <w:tcW w:w="260" w:type="dxa"/>
            <w:vAlign w:val="bottom"/>
            <w:tcBorders>
              <w:top w:val="single" w:sz="8" w:color="auto"/>
            </w:tcBorders>
            <w:shd w:val="clear" w:color="auto" w:fill="CDEAFA"/>
          </w:tcPr>
          <w:p>
            <w:pPr>
              <w:spacing w:after="0"/>
              <w:rPr>
                <w:sz w:val="15"/>
                <w:szCs w:val="15"/>
                <w:color w:val="auto"/>
              </w:rPr>
            </w:pPr>
          </w:p>
        </w:tc>
        <w:tc>
          <w:tcPr>
            <w:tcW w:w="900" w:type="dxa"/>
            <w:vAlign w:val="bottom"/>
            <w:tcBorders>
              <w:top w:val="single" w:sz="8" w:color="auto"/>
            </w:tcBorders>
            <w:shd w:val="clear" w:color="auto" w:fill="CDEAFA"/>
          </w:tcPr>
          <w:p>
            <w:pPr>
              <w:spacing w:after="0"/>
              <w:rPr>
                <w:sz w:val="15"/>
                <w:szCs w:val="15"/>
                <w:color w:val="auto"/>
              </w:rPr>
            </w:pPr>
          </w:p>
        </w:tc>
        <w:tc>
          <w:tcPr>
            <w:tcW w:w="300" w:type="dxa"/>
            <w:vAlign w:val="bottom"/>
            <w:tcBorders>
              <w:top w:val="single" w:sz="8" w:color="CDEAFA"/>
            </w:tcBorders>
            <w:shd w:val="clear" w:color="auto" w:fill="CDEAFA"/>
          </w:tcPr>
          <w:p>
            <w:pPr>
              <w:spacing w:after="0"/>
              <w:rPr>
                <w:sz w:val="15"/>
                <w:szCs w:val="15"/>
                <w:color w:val="auto"/>
              </w:rPr>
            </w:pPr>
          </w:p>
        </w:tc>
        <w:tc>
          <w:tcPr>
            <w:tcW w:w="260" w:type="dxa"/>
            <w:vAlign w:val="bottom"/>
            <w:tcBorders>
              <w:top w:val="single" w:sz="8" w:color="auto"/>
            </w:tcBorders>
            <w:shd w:val="clear" w:color="auto" w:fill="CDEAFA"/>
          </w:tcPr>
          <w:p>
            <w:pPr>
              <w:spacing w:after="0"/>
              <w:rPr>
                <w:sz w:val="15"/>
                <w:szCs w:val="15"/>
                <w:color w:val="auto"/>
              </w:rPr>
            </w:pPr>
          </w:p>
        </w:tc>
        <w:tc>
          <w:tcPr>
            <w:tcW w:w="900" w:type="dxa"/>
            <w:vAlign w:val="bottom"/>
            <w:tcBorders>
              <w:top w:val="single" w:sz="8" w:color="auto"/>
            </w:tcBorders>
            <w:shd w:val="clear" w:color="auto" w:fill="CDEAFA"/>
          </w:tcPr>
          <w:p>
            <w:pPr>
              <w:spacing w:after="0"/>
              <w:rPr>
                <w:sz w:val="15"/>
                <w:szCs w:val="15"/>
                <w:color w:val="auto"/>
              </w:rPr>
            </w:pPr>
          </w:p>
        </w:tc>
        <w:tc>
          <w:tcPr>
            <w:tcW w:w="280" w:type="dxa"/>
            <w:vAlign w:val="bottom"/>
            <w:tcBorders>
              <w:top w:val="single" w:sz="8" w:color="CDEAFA"/>
            </w:tcBorders>
            <w:shd w:val="clear" w:color="auto" w:fill="CDEAFA"/>
          </w:tcPr>
          <w:p>
            <w:pPr>
              <w:spacing w:after="0"/>
              <w:rPr>
                <w:sz w:val="15"/>
                <w:szCs w:val="15"/>
                <w:color w:val="auto"/>
              </w:rPr>
            </w:pPr>
          </w:p>
        </w:tc>
        <w:tc>
          <w:tcPr>
            <w:tcW w:w="280" w:type="dxa"/>
            <w:vAlign w:val="bottom"/>
            <w:tcBorders>
              <w:top w:val="single" w:sz="8" w:color="auto"/>
            </w:tcBorders>
            <w:shd w:val="clear" w:color="auto" w:fill="CDEAFA"/>
          </w:tcPr>
          <w:p>
            <w:pPr>
              <w:spacing w:after="0"/>
              <w:rPr>
                <w:sz w:val="15"/>
                <w:szCs w:val="15"/>
                <w:color w:val="auto"/>
              </w:rPr>
            </w:pPr>
          </w:p>
        </w:tc>
        <w:tc>
          <w:tcPr>
            <w:tcW w:w="900" w:type="dxa"/>
            <w:vAlign w:val="bottom"/>
            <w:tcBorders>
              <w:top w:val="single" w:sz="8" w:color="auto"/>
            </w:tcBorders>
            <w:shd w:val="clear" w:color="auto" w:fill="CDEAFA"/>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460" w:type="dxa"/>
            <w:vAlign w:val="bottom"/>
            <w:gridSpan w:val="2"/>
            <w:shd w:val="clear" w:color="auto" w:fill="CDEAFA"/>
          </w:tcPr>
          <w:p>
            <w:pPr>
              <w:ind w:left="180"/>
              <w:spacing w:after="0"/>
              <w:rPr>
                <w:sz w:val="20"/>
                <w:szCs w:val="20"/>
                <w:color w:val="auto"/>
              </w:rPr>
            </w:pPr>
            <w:r>
              <w:rPr>
                <w:rFonts w:ascii="Arial" w:cs="Arial" w:eastAsia="Arial" w:hAnsi="Arial"/>
                <w:sz w:val="18"/>
                <w:szCs w:val="18"/>
                <w:color w:val="auto"/>
              </w:rPr>
              <w:t>EYLEA outside the United States</w:t>
            </w:r>
          </w:p>
        </w:tc>
        <w:tc>
          <w:tcPr>
            <w:tcW w:w="260" w:type="dxa"/>
            <w:vAlign w:val="bottom"/>
            <w:shd w:val="clear" w:color="auto" w:fill="CDEAFA"/>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1,349.2</w:t>
            </w:r>
          </w:p>
        </w:tc>
        <w:tc>
          <w:tcPr>
            <w:tcW w:w="300" w:type="dxa"/>
            <w:vAlign w:val="bottom"/>
            <w:shd w:val="clear" w:color="auto" w:fill="CDEAFA"/>
          </w:tcPr>
          <w:p>
            <w:pPr>
              <w:spacing w:after="0"/>
              <w:rPr>
                <w:sz w:val="20"/>
                <w:szCs w:val="20"/>
                <w:color w:val="auto"/>
              </w:rPr>
            </w:pPr>
          </w:p>
        </w:tc>
        <w:tc>
          <w:tcPr>
            <w:tcW w:w="260" w:type="dxa"/>
            <w:vAlign w:val="bottom"/>
            <w:shd w:val="clear" w:color="auto" w:fill="CDEAFA"/>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1,107.9</w:t>
            </w:r>
          </w:p>
        </w:tc>
        <w:tc>
          <w:tcPr>
            <w:tcW w:w="280" w:type="dxa"/>
            <w:vAlign w:val="bottom"/>
            <w:shd w:val="clear" w:color="auto" w:fill="CDEAFA"/>
          </w:tcPr>
          <w:p>
            <w:pPr>
              <w:spacing w:after="0"/>
              <w:rPr>
                <w:sz w:val="20"/>
                <w:szCs w:val="20"/>
                <w:color w:val="auto"/>
              </w:rPr>
            </w:pPr>
          </w:p>
        </w:tc>
        <w:tc>
          <w:tcPr>
            <w:tcW w:w="280" w:type="dxa"/>
            <w:vAlign w:val="bottom"/>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1,091.4</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5460" w:type="dxa"/>
            <w:vAlign w:val="bottom"/>
            <w:tcBorders>
              <w:bottom w:val="single" w:sz="8" w:color="CDEAFA"/>
            </w:tcBorders>
            <w:gridSpan w:val="2"/>
          </w:tcPr>
          <w:p>
            <w:pPr>
              <w:spacing w:after="0" w:line="270" w:lineRule="exact"/>
              <w:rPr>
                <w:sz w:val="20"/>
                <w:szCs w:val="20"/>
                <w:color w:val="auto"/>
              </w:rPr>
            </w:pPr>
            <w:r>
              <w:rPr>
                <w:rFonts w:ascii="Arial" w:cs="Arial" w:eastAsia="Arial" w:hAnsi="Arial"/>
                <w:sz w:val="18"/>
                <w:szCs w:val="18"/>
                <w:color w:val="auto"/>
              </w:rPr>
              <w:t>Reimbursement for manufacturing of commercial supplies</w:t>
            </w:r>
            <w:r>
              <w:rPr>
                <w:rFonts w:ascii="Arial" w:cs="Arial" w:eastAsia="Arial" w:hAnsi="Arial"/>
                <w:sz w:val="29"/>
                <w:szCs w:val="29"/>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w:t>
            </w:r>
          </w:p>
        </w:tc>
        <w:tc>
          <w:tcPr>
            <w:tcW w:w="300" w:type="dxa"/>
            <w:vAlign w:val="bottom"/>
            <w:tcBorders>
              <w:bottom w:val="single" w:sz="8" w:color="CDEAFA"/>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78.2</w:t>
            </w:r>
          </w:p>
        </w:tc>
        <w:tc>
          <w:tcPr>
            <w:tcW w:w="280" w:type="dxa"/>
            <w:vAlign w:val="bottom"/>
            <w:tcBorders>
              <w:bottom w:val="single" w:sz="8" w:color="CDEAFA"/>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460" w:type="dxa"/>
            <w:vAlign w:val="bottom"/>
            <w:tcBorders>
              <w:bottom w:val="single" w:sz="8" w:color="CDEAFA"/>
            </w:tcBorders>
            <w:gridSpan w:val="2"/>
            <w:shd w:val="clear" w:color="auto" w:fill="CDEAFA"/>
          </w:tcPr>
          <w:p>
            <w:pPr>
              <w:spacing w:after="0"/>
              <w:rPr>
                <w:sz w:val="20"/>
                <w:szCs w:val="20"/>
                <w:color w:val="auto"/>
              </w:rPr>
            </w:pPr>
            <w:r>
              <w:rPr>
                <w:rFonts w:ascii="Arial" w:cs="Arial" w:eastAsia="Arial" w:hAnsi="Arial"/>
                <w:sz w:val="18"/>
                <w:szCs w:val="18"/>
                <w:color w:val="auto"/>
              </w:rPr>
              <w:t>Total Bayer collaboration revenue</w:t>
            </w:r>
          </w:p>
        </w:tc>
        <w:tc>
          <w:tcPr>
            <w:tcW w:w="260" w:type="dxa"/>
            <w:vAlign w:val="bottom"/>
            <w:tcBorders>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1,409.3</w:t>
            </w:r>
          </w:p>
        </w:tc>
        <w:tc>
          <w:tcPr>
            <w:tcW w:w="300" w:type="dxa"/>
            <w:vAlign w:val="bottom"/>
            <w:tcBorders>
              <w:bottom w:val="single" w:sz="8" w:color="CDEAFA"/>
            </w:tcBorders>
            <w:shd w:val="clear" w:color="auto" w:fill="CDEAFA"/>
          </w:tcPr>
          <w:p>
            <w:pPr>
              <w:spacing w:after="0"/>
              <w:rPr>
                <w:sz w:val="19"/>
                <w:szCs w:val="19"/>
                <w:color w:val="auto"/>
              </w:rPr>
            </w:pPr>
          </w:p>
        </w:tc>
        <w:tc>
          <w:tcPr>
            <w:tcW w:w="260" w:type="dxa"/>
            <w:vAlign w:val="bottom"/>
            <w:tcBorders>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1,186.1</w:t>
            </w:r>
          </w:p>
        </w:tc>
        <w:tc>
          <w:tcPr>
            <w:tcW w:w="280" w:type="dxa"/>
            <w:vAlign w:val="bottom"/>
            <w:tcBorders>
              <w:bottom w:val="single" w:sz="8" w:color="CDEAFA"/>
            </w:tcBorders>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right="1840" w:hanging="9"/>
        <w:spacing w:after="0" w:line="218" w:lineRule="auto"/>
        <w:tabs>
          <w:tab w:leader="none" w:pos="1331" w:val="left"/>
        </w:tabs>
        <w:numPr>
          <w:ilvl w:val="0"/>
          <w:numId w:val="39"/>
        </w:numPr>
        <w:rPr>
          <w:rFonts w:ascii="Arial" w:cs="Arial" w:eastAsia="Arial" w:hAnsi="Arial"/>
          <w:sz w:val="24"/>
          <w:szCs w:val="24"/>
          <w:color w:val="auto"/>
          <w:vertAlign w:val="superscript"/>
        </w:rPr>
      </w:pPr>
      <w:r>
        <w:rPr>
          <w:rFonts w:ascii="Arial" w:cs="Arial" w:eastAsia="Arial" w:hAnsi="Arial"/>
          <w:sz w:val="15"/>
          <w:szCs w:val="15"/>
          <w:color w:val="auto"/>
        </w:rPr>
        <w:t>Corresponding costs incurred by us in connection with such production is recorded within Cost of collaboration and contract manufacturing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Bayer records net product sales of EYLEA outside the United States. Regeneron’s net profit in connection with commercialization of EYLEA outside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is summarized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vMerge w:val="restart"/>
          </w:tcPr>
          <w:p>
            <w:pPr>
              <w:ind w:left="86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460" w:type="dxa"/>
            <w:vAlign w:val="bottom"/>
            <w:tcBorders>
              <w:top w:val="single" w:sz="8" w:color="CDEAFA"/>
              <w:bottom w:val="single" w:sz="8" w:color="CDEAFA"/>
            </w:tcBorders>
            <w:shd w:val="clear" w:color="auto" w:fill="CDEAFA"/>
          </w:tcPr>
          <w:p>
            <w:pPr>
              <w:spacing w:after="0"/>
              <w:rPr>
                <w:sz w:val="20"/>
                <w:szCs w:val="20"/>
                <w:color w:val="auto"/>
              </w:rPr>
            </w:pPr>
            <w:r>
              <w:rPr>
                <w:rFonts w:ascii="Arial" w:cs="Arial" w:eastAsia="Arial" w:hAnsi="Arial"/>
                <w:sz w:val="18"/>
                <w:szCs w:val="18"/>
                <w:color w:val="auto"/>
              </w:rPr>
              <w:t>EYLEA net product sales outside the United States</w:t>
            </w:r>
          </w:p>
        </w:tc>
        <w:tc>
          <w:tcPr>
            <w:tcW w:w="260" w:type="dxa"/>
            <w:vAlign w:val="bottom"/>
            <w:tcBorders>
              <w:top w:val="single" w:sz="8" w:color="auto"/>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3,592.4</w:t>
            </w:r>
          </w:p>
        </w:tc>
        <w:tc>
          <w:tcPr>
            <w:tcW w:w="300" w:type="dxa"/>
            <w:vAlign w:val="bottom"/>
            <w:tcBorders>
              <w:top w:val="single" w:sz="8" w:color="CDEAFA"/>
              <w:bottom w:val="single" w:sz="8" w:color="CDEAFA"/>
            </w:tcBorders>
            <w:shd w:val="clear" w:color="auto" w:fill="CDEAFA"/>
          </w:tcPr>
          <w:p>
            <w:pPr>
              <w:spacing w:after="0"/>
              <w:rPr>
                <w:sz w:val="19"/>
                <w:szCs w:val="19"/>
                <w:color w:val="auto"/>
              </w:rPr>
            </w:pPr>
          </w:p>
        </w:tc>
        <w:tc>
          <w:tcPr>
            <w:tcW w:w="260" w:type="dxa"/>
            <w:vAlign w:val="bottom"/>
            <w:tcBorders>
              <w:top w:val="single" w:sz="8" w:color="auto"/>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2,961.5</w:t>
            </w:r>
          </w:p>
        </w:tc>
        <w:tc>
          <w:tcPr>
            <w:tcW w:w="280" w:type="dxa"/>
            <w:vAlign w:val="bottom"/>
            <w:tcBorders>
              <w:top w:val="single" w:sz="8" w:color="CDEAFA"/>
              <w:bottom w:val="single" w:sz="8" w:color="CDEAFA"/>
            </w:tcBorders>
            <w:shd w:val="clear" w:color="auto" w:fill="CDEAFA"/>
          </w:tcPr>
          <w:p>
            <w:pPr>
              <w:spacing w:after="0"/>
              <w:rPr>
                <w:sz w:val="19"/>
                <w:szCs w:val="19"/>
                <w:color w:val="auto"/>
              </w:rPr>
            </w:pPr>
          </w:p>
        </w:tc>
        <w:tc>
          <w:tcPr>
            <w:tcW w:w="280" w:type="dxa"/>
            <w:vAlign w:val="bottom"/>
            <w:tcBorders>
              <w:top w:val="single" w:sz="8" w:color="auto"/>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2,897.4</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60" w:type="dxa"/>
            <w:vAlign w:val="bottom"/>
            <w:vMerge w:val="restart"/>
          </w:tcPr>
          <w:p>
            <w:pPr>
              <w:spacing w:after="0" w:line="195" w:lineRule="exact"/>
              <w:rPr>
                <w:sz w:val="20"/>
                <w:szCs w:val="20"/>
                <w:color w:val="auto"/>
              </w:rPr>
            </w:pPr>
            <w:r>
              <w:rPr>
                <w:rFonts w:ascii="Arial" w:cs="Arial" w:eastAsia="Arial" w:hAnsi="Arial"/>
                <w:sz w:val="18"/>
                <w:szCs w:val="18"/>
                <w:color w:val="auto"/>
                <w:w w:val="96"/>
              </w:rPr>
              <w:t>Regeneron’s share of collaboration profit from sales outside the United</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60" w:type="dxa"/>
            <w:vAlign w:val="bottom"/>
          </w:tcPr>
          <w:p>
            <w:pPr>
              <w:spacing w:after="0"/>
              <w:rPr>
                <w:sz w:val="13"/>
                <w:szCs w:val="13"/>
                <w:color w:val="auto"/>
              </w:rPr>
            </w:pPr>
          </w:p>
        </w:tc>
        <w:tc>
          <w:tcPr>
            <w:tcW w:w="54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rPr>
              <w:t>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1,408.3</w:t>
            </w:r>
          </w:p>
        </w:tc>
        <w:tc>
          <w:tcPr>
            <w:tcW w:w="3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1,165.8</w:t>
            </w:r>
          </w:p>
        </w:tc>
        <w:tc>
          <w:tcPr>
            <w:tcW w:w="280" w:type="dxa"/>
            <w:vAlign w:val="bottom"/>
          </w:tcPr>
          <w:p>
            <w:pPr>
              <w:spacing w:after="0"/>
              <w:rPr>
                <w:sz w:val="20"/>
                <w:szCs w:val="20"/>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1,148.0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5460" w:type="dxa"/>
            <w:vAlign w:val="bottom"/>
            <w:shd w:val="clear" w:color="auto" w:fill="CDEAFA"/>
          </w:tcPr>
          <w:p>
            <w:pPr>
              <w:spacing w:after="0" w:line="201" w:lineRule="exact"/>
              <w:rPr>
                <w:sz w:val="20"/>
                <w:szCs w:val="20"/>
                <w:color w:val="auto"/>
              </w:rPr>
            </w:pPr>
            <w:r>
              <w:rPr>
                <w:rFonts w:ascii="Arial" w:cs="Arial" w:eastAsia="Arial" w:hAnsi="Arial"/>
                <w:sz w:val="18"/>
                <w:szCs w:val="18"/>
                <w:color w:val="auto"/>
              </w:rPr>
              <w:t>Reimbursement of development expenses incurred by Bayer in</w:t>
            </w:r>
          </w:p>
        </w:tc>
        <w:tc>
          <w:tcPr>
            <w:tcW w:w="260" w:type="dxa"/>
            <w:vAlign w:val="bottom"/>
            <w:shd w:val="clear" w:color="auto" w:fill="CDEAFA"/>
          </w:tcPr>
          <w:p>
            <w:pPr>
              <w:spacing w:after="0"/>
              <w:rPr>
                <w:sz w:val="17"/>
                <w:szCs w:val="17"/>
                <w:color w:val="auto"/>
              </w:rPr>
            </w:pPr>
          </w:p>
        </w:tc>
        <w:tc>
          <w:tcPr>
            <w:tcW w:w="900" w:type="dxa"/>
            <w:vAlign w:val="bottom"/>
            <w:shd w:val="clear" w:color="auto" w:fill="CDEAFA"/>
          </w:tcPr>
          <w:p>
            <w:pPr>
              <w:spacing w:after="0"/>
              <w:rPr>
                <w:sz w:val="17"/>
                <w:szCs w:val="17"/>
                <w:color w:val="auto"/>
              </w:rPr>
            </w:pPr>
          </w:p>
        </w:tc>
        <w:tc>
          <w:tcPr>
            <w:tcW w:w="300" w:type="dxa"/>
            <w:vAlign w:val="bottom"/>
            <w:shd w:val="clear" w:color="auto" w:fill="CDEAFA"/>
          </w:tcPr>
          <w:p>
            <w:pPr>
              <w:spacing w:after="0"/>
              <w:rPr>
                <w:sz w:val="17"/>
                <w:szCs w:val="17"/>
                <w:color w:val="auto"/>
              </w:rPr>
            </w:pPr>
          </w:p>
        </w:tc>
        <w:tc>
          <w:tcPr>
            <w:tcW w:w="260" w:type="dxa"/>
            <w:vAlign w:val="bottom"/>
            <w:shd w:val="clear" w:color="auto" w:fill="CDEAFA"/>
          </w:tcPr>
          <w:p>
            <w:pPr>
              <w:spacing w:after="0"/>
              <w:rPr>
                <w:sz w:val="17"/>
                <w:szCs w:val="17"/>
                <w:color w:val="auto"/>
              </w:rPr>
            </w:pPr>
          </w:p>
        </w:tc>
        <w:tc>
          <w:tcPr>
            <w:tcW w:w="900" w:type="dxa"/>
            <w:vAlign w:val="bottom"/>
            <w:shd w:val="clear" w:color="auto" w:fill="CDEAFA"/>
          </w:tcPr>
          <w:p>
            <w:pPr>
              <w:spacing w:after="0"/>
              <w:rPr>
                <w:sz w:val="17"/>
                <w:szCs w:val="17"/>
                <w:color w:val="auto"/>
              </w:rPr>
            </w:pPr>
          </w:p>
        </w:tc>
        <w:tc>
          <w:tcPr>
            <w:tcW w:w="280" w:type="dxa"/>
            <w:vAlign w:val="bottom"/>
            <w:shd w:val="clear" w:color="auto" w:fill="CDEAFA"/>
          </w:tcPr>
          <w:p>
            <w:pPr>
              <w:spacing w:after="0"/>
              <w:rPr>
                <w:sz w:val="17"/>
                <w:szCs w:val="17"/>
                <w:color w:val="auto"/>
              </w:rPr>
            </w:pPr>
          </w:p>
        </w:tc>
        <w:tc>
          <w:tcPr>
            <w:tcW w:w="280" w:type="dxa"/>
            <w:vAlign w:val="bottom"/>
            <w:shd w:val="clear" w:color="auto" w:fill="CDEAFA"/>
          </w:tcPr>
          <w:p>
            <w:pPr>
              <w:spacing w:after="0"/>
              <w:rPr>
                <w:sz w:val="17"/>
                <w:szCs w:val="17"/>
                <w:color w:val="auto"/>
              </w:rPr>
            </w:pPr>
          </w:p>
        </w:tc>
        <w:tc>
          <w:tcPr>
            <w:tcW w:w="900" w:type="dxa"/>
            <w:vAlign w:val="bottom"/>
            <w:shd w:val="clear" w:color="auto" w:fill="CDEAFA"/>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460" w:type="dxa"/>
            <w:vAlign w:val="bottom"/>
            <w:shd w:val="clear" w:color="auto" w:fill="CDEAFA"/>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60" w:type="dxa"/>
            <w:vAlign w:val="bottom"/>
            <w:tcBorders>
              <w:bottom w:val="single" w:sz="8" w:color="auto"/>
            </w:tcBorders>
            <w:shd w:val="clear" w:color="auto" w:fill="CDEAFA"/>
          </w:tcPr>
          <w:p>
            <w:pPr>
              <w:spacing w:after="0"/>
              <w:rPr>
                <w:sz w:val="20"/>
                <w:szCs w:val="20"/>
                <w:color w:val="auto"/>
              </w:rPr>
            </w:pPr>
          </w:p>
        </w:tc>
        <w:tc>
          <w:tcPr>
            <w:tcW w:w="9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(59.1)</w:t>
            </w:r>
          </w:p>
        </w:tc>
        <w:tc>
          <w:tcPr>
            <w:tcW w:w="300" w:type="dxa"/>
            <w:vAlign w:val="bottom"/>
            <w:shd w:val="clear" w:color="auto" w:fill="CDEAFA"/>
          </w:tcPr>
          <w:p>
            <w:pPr>
              <w:spacing w:after="0"/>
              <w:rPr>
                <w:sz w:val="20"/>
                <w:szCs w:val="20"/>
                <w:color w:val="auto"/>
              </w:rPr>
            </w:pPr>
          </w:p>
        </w:tc>
        <w:tc>
          <w:tcPr>
            <w:tcW w:w="260" w:type="dxa"/>
            <w:vAlign w:val="bottom"/>
            <w:tcBorders>
              <w:bottom w:val="single" w:sz="8" w:color="auto"/>
            </w:tcBorders>
            <w:shd w:val="clear" w:color="auto" w:fill="CDEAFA"/>
          </w:tcPr>
          <w:p>
            <w:pPr>
              <w:spacing w:after="0"/>
              <w:rPr>
                <w:sz w:val="20"/>
                <w:szCs w:val="20"/>
                <w:color w:val="auto"/>
              </w:rPr>
            </w:pPr>
          </w:p>
        </w:tc>
        <w:tc>
          <w:tcPr>
            <w:tcW w:w="9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(57.9)</w:t>
            </w:r>
          </w:p>
        </w:tc>
        <w:tc>
          <w:tcPr>
            <w:tcW w:w="280" w:type="dxa"/>
            <w:vAlign w:val="bottom"/>
            <w:shd w:val="clear" w:color="auto" w:fill="CDEAFA"/>
          </w:tcPr>
          <w:p>
            <w:pPr>
              <w:spacing w:after="0"/>
              <w:rPr>
                <w:sz w:val="20"/>
                <w:szCs w:val="20"/>
                <w:color w:val="auto"/>
              </w:rPr>
            </w:pPr>
          </w:p>
        </w:tc>
        <w:tc>
          <w:tcPr>
            <w:tcW w:w="280" w:type="dxa"/>
            <w:vAlign w:val="bottom"/>
            <w:tcBorders>
              <w:bottom w:val="single" w:sz="8" w:color="auto"/>
            </w:tcBorders>
            <w:shd w:val="clear" w:color="auto" w:fill="CDEAFA"/>
          </w:tcPr>
          <w:p>
            <w:pPr>
              <w:spacing w:after="0"/>
              <w:rPr>
                <w:sz w:val="20"/>
                <w:szCs w:val="20"/>
                <w:color w:val="auto"/>
              </w:rPr>
            </w:pPr>
          </w:p>
        </w:tc>
        <w:tc>
          <w:tcPr>
            <w:tcW w:w="9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(56.6)</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5460" w:type="dxa"/>
            <w:vAlign w:val="bottom"/>
          </w:tcPr>
          <w:p>
            <w:pPr>
              <w:spacing w:after="0" w:line="182" w:lineRule="exact"/>
              <w:rPr>
                <w:sz w:val="20"/>
                <w:szCs w:val="20"/>
                <w:color w:val="auto"/>
              </w:rPr>
            </w:pPr>
            <w:r>
              <w:rPr>
                <w:rFonts w:ascii="Arial" w:cs="Arial" w:eastAsia="Arial" w:hAnsi="Arial"/>
                <w:sz w:val="18"/>
                <w:szCs w:val="18"/>
                <w:color w:val="auto"/>
              </w:rPr>
              <w:t>Regeneron’s net profit in connection with commercialization of</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5460" w:type="dxa"/>
            <w:vAlign w:val="bottom"/>
            <w:tcBorders>
              <w:bottom w:val="single" w:sz="8" w:color="CDEAFA"/>
            </w:tcBorders>
          </w:tcPr>
          <w:p>
            <w:pPr>
              <w:ind w:left="180"/>
              <w:spacing w:after="0"/>
              <w:rPr>
                <w:sz w:val="20"/>
                <w:szCs w:val="20"/>
                <w:color w:val="auto"/>
              </w:rPr>
            </w:pPr>
            <w:r>
              <w:rPr>
                <w:rFonts w:ascii="Arial" w:cs="Arial" w:eastAsia="Arial" w:hAnsi="Arial"/>
                <w:sz w:val="18"/>
                <w:szCs w:val="18"/>
                <w:color w:val="auto"/>
              </w:rPr>
              <w:t>EYLEA outside the United States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1,349.2</w:t>
            </w:r>
          </w:p>
        </w:tc>
        <w:tc>
          <w:tcPr>
            <w:tcW w:w="300" w:type="dxa"/>
            <w:vAlign w:val="bottom"/>
            <w:tcBorders>
              <w:bottom w:val="single" w:sz="8" w:color="CDEAFA"/>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1,107.9</w:t>
            </w:r>
          </w:p>
        </w:tc>
        <w:tc>
          <w:tcPr>
            <w:tcW w:w="280" w:type="dxa"/>
            <w:vAlign w:val="bottom"/>
            <w:tcBorders>
              <w:bottom w:val="single" w:sz="8" w:color="CDEAFA"/>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1,091.4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5460" w:type="dxa"/>
            <w:vAlign w:val="bottom"/>
            <w:shd w:val="clear" w:color="auto" w:fill="CDEAFA"/>
          </w:tcPr>
          <w:p>
            <w:pPr>
              <w:spacing w:after="0" w:line="155" w:lineRule="exact"/>
              <w:rPr>
                <w:sz w:val="20"/>
                <w:szCs w:val="20"/>
                <w:color w:val="auto"/>
              </w:rPr>
            </w:pPr>
            <w:r>
              <w:rPr>
                <w:rFonts w:ascii="Arial" w:cs="Arial" w:eastAsia="Arial" w:hAnsi="Arial"/>
                <w:sz w:val="17"/>
                <w:szCs w:val="17"/>
                <w:color w:val="auto"/>
              </w:rPr>
              <w:t>Regeneron’s net profit as a percentage of EYLEA net product sales</w:t>
            </w:r>
          </w:p>
        </w:tc>
        <w:tc>
          <w:tcPr>
            <w:tcW w:w="260" w:type="dxa"/>
            <w:vAlign w:val="bottom"/>
            <w:shd w:val="clear" w:color="auto" w:fill="CDEAFA"/>
          </w:tcPr>
          <w:p>
            <w:pPr>
              <w:spacing w:after="0"/>
              <w:rPr>
                <w:sz w:val="13"/>
                <w:szCs w:val="13"/>
                <w:color w:val="auto"/>
              </w:rPr>
            </w:pPr>
          </w:p>
        </w:tc>
        <w:tc>
          <w:tcPr>
            <w:tcW w:w="900" w:type="dxa"/>
            <w:vAlign w:val="bottom"/>
            <w:shd w:val="clear" w:color="auto" w:fill="CDEAFA"/>
          </w:tcPr>
          <w:p>
            <w:pPr>
              <w:spacing w:after="0"/>
              <w:rPr>
                <w:sz w:val="13"/>
                <w:szCs w:val="13"/>
                <w:color w:val="auto"/>
              </w:rPr>
            </w:pPr>
          </w:p>
        </w:tc>
        <w:tc>
          <w:tcPr>
            <w:tcW w:w="300" w:type="dxa"/>
            <w:vAlign w:val="bottom"/>
            <w:shd w:val="clear" w:color="auto" w:fill="CDEAFA"/>
          </w:tcPr>
          <w:p>
            <w:pPr>
              <w:spacing w:after="0"/>
              <w:rPr>
                <w:sz w:val="13"/>
                <w:szCs w:val="13"/>
                <w:color w:val="auto"/>
              </w:rPr>
            </w:pPr>
          </w:p>
        </w:tc>
        <w:tc>
          <w:tcPr>
            <w:tcW w:w="260" w:type="dxa"/>
            <w:vAlign w:val="bottom"/>
            <w:shd w:val="clear" w:color="auto" w:fill="CDEAFA"/>
          </w:tcPr>
          <w:p>
            <w:pPr>
              <w:spacing w:after="0"/>
              <w:rPr>
                <w:sz w:val="13"/>
                <w:szCs w:val="13"/>
                <w:color w:val="auto"/>
              </w:rPr>
            </w:pPr>
          </w:p>
        </w:tc>
        <w:tc>
          <w:tcPr>
            <w:tcW w:w="900" w:type="dxa"/>
            <w:vAlign w:val="bottom"/>
            <w:shd w:val="clear" w:color="auto" w:fill="CDEAFA"/>
          </w:tcPr>
          <w:p>
            <w:pPr>
              <w:spacing w:after="0"/>
              <w:rPr>
                <w:sz w:val="13"/>
                <w:szCs w:val="13"/>
                <w:color w:val="auto"/>
              </w:rPr>
            </w:pPr>
          </w:p>
        </w:tc>
        <w:tc>
          <w:tcPr>
            <w:tcW w:w="280" w:type="dxa"/>
            <w:vAlign w:val="bottom"/>
            <w:shd w:val="clear" w:color="auto" w:fill="CDEAFA"/>
          </w:tcPr>
          <w:p>
            <w:pPr>
              <w:spacing w:after="0"/>
              <w:rPr>
                <w:sz w:val="13"/>
                <w:szCs w:val="13"/>
                <w:color w:val="auto"/>
              </w:rPr>
            </w:pPr>
          </w:p>
        </w:tc>
        <w:tc>
          <w:tcPr>
            <w:tcW w:w="280" w:type="dxa"/>
            <w:vAlign w:val="bottom"/>
            <w:shd w:val="clear" w:color="auto" w:fill="CDEAFA"/>
          </w:tcPr>
          <w:p>
            <w:pPr>
              <w:spacing w:after="0"/>
              <w:rPr>
                <w:sz w:val="13"/>
                <w:szCs w:val="13"/>
                <w:color w:val="auto"/>
              </w:rPr>
            </w:pPr>
          </w:p>
        </w:tc>
        <w:tc>
          <w:tcPr>
            <w:tcW w:w="900" w:type="dxa"/>
            <w:vAlign w:val="bottom"/>
            <w:shd w:val="clear" w:color="auto" w:fill="CDEAFA"/>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460" w:type="dxa"/>
            <w:vAlign w:val="bottom"/>
            <w:shd w:val="clear" w:color="auto" w:fill="CDEAFA"/>
          </w:tcPr>
          <w:p>
            <w:pPr>
              <w:ind w:left="180"/>
              <w:spacing w:after="0"/>
              <w:rPr>
                <w:sz w:val="20"/>
                <w:szCs w:val="20"/>
                <w:color w:val="auto"/>
              </w:rPr>
            </w:pPr>
            <w:r>
              <w:rPr>
                <w:rFonts w:ascii="Arial" w:cs="Arial" w:eastAsia="Arial" w:hAnsi="Arial"/>
                <w:sz w:val="18"/>
                <w:szCs w:val="18"/>
                <w:color w:val="auto"/>
              </w:rPr>
              <w:t>outside the United States</w:t>
            </w:r>
          </w:p>
        </w:tc>
        <w:tc>
          <w:tcPr>
            <w:tcW w:w="260" w:type="dxa"/>
            <w:vAlign w:val="bottom"/>
            <w:shd w:val="clear" w:color="auto" w:fill="CDEAFA"/>
          </w:tcPr>
          <w:p>
            <w:pPr>
              <w:spacing w:after="0"/>
              <w:rPr>
                <w:sz w:val="20"/>
                <w:szCs w:val="20"/>
                <w:color w:val="auto"/>
              </w:rPr>
            </w:pP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DEAFA"/>
          </w:tcPr>
          <w:p>
            <w:pPr>
              <w:spacing w:after="0"/>
              <w:rPr>
                <w:sz w:val="20"/>
                <w:szCs w:val="20"/>
                <w:color w:val="auto"/>
              </w:rPr>
            </w:pPr>
          </w:p>
        </w:tc>
        <w:tc>
          <w:tcPr>
            <w:tcW w:w="260" w:type="dxa"/>
            <w:vAlign w:val="bottom"/>
            <w:shd w:val="clear" w:color="auto" w:fill="CDEAFA"/>
          </w:tcPr>
          <w:p>
            <w:pPr>
              <w:spacing w:after="0"/>
              <w:rPr>
                <w:sz w:val="20"/>
                <w:szCs w:val="20"/>
                <w:color w:val="auto"/>
              </w:rPr>
            </w:pP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DEAFA"/>
          </w:tcPr>
          <w:p>
            <w:pPr>
              <w:spacing w:after="0"/>
              <w:rPr>
                <w:sz w:val="20"/>
                <w:szCs w:val="20"/>
                <w:color w:val="auto"/>
              </w:rPr>
            </w:pPr>
          </w:p>
        </w:tc>
        <w:tc>
          <w:tcPr>
            <w:tcW w:w="280" w:type="dxa"/>
            <w:vAlign w:val="bottom"/>
            <w:shd w:val="clear" w:color="auto" w:fill="CDEAFA"/>
          </w:tcPr>
          <w:p>
            <w:pPr>
              <w:spacing w:after="0"/>
              <w:rPr>
                <w:sz w:val="20"/>
                <w:szCs w:val="20"/>
                <w:color w:val="auto"/>
              </w:rPr>
            </w:pP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38%</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320" w:type="dxa"/>
            <w:vAlign w:val="bottom"/>
            <w:gridSpan w:val="2"/>
          </w:tcPr>
          <w:p>
            <w:pPr>
              <w:jc w:val="right"/>
              <w:ind w:right="511"/>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0" w:type="dxa"/>
            <w:vAlign w:val="bottom"/>
            <w:tcBorders>
              <w:bottom w:val="single" w:sz="8" w:color="C0C0C0"/>
            </w:tcBorders>
          </w:tcPr>
          <w:p>
            <w:pPr>
              <w:spacing w:after="0"/>
              <w:rPr>
                <w:sz w:val="21"/>
                <w:szCs w:val="21"/>
                <w:color w:val="auto"/>
              </w:rPr>
            </w:pPr>
          </w:p>
        </w:tc>
        <w:tc>
          <w:tcPr>
            <w:tcW w:w="546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8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u w:val="single" w:color="auto"/>
          <w:color w:val="auto"/>
        </w:rPr>
        <w:t>Roche Collaboration Revenue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described in Part I, Item 1. “Business - Agreements Related to COVID-19 - Roche”, Roche distributes and records net product sales of the casirivimab and imdevimab antibody cocktail outside the United States, and the parties share gross profits from worldwide sales,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Other collaboration revenue. If Regeneron is to make a true-up payment to Roche, such amount will be recorded to Cost of goods sold.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the Company recorded $361.8 million of true-up payments, within Other collaboration revenue, from Roche in connection with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decreased in 2021, compared to 2020, primarily due to lower amounts recognized in connection with our agreement with BARDA related to funding of certain development activities for COVID-19 antibodies, and, to a lesser extent, Inmazeb.</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Expenses</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4240" w:type="dxa"/>
            <w:vAlign w:val="bottom"/>
            <w:vMerge w:val="restart"/>
          </w:tcPr>
          <w:p>
            <w:pPr>
              <w:spacing w:after="0"/>
              <w:rPr>
                <w:sz w:val="20"/>
                <w:szCs w:val="20"/>
                <w:color w:val="auto"/>
              </w:rPr>
            </w:pPr>
            <w:r>
              <w:rPr>
                <w:rFonts w:ascii="Arial" w:cs="Arial" w:eastAsia="Arial" w:hAnsi="Arial"/>
                <w:sz w:val="18"/>
                <w:szCs w:val="18"/>
                <w:i w:val="1"/>
                <w:iCs w:val="1"/>
                <w:color w:val="auto"/>
              </w:rPr>
              <w:t>(In millions, except headcount data)</w:t>
            </w: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 Change</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2021 vs. 2020</w:t>
            </w: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85"/>
              </w:rPr>
              <w:t>2020 vs. 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40" w:type="dxa"/>
            <w:vAlign w:val="bottom"/>
            <w:tcBorders>
              <w:top w:val="single" w:sz="8" w:color="CDEAFA"/>
            </w:tcBorders>
            <w:shd w:val="clear" w:color="auto" w:fill="CDEAFA"/>
          </w:tcPr>
          <w:p>
            <w:pPr>
              <w:spacing w:after="0" w:line="236"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7"/>
                <w:szCs w:val="27"/>
                <w:color w:val="auto"/>
                <w:vertAlign w:val="superscript"/>
              </w:rPr>
              <w:t>(1)</w:t>
            </w:r>
          </w:p>
        </w:tc>
        <w:tc>
          <w:tcPr>
            <w:tcW w:w="26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2,908.1</w:t>
            </w:r>
          </w:p>
        </w:tc>
        <w:tc>
          <w:tcPr>
            <w:tcW w:w="200" w:type="dxa"/>
            <w:vAlign w:val="bottom"/>
            <w:tcBorders>
              <w:top w:val="single" w:sz="8" w:color="CDEAFA"/>
            </w:tcBorders>
            <w:shd w:val="clear" w:color="auto" w:fill="CDEAFA"/>
          </w:tcPr>
          <w:p>
            <w:pPr>
              <w:spacing w:after="0"/>
              <w:rPr>
                <w:sz w:val="20"/>
                <w:szCs w:val="20"/>
                <w:color w:val="auto"/>
              </w:rPr>
            </w:pPr>
          </w:p>
        </w:tc>
        <w:tc>
          <w:tcPr>
            <w:tcW w:w="24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2,735.0</w:t>
            </w:r>
          </w:p>
        </w:tc>
        <w:tc>
          <w:tcPr>
            <w:tcW w:w="200" w:type="dxa"/>
            <w:vAlign w:val="bottom"/>
            <w:tcBorders>
              <w:top w:val="single" w:sz="8" w:color="CDEAFA"/>
            </w:tcBorders>
            <w:shd w:val="clear" w:color="auto" w:fill="CDEAFA"/>
          </w:tcPr>
          <w:p>
            <w:pPr>
              <w:spacing w:after="0"/>
              <w:rPr>
                <w:sz w:val="20"/>
                <w:szCs w:val="20"/>
                <w:color w:val="auto"/>
              </w:rPr>
            </w:pPr>
          </w:p>
        </w:tc>
        <w:tc>
          <w:tcPr>
            <w:tcW w:w="300" w:type="dxa"/>
            <w:vAlign w:val="bottom"/>
            <w:tcBorders>
              <w:top w:val="single" w:sz="8" w:color="auto"/>
            </w:tcBorders>
            <w:shd w:val="clear" w:color="auto" w:fill="CDEAFA"/>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w w:val="99"/>
              </w:rPr>
              <w:t>2,450.0</w:t>
            </w:r>
          </w:p>
        </w:tc>
        <w:tc>
          <w:tcPr>
            <w:tcW w:w="180" w:type="dxa"/>
            <w:vAlign w:val="bottom"/>
            <w:tcBorders>
              <w:top w:val="single" w:sz="8" w:color="CDEAFA"/>
            </w:tcBorders>
            <w:shd w:val="clear" w:color="auto" w:fill="CDEAFA"/>
          </w:tcPr>
          <w:p>
            <w:pPr>
              <w:spacing w:after="0"/>
              <w:rPr>
                <w:sz w:val="20"/>
                <w:szCs w:val="20"/>
                <w:color w:val="auto"/>
              </w:rPr>
            </w:pPr>
          </w:p>
        </w:tc>
        <w:tc>
          <w:tcPr>
            <w:tcW w:w="240" w:type="dxa"/>
            <w:vAlign w:val="bottom"/>
            <w:tcBorders>
              <w:top w:val="single" w:sz="8" w:color="auto"/>
            </w:tcBorders>
            <w:shd w:val="clear" w:color="auto" w:fill="CDEAFA"/>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173.1</w:t>
            </w:r>
          </w:p>
        </w:tc>
        <w:tc>
          <w:tcPr>
            <w:tcW w:w="200" w:type="dxa"/>
            <w:vAlign w:val="bottom"/>
            <w:tcBorders>
              <w:top w:val="single" w:sz="8" w:color="CDEAFA"/>
            </w:tcBorders>
            <w:shd w:val="clear" w:color="auto" w:fill="CDEAFA"/>
          </w:tcPr>
          <w:p>
            <w:pPr>
              <w:spacing w:after="0"/>
              <w:rPr>
                <w:sz w:val="20"/>
                <w:szCs w:val="20"/>
                <w:color w:val="auto"/>
              </w:rPr>
            </w:pPr>
          </w:p>
        </w:tc>
        <w:tc>
          <w:tcPr>
            <w:tcW w:w="380" w:type="dxa"/>
            <w:vAlign w:val="bottom"/>
            <w:tcBorders>
              <w:top w:val="single" w:sz="8" w:color="auto"/>
            </w:tcBorders>
            <w:shd w:val="clear" w:color="auto" w:fill="CDEAFA"/>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285.0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240" w:type="dxa"/>
            <w:vAlign w:val="bottom"/>
          </w:tcPr>
          <w:p>
            <w:pPr>
              <w:spacing w:after="0" w:line="256"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9"/>
                <w:szCs w:val="29"/>
                <w:color w:val="auto"/>
                <w:vertAlign w:val="superscript"/>
              </w:rPr>
              <w:t>(1)</w:t>
            </w: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1,824.9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1,346.0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9"/>
              </w:rPr>
              <w:t>1,341.9</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478.9</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240" w:type="dxa"/>
            <w:vAlign w:val="bottom"/>
            <w:shd w:val="clear" w:color="auto" w:fill="CDEAFA"/>
          </w:tcPr>
          <w:p>
            <w:pPr>
              <w:spacing w:after="0" w:line="256" w:lineRule="exact"/>
              <w:rPr>
                <w:sz w:val="20"/>
                <w:szCs w:val="20"/>
                <w:color w:val="auto"/>
              </w:rPr>
            </w:pPr>
            <w:r>
              <w:rPr>
                <w:rFonts w:ascii="Arial" w:cs="Arial" w:eastAsia="Arial" w:hAnsi="Arial"/>
                <w:sz w:val="18"/>
                <w:szCs w:val="18"/>
                <w:color w:val="auto"/>
              </w:rPr>
              <w:t>Cost of goods sold</w:t>
            </w:r>
            <w:r>
              <w:rPr>
                <w:rFonts w:ascii="Arial" w:cs="Arial" w:eastAsia="Arial" w:hAnsi="Arial"/>
                <w:sz w:val="29"/>
                <w:szCs w:val="29"/>
                <w:color w:val="auto"/>
                <w:vertAlign w:val="superscript"/>
              </w:rPr>
              <w:t>(2)</w:t>
            </w:r>
          </w:p>
        </w:tc>
        <w:tc>
          <w:tcPr>
            <w:tcW w:w="260" w:type="dxa"/>
            <w:vAlign w:val="bottom"/>
            <w:shd w:val="clear" w:color="auto" w:fill="CDEAFA"/>
          </w:tcPr>
          <w:p>
            <w:pPr>
              <w:spacing w:after="0"/>
              <w:rPr>
                <w:sz w:val="22"/>
                <w:szCs w:val="22"/>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1,773.1</w:t>
            </w:r>
          </w:p>
        </w:tc>
        <w:tc>
          <w:tcPr>
            <w:tcW w:w="200" w:type="dxa"/>
            <w:vAlign w:val="bottom"/>
            <w:shd w:val="clear" w:color="auto" w:fill="CDEAFA"/>
          </w:tcPr>
          <w:p>
            <w:pPr>
              <w:spacing w:after="0"/>
              <w:rPr>
                <w:sz w:val="22"/>
                <w:szCs w:val="22"/>
                <w:color w:val="auto"/>
              </w:rPr>
            </w:pPr>
          </w:p>
        </w:tc>
        <w:tc>
          <w:tcPr>
            <w:tcW w:w="240" w:type="dxa"/>
            <w:vAlign w:val="bottom"/>
            <w:shd w:val="clear" w:color="auto" w:fill="CDEAFA"/>
          </w:tcPr>
          <w:p>
            <w:pPr>
              <w:spacing w:after="0"/>
              <w:rPr>
                <w:sz w:val="22"/>
                <w:szCs w:val="22"/>
                <w:color w:val="auto"/>
              </w:rPr>
            </w:pPr>
          </w:p>
        </w:tc>
        <w:tc>
          <w:tcPr>
            <w:tcW w:w="7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491.9</w:t>
            </w:r>
          </w:p>
        </w:tc>
        <w:tc>
          <w:tcPr>
            <w:tcW w:w="200" w:type="dxa"/>
            <w:vAlign w:val="bottom"/>
            <w:shd w:val="clear" w:color="auto" w:fill="CDEAFA"/>
          </w:tcPr>
          <w:p>
            <w:pPr>
              <w:spacing w:after="0"/>
              <w:rPr>
                <w:sz w:val="22"/>
                <w:szCs w:val="22"/>
                <w:color w:val="auto"/>
              </w:rPr>
            </w:pPr>
          </w:p>
        </w:tc>
        <w:tc>
          <w:tcPr>
            <w:tcW w:w="300" w:type="dxa"/>
            <w:vAlign w:val="bottom"/>
            <w:shd w:val="clear" w:color="auto" w:fill="CDEAFA"/>
          </w:tcPr>
          <w:p>
            <w:pPr>
              <w:spacing w:after="0"/>
              <w:rPr>
                <w:sz w:val="22"/>
                <w:szCs w:val="22"/>
                <w:color w:val="auto"/>
              </w:rPr>
            </w:pPr>
          </w:p>
        </w:tc>
        <w:tc>
          <w:tcPr>
            <w:tcW w:w="7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362.3</w:t>
            </w:r>
          </w:p>
        </w:tc>
        <w:tc>
          <w:tcPr>
            <w:tcW w:w="180" w:type="dxa"/>
            <w:vAlign w:val="bottom"/>
            <w:shd w:val="clear" w:color="auto" w:fill="CDEAFA"/>
          </w:tcPr>
          <w:p>
            <w:pPr>
              <w:spacing w:after="0"/>
              <w:rPr>
                <w:sz w:val="22"/>
                <w:szCs w:val="22"/>
                <w:color w:val="auto"/>
              </w:rPr>
            </w:pPr>
          </w:p>
        </w:tc>
        <w:tc>
          <w:tcPr>
            <w:tcW w:w="240" w:type="dxa"/>
            <w:vAlign w:val="bottom"/>
            <w:shd w:val="clear" w:color="auto" w:fill="CDEAFA"/>
          </w:tcPr>
          <w:p>
            <w:pPr>
              <w:spacing w:after="0"/>
              <w:rPr>
                <w:sz w:val="22"/>
                <w:szCs w:val="22"/>
                <w:color w:val="auto"/>
              </w:rPr>
            </w:pPr>
          </w:p>
        </w:tc>
        <w:tc>
          <w:tcPr>
            <w:tcW w:w="7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1,281.2</w:t>
            </w:r>
          </w:p>
        </w:tc>
        <w:tc>
          <w:tcPr>
            <w:tcW w:w="200" w:type="dxa"/>
            <w:vAlign w:val="bottom"/>
            <w:shd w:val="clear" w:color="auto" w:fill="CDEAFA"/>
          </w:tcPr>
          <w:p>
            <w:pPr>
              <w:spacing w:after="0"/>
              <w:rPr>
                <w:sz w:val="22"/>
                <w:szCs w:val="22"/>
                <w:color w:val="auto"/>
              </w:rPr>
            </w:pPr>
          </w:p>
        </w:tc>
        <w:tc>
          <w:tcPr>
            <w:tcW w:w="380" w:type="dxa"/>
            <w:vAlign w:val="bottom"/>
            <w:shd w:val="clear" w:color="auto" w:fill="CDEAFA"/>
          </w:tcPr>
          <w:p>
            <w:pPr>
              <w:spacing w:after="0"/>
              <w:rPr>
                <w:sz w:val="22"/>
                <w:szCs w:val="22"/>
                <w:color w:val="auto"/>
              </w:rPr>
            </w:pPr>
          </w:p>
        </w:tc>
        <w:tc>
          <w:tcPr>
            <w:tcW w:w="6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129.6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240" w:type="dxa"/>
            <w:vAlign w:val="bottom"/>
          </w:tcPr>
          <w:p>
            <w:pPr>
              <w:spacing w:after="0" w:line="256" w:lineRule="exact"/>
              <w:rPr>
                <w:sz w:val="20"/>
                <w:szCs w:val="20"/>
                <w:color w:val="auto"/>
              </w:rPr>
            </w:pPr>
            <w:r>
              <w:rPr>
                <w:rFonts w:ascii="Arial" w:cs="Arial" w:eastAsia="Arial" w:hAnsi="Arial"/>
                <w:sz w:val="18"/>
                <w:szCs w:val="18"/>
                <w:color w:val="auto"/>
              </w:rPr>
              <w:t>Cost of collaboration and contract manufacturing</w:t>
            </w:r>
            <w:r>
              <w:rPr>
                <w:rFonts w:ascii="Arial" w:cs="Arial" w:eastAsia="Arial" w:hAnsi="Arial"/>
                <w:sz w:val="29"/>
                <w:szCs w:val="29"/>
                <w:color w:val="auto"/>
                <w:vertAlign w:val="superscript"/>
              </w:rPr>
              <w:t>(3)</w:t>
            </w: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664.4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628.0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402.8</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225.2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shd w:val="clear" w:color="auto" w:fill="CDEAFA"/>
          </w:tcPr>
          <w:p>
            <w:pPr>
              <w:spacing w:after="0"/>
              <w:rPr>
                <w:sz w:val="20"/>
                <w:szCs w:val="20"/>
                <w:color w:val="auto"/>
              </w:rPr>
            </w:pPr>
            <w:r>
              <w:rPr>
                <w:rFonts w:ascii="Arial" w:cs="Arial" w:eastAsia="Arial" w:hAnsi="Arial"/>
                <w:sz w:val="18"/>
                <w:szCs w:val="18"/>
                <w:color w:val="auto"/>
              </w:rPr>
              <w:t>Other operating (income) expense, net</w:t>
            </w:r>
          </w:p>
        </w:tc>
        <w:tc>
          <w:tcPr>
            <w:tcW w:w="260" w:type="dxa"/>
            <w:vAlign w:val="bottom"/>
            <w:tcBorders>
              <w:bottom w:val="single" w:sz="8" w:color="auto"/>
            </w:tcBorders>
            <w:shd w:val="clear" w:color="auto" w:fill="CDEAFA"/>
          </w:tcPr>
          <w:p>
            <w:pPr>
              <w:spacing w:after="0"/>
              <w:rPr>
                <w:sz w:val="19"/>
                <w:szCs w:val="19"/>
                <w:color w:val="auto"/>
              </w:rPr>
            </w:pPr>
          </w:p>
        </w:tc>
        <w:tc>
          <w:tcPr>
            <w:tcW w:w="7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DEAFA"/>
          </w:tcPr>
          <w:p>
            <w:pPr>
              <w:spacing w:after="0"/>
              <w:rPr>
                <w:sz w:val="19"/>
                <w:szCs w:val="19"/>
                <w:color w:val="auto"/>
              </w:rPr>
            </w:pPr>
          </w:p>
        </w:tc>
        <w:tc>
          <w:tcPr>
            <w:tcW w:w="240" w:type="dxa"/>
            <w:vAlign w:val="bottom"/>
            <w:tcBorders>
              <w:bottom w:val="single" w:sz="8" w:color="auto"/>
            </w:tcBorders>
            <w:shd w:val="clear" w:color="auto" w:fill="CDEAFA"/>
          </w:tcPr>
          <w:p>
            <w:pPr>
              <w:spacing w:after="0"/>
              <w:rPr>
                <w:sz w:val="19"/>
                <w:szCs w:val="19"/>
                <w:color w:val="auto"/>
              </w:rPr>
            </w:pPr>
          </w:p>
        </w:tc>
        <w:tc>
          <w:tcPr>
            <w:tcW w:w="7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(280.4)</w:t>
            </w:r>
          </w:p>
        </w:tc>
        <w:tc>
          <w:tcPr>
            <w:tcW w:w="20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7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(209.2)</w:t>
            </w:r>
          </w:p>
        </w:tc>
        <w:tc>
          <w:tcPr>
            <w:tcW w:w="180" w:type="dxa"/>
            <w:vAlign w:val="bottom"/>
            <w:shd w:val="clear" w:color="auto" w:fill="CDEAFA"/>
          </w:tcPr>
          <w:p>
            <w:pPr>
              <w:spacing w:after="0"/>
              <w:rPr>
                <w:sz w:val="19"/>
                <w:szCs w:val="19"/>
                <w:color w:val="auto"/>
              </w:rPr>
            </w:pPr>
          </w:p>
        </w:tc>
        <w:tc>
          <w:tcPr>
            <w:tcW w:w="240" w:type="dxa"/>
            <w:vAlign w:val="bottom"/>
            <w:tcBorders>
              <w:bottom w:val="single" w:sz="8" w:color="auto"/>
            </w:tcBorders>
            <w:shd w:val="clear" w:color="auto" w:fill="CDEAFA"/>
          </w:tcPr>
          <w:p>
            <w:pPr>
              <w:spacing w:after="0"/>
              <w:rPr>
                <w:sz w:val="19"/>
                <w:szCs w:val="19"/>
                <w:color w:val="auto"/>
              </w:rPr>
            </w:pPr>
          </w:p>
        </w:tc>
        <w:tc>
          <w:tcPr>
            <w:tcW w:w="76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234.8</w:t>
            </w:r>
          </w:p>
        </w:tc>
        <w:tc>
          <w:tcPr>
            <w:tcW w:w="200" w:type="dxa"/>
            <w:vAlign w:val="bottom"/>
            <w:shd w:val="clear" w:color="auto" w:fill="CDEAFA"/>
          </w:tcPr>
          <w:p>
            <w:pPr>
              <w:spacing w:after="0"/>
              <w:rPr>
                <w:sz w:val="19"/>
                <w:szCs w:val="19"/>
                <w:color w:val="auto"/>
              </w:rPr>
            </w:pPr>
          </w:p>
        </w:tc>
        <w:tc>
          <w:tcPr>
            <w:tcW w:w="380" w:type="dxa"/>
            <w:vAlign w:val="bottom"/>
            <w:tcBorders>
              <w:bottom w:val="single" w:sz="8" w:color="auto"/>
            </w:tcBorders>
            <w:shd w:val="clear" w:color="auto" w:fill="CDEAFA"/>
          </w:tcPr>
          <w:p>
            <w:pPr>
              <w:spacing w:after="0"/>
              <w:rPr>
                <w:sz w:val="19"/>
                <w:szCs w:val="19"/>
                <w:color w:val="auto"/>
              </w:rPr>
            </w:pPr>
          </w:p>
        </w:tc>
        <w:tc>
          <w:tcPr>
            <w:tcW w:w="6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7,124.9</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4,920.5</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4,347.8</w:t>
            </w:r>
          </w:p>
        </w:tc>
        <w:tc>
          <w:tcPr>
            <w:tcW w:w="1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2,204.4</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DEAFA"/>
          </w:tcPr>
          <w:p>
            <w:pPr>
              <w:spacing w:after="0"/>
              <w:rPr>
                <w:sz w:val="20"/>
                <w:szCs w:val="20"/>
                <w:color w:val="auto"/>
              </w:rPr>
            </w:pPr>
            <w:r>
              <w:rPr>
                <w:rFonts w:ascii="Arial" w:cs="Arial" w:eastAsia="Arial" w:hAnsi="Arial"/>
                <w:sz w:val="18"/>
                <w:szCs w:val="18"/>
                <w:color w:val="auto"/>
              </w:rPr>
              <w:t>Average headcount</w:t>
            </w:r>
          </w:p>
        </w:tc>
        <w:tc>
          <w:tcPr>
            <w:tcW w:w="26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9,884</w:t>
            </w:r>
          </w:p>
        </w:tc>
        <w:tc>
          <w:tcPr>
            <w:tcW w:w="20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7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8,495</w:t>
            </w:r>
          </w:p>
        </w:tc>
        <w:tc>
          <w:tcPr>
            <w:tcW w:w="20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7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7,773</w:t>
            </w:r>
          </w:p>
        </w:tc>
        <w:tc>
          <w:tcPr>
            <w:tcW w:w="18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7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1,389</w:t>
            </w:r>
          </w:p>
        </w:tc>
        <w:tc>
          <w:tcPr>
            <w:tcW w:w="200" w:type="dxa"/>
            <w:vAlign w:val="bottom"/>
            <w:shd w:val="clear" w:color="auto" w:fill="CDEAFA"/>
          </w:tcPr>
          <w:p>
            <w:pPr>
              <w:spacing w:after="0"/>
              <w:rPr>
                <w:sz w:val="18"/>
                <w:szCs w:val="18"/>
                <w:color w:val="auto"/>
              </w:rPr>
            </w:pPr>
          </w:p>
        </w:tc>
        <w:tc>
          <w:tcPr>
            <w:tcW w:w="380" w:type="dxa"/>
            <w:vAlign w:val="bottom"/>
            <w:shd w:val="clear" w:color="auto" w:fill="CDEAFA"/>
          </w:tcPr>
          <w:p>
            <w:pPr>
              <w:spacing w:after="0"/>
              <w:rPr>
                <w:sz w:val="18"/>
                <w:szCs w:val="18"/>
                <w:color w:val="auto"/>
              </w:rPr>
            </w:pPr>
          </w:p>
        </w:tc>
        <w:tc>
          <w:tcPr>
            <w:tcW w:w="6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980" w:hanging="186"/>
        <w:spacing w:after="0"/>
        <w:tabs>
          <w:tab w:leader="none" w:pos="98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Includes costs incurred as well as cost reimbursements from collaborators who are not deemed to be our customers</w:t>
      </w:r>
    </w:p>
    <w:p>
      <w:pPr>
        <w:spacing w:after="0" w:line="50" w:lineRule="exact"/>
        <w:rPr>
          <w:rFonts w:ascii="Arial" w:cs="Arial" w:eastAsia="Arial" w:hAnsi="Arial"/>
          <w:sz w:val="22"/>
          <w:szCs w:val="22"/>
          <w:color w:val="auto"/>
          <w:vertAlign w:val="superscript"/>
        </w:rPr>
      </w:pPr>
    </w:p>
    <w:p>
      <w:pPr>
        <w:ind w:left="800" w:right="900" w:hanging="6"/>
        <w:spacing w:after="0" w:line="230" w:lineRule="auto"/>
        <w:tabs>
          <w:tab w:leader="none" w:pos="991"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Cost of goods sold primarily includes costs in connection with producing commercial supplies for products that are sold by Regeneron in the United States (i.e., for which we record net product sales), any royalties we are obligated to pay on such sales, and amounts we are obligated to pay to collaborators for their share of gross profits.</w:t>
      </w:r>
    </w:p>
    <w:p>
      <w:pPr>
        <w:spacing w:after="0" w:line="38" w:lineRule="exact"/>
        <w:rPr>
          <w:rFonts w:ascii="Arial" w:cs="Arial" w:eastAsia="Arial" w:hAnsi="Arial"/>
          <w:sz w:val="24"/>
          <w:szCs w:val="24"/>
          <w:color w:val="auto"/>
          <w:vertAlign w:val="superscript"/>
        </w:rPr>
      </w:pPr>
    </w:p>
    <w:p>
      <w:pPr>
        <w:ind w:left="800" w:right="1620" w:hanging="6"/>
        <w:spacing w:after="0" w:line="218" w:lineRule="auto"/>
        <w:tabs>
          <w:tab w:leader="none" w:pos="991"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Cost of collaboration and contract manufacturing includes costs we incur in connection with producing commercial drug supplies for collaborators and others.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 2021, 2020, and 2019 included a total of $601.7 million, $432.0 million, and $464.3 million, respectively, of non-cash compensation expense related to equity awards granted under our long-term incentive plans. As of December 31, 2021, unrecognized non-cash compensation expense related to unvested stock options and unvested restricted stock (including performance-based restricted stock units) was $515.9 million and $857.1 million, respectively. We expect to recognize this non-cash compensation expense related to stock options and restricted stock over weighted-average periods of 1.8 years and 3.0 years,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 (see “Critical Accounting Policies and Use of Estimates - Inventories” above).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6"/>
              </w:rPr>
              <w:t>$ Change</w:t>
            </w:r>
          </w:p>
        </w:tc>
        <w:tc>
          <w:tcPr>
            <w:tcW w:w="660" w:type="dxa"/>
            <w:vAlign w:val="bottom"/>
            <w:tcBorders>
              <w:bottom w:val="single" w:sz="8" w:color="auto"/>
            </w:tcBorders>
          </w:tcPr>
          <w:p>
            <w:pPr>
              <w:spacing w:after="0"/>
              <w:rPr>
                <w:sz w:val="20"/>
                <w:szCs w:val="20"/>
                <w:color w:val="auto"/>
              </w:rPr>
            </w:pPr>
          </w:p>
        </w:tc>
      </w:tr>
      <w:tr>
        <w:trPr>
          <w:trHeight w:val="250"/>
        </w:trPr>
        <w:tc>
          <w:tcPr>
            <w:tcW w:w="424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1"/>
                <w:szCs w:val="21"/>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10"/>
              <w:spacing w:after="0" w:line="250" w:lineRule="exact"/>
              <w:rPr>
                <w:sz w:val="20"/>
                <w:szCs w:val="20"/>
                <w:color w:val="auto"/>
              </w:rPr>
            </w:pPr>
            <w:r>
              <w:rPr>
                <w:rFonts w:ascii="Arial" w:cs="Arial" w:eastAsia="Arial" w:hAnsi="Arial"/>
                <w:sz w:val="17"/>
                <w:szCs w:val="17"/>
                <w:b w:val="1"/>
                <w:bCs w:val="1"/>
                <w:color w:val="auto"/>
              </w:rPr>
              <w:t>2020</w:t>
            </w:r>
            <w:r>
              <w:rPr>
                <w:rFonts w:ascii="Arial" w:cs="Arial" w:eastAsia="Arial" w:hAnsi="Arial"/>
                <w:sz w:val="28"/>
                <w:szCs w:val="28"/>
                <w:b w:val="1"/>
                <w:bCs w:val="1"/>
                <w:color w:val="auto"/>
                <w:vertAlign w:val="superscript"/>
              </w:rPr>
              <w:t>*</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10"/>
              <w:spacing w:after="0" w:line="250" w:lineRule="exact"/>
              <w:rPr>
                <w:sz w:val="20"/>
                <w:szCs w:val="20"/>
                <w:color w:val="auto"/>
              </w:rPr>
            </w:pPr>
            <w:r>
              <w:rPr>
                <w:rFonts w:ascii="Arial" w:cs="Arial" w:eastAsia="Arial" w:hAnsi="Arial"/>
                <w:sz w:val="17"/>
                <w:szCs w:val="17"/>
                <w:b w:val="1"/>
                <w:bCs w:val="1"/>
                <w:color w:val="auto"/>
                <w:w w:val="93"/>
              </w:rPr>
              <w:t>2019</w:t>
            </w:r>
            <w:r>
              <w:rPr>
                <w:rFonts w:ascii="Arial" w:cs="Arial" w:eastAsia="Arial" w:hAnsi="Arial"/>
                <w:sz w:val="28"/>
                <w:szCs w:val="28"/>
                <w:b w:val="1"/>
                <w:bCs w:val="1"/>
                <w:color w:val="auto"/>
                <w:w w:val="93"/>
                <w:vertAlign w:val="superscript"/>
              </w:rPr>
              <w:t>*</w:t>
            </w:r>
          </w:p>
        </w:tc>
        <w:tc>
          <w:tcPr>
            <w:tcW w:w="18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2021 vs. 2020</w:t>
            </w: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85"/>
              </w:rPr>
              <w:t>2020 vs. 2019</w:t>
            </w:r>
          </w:p>
        </w:tc>
      </w:tr>
      <w:tr>
        <w:trPr>
          <w:trHeight w:val="237"/>
        </w:trPr>
        <w:tc>
          <w:tcPr>
            <w:tcW w:w="4240" w:type="dxa"/>
            <w:vAlign w:val="bottom"/>
            <w:tcBorders>
              <w:top w:val="single" w:sz="8" w:color="CDEAFA"/>
            </w:tcBorders>
            <w:shd w:val="clear" w:color="auto" w:fill="CDEAFA"/>
          </w:tcPr>
          <w:p>
            <w:pPr>
              <w:spacing w:after="0"/>
              <w:rPr>
                <w:sz w:val="20"/>
                <w:szCs w:val="20"/>
                <w:color w:val="auto"/>
              </w:rPr>
            </w:pPr>
            <w:r>
              <w:rPr>
                <w:rFonts w:ascii="Arial" w:cs="Arial" w:eastAsia="Arial" w:hAnsi="Arial"/>
                <w:sz w:val="18"/>
                <w:szCs w:val="18"/>
                <w:color w:val="auto"/>
              </w:rPr>
              <w:t>Direct research and development expenses:</w:t>
            </w:r>
          </w:p>
        </w:tc>
        <w:tc>
          <w:tcPr>
            <w:tcW w:w="260" w:type="dxa"/>
            <w:vAlign w:val="bottom"/>
            <w:tcBorders>
              <w:top w:val="single" w:sz="8" w:color="auto"/>
            </w:tcBorders>
            <w:shd w:val="clear" w:color="auto" w:fill="CDEAFA"/>
          </w:tcPr>
          <w:p>
            <w:pPr>
              <w:spacing w:after="0"/>
              <w:rPr>
                <w:sz w:val="20"/>
                <w:szCs w:val="20"/>
                <w:color w:val="auto"/>
              </w:rPr>
            </w:pPr>
          </w:p>
        </w:tc>
        <w:tc>
          <w:tcPr>
            <w:tcW w:w="780" w:type="dxa"/>
            <w:vAlign w:val="bottom"/>
            <w:tcBorders>
              <w:top w:val="single" w:sz="8" w:color="auto"/>
            </w:tcBorders>
            <w:shd w:val="clear" w:color="auto" w:fill="CDEAFA"/>
          </w:tcPr>
          <w:p>
            <w:pPr>
              <w:spacing w:after="0"/>
              <w:rPr>
                <w:sz w:val="20"/>
                <w:szCs w:val="20"/>
                <w:color w:val="auto"/>
              </w:rPr>
            </w:pPr>
          </w:p>
        </w:tc>
        <w:tc>
          <w:tcPr>
            <w:tcW w:w="200" w:type="dxa"/>
            <w:vAlign w:val="bottom"/>
            <w:tcBorders>
              <w:top w:val="single" w:sz="8" w:color="CDEAFA"/>
            </w:tcBorders>
            <w:shd w:val="clear" w:color="auto" w:fill="CDEAFA"/>
          </w:tcPr>
          <w:p>
            <w:pPr>
              <w:spacing w:after="0"/>
              <w:rPr>
                <w:sz w:val="20"/>
                <w:szCs w:val="20"/>
                <w:color w:val="auto"/>
              </w:rPr>
            </w:pPr>
          </w:p>
        </w:tc>
        <w:tc>
          <w:tcPr>
            <w:tcW w:w="220" w:type="dxa"/>
            <w:vAlign w:val="bottom"/>
            <w:tcBorders>
              <w:top w:val="single" w:sz="8" w:color="auto"/>
            </w:tcBorders>
            <w:shd w:val="clear" w:color="auto" w:fill="CDEAFA"/>
          </w:tcPr>
          <w:p>
            <w:pPr>
              <w:spacing w:after="0"/>
              <w:rPr>
                <w:sz w:val="20"/>
                <w:szCs w:val="20"/>
                <w:color w:val="auto"/>
              </w:rPr>
            </w:pPr>
          </w:p>
        </w:tc>
        <w:tc>
          <w:tcPr>
            <w:tcW w:w="800" w:type="dxa"/>
            <w:vAlign w:val="bottom"/>
            <w:tcBorders>
              <w:top w:val="single" w:sz="8" w:color="auto"/>
            </w:tcBorders>
            <w:shd w:val="clear" w:color="auto" w:fill="CDEAFA"/>
          </w:tcPr>
          <w:p>
            <w:pPr>
              <w:spacing w:after="0"/>
              <w:rPr>
                <w:sz w:val="20"/>
                <w:szCs w:val="20"/>
                <w:color w:val="auto"/>
              </w:rPr>
            </w:pPr>
          </w:p>
        </w:tc>
        <w:tc>
          <w:tcPr>
            <w:tcW w:w="200" w:type="dxa"/>
            <w:vAlign w:val="bottom"/>
            <w:tcBorders>
              <w:top w:val="single" w:sz="8" w:color="CDEAFA"/>
            </w:tcBorders>
            <w:shd w:val="clear" w:color="auto" w:fill="CDEAFA"/>
          </w:tcPr>
          <w:p>
            <w:pPr>
              <w:spacing w:after="0"/>
              <w:rPr>
                <w:sz w:val="20"/>
                <w:szCs w:val="20"/>
                <w:color w:val="auto"/>
              </w:rPr>
            </w:pPr>
          </w:p>
        </w:tc>
        <w:tc>
          <w:tcPr>
            <w:tcW w:w="280" w:type="dxa"/>
            <w:vAlign w:val="bottom"/>
            <w:tcBorders>
              <w:top w:val="single" w:sz="8" w:color="auto"/>
            </w:tcBorders>
            <w:shd w:val="clear" w:color="auto" w:fill="CDEAFA"/>
          </w:tcPr>
          <w:p>
            <w:pPr>
              <w:spacing w:after="0"/>
              <w:rPr>
                <w:sz w:val="20"/>
                <w:szCs w:val="20"/>
                <w:color w:val="auto"/>
              </w:rPr>
            </w:pPr>
          </w:p>
        </w:tc>
        <w:tc>
          <w:tcPr>
            <w:tcW w:w="740" w:type="dxa"/>
            <w:vAlign w:val="bottom"/>
            <w:tcBorders>
              <w:top w:val="single" w:sz="8" w:color="auto"/>
            </w:tcBorders>
            <w:shd w:val="clear" w:color="auto" w:fill="CDEAFA"/>
          </w:tcPr>
          <w:p>
            <w:pPr>
              <w:spacing w:after="0"/>
              <w:rPr>
                <w:sz w:val="20"/>
                <w:szCs w:val="20"/>
                <w:color w:val="auto"/>
              </w:rPr>
            </w:pPr>
          </w:p>
        </w:tc>
        <w:tc>
          <w:tcPr>
            <w:tcW w:w="180" w:type="dxa"/>
            <w:vAlign w:val="bottom"/>
            <w:tcBorders>
              <w:top w:val="single" w:sz="8" w:color="CDEAFA"/>
            </w:tcBorders>
            <w:shd w:val="clear" w:color="auto" w:fill="CDEAFA"/>
          </w:tcPr>
          <w:p>
            <w:pPr>
              <w:spacing w:after="0"/>
              <w:rPr>
                <w:sz w:val="20"/>
                <w:szCs w:val="20"/>
                <w:color w:val="auto"/>
              </w:rPr>
            </w:pPr>
          </w:p>
        </w:tc>
        <w:tc>
          <w:tcPr>
            <w:tcW w:w="280" w:type="dxa"/>
            <w:vAlign w:val="bottom"/>
            <w:tcBorders>
              <w:top w:val="single" w:sz="8" w:color="auto"/>
            </w:tcBorders>
            <w:shd w:val="clear" w:color="auto" w:fill="CDEAFA"/>
          </w:tcPr>
          <w:p>
            <w:pPr>
              <w:spacing w:after="0"/>
              <w:rPr>
                <w:sz w:val="20"/>
                <w:szCs w:val="20"/>
                <w:color w:val="auto"/>
              </w:rPr>
            </w:pPr>
          </w:p>
        </w:tc>
        <w:tc>
          <w:tcPr>
            <w:tcW w:w="720" w:type="dxa"/>
            <w:vAlign w:val="bottom"/>
            <w:tcBorders>
              <w:top w:val="single" w:sz="8" w:color="auto"/>
            </w:tcBorders>
            <w:shd w:val="clear" w:color="auto" w:fill="CDEAFA"/>
          </w:tcPr>
          <w:p>
            <w:pPr>
              <w:spacing w:after="0"/>
              <w:rPr>
                <w:sz w:val="20"/>
                <w:szCs w:val="20"/>
                <w:color w:val="auto"/>
              </w:rPr>
            </w:pPr>
          </w:p>
        </w:tc>
        <w:tc>
          <w:tcPr>
            <w:tcW w:w="200" w:type="dxa"/>
            <w:vAlign w:val="bottom"/>
            <w:tcBorders>
              <w:top w:val="single" w:sz="8" w:color="CDEAFA"/>
            </w:tcBorders>
            <w:shd w:val="clear" w:color="auto" w:fill="CDEAFA"/>
          </w:tcPr>
          <w:p>
            <w:pPr>
              <w:spacing w:after="0"/>
              <w:rPr>
                <w:sz w:val="20"/>
                <w:szCs w:val="20"/>
                <w:color w:val="auto"/>
              </w:rPr>
            </w:pPr>
          </w:p>
        </w:tc>
        <w:tc>
          <w:tcPr>
            <w:tcW w:w="340" w:type="dxa"/>
            <w:vAlign w:val="bottom"/>
            <w:tcBorders>
              <w:top w:val="single" w:sz="8" w:color="auto"/>
            </w:tcBorders>
            <w:shd w:val="clear" w:color="auto" w:fill="CDEAFA"/>
          </w:tcPr>
          <w:p>
            <w:pPr>
              <w:spacing w:after="0"/>
              <w:rPr>
                <w:sz w:val="20"/>
                <w:szCs w:val="20"/>
                <w:color w:val="auto"/>
              </w:rPr>
            </w:pPr>
          </w:p>
        </w:tc>
        <w:tc>
          <w:tcPr>
            <w:tcW w:w="660" w:type="dxa"/>
            <w:vAlign w:val="bottom"/>
            <w:tcBorders>
              <w:top w:val="single" w:sz="8" w:color="auto"/>
            </w:tcBorders>
            <w:shd w:val="clear" w:color="auto" w:fill="CDEAFA"/>
          </w:tcPr>
          <w:p>
            <w:pPr>
              <w:spacing w:after="0"/>
              <w:rPr>
                <w:sz w:val="20"/>
                <w:szCs w:val="20"/>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REGEN-COV (casirivimab and imdevimab)</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309.8</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290.7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290.7</w:t>
            </w:r>
          </w:p>
        </w:tc>
      </w:tr>
      <w:tr>
        <w:trPr>
          <w:trHeight w:val="216"/>
        </w:trPr>
        <w:tc>
          <w:tcPr>
            <w:tcW w:w="4240" w:type="dxa"/>
            <w:vAlign w:val="bottom"/>
            <w:shd w:val="clear" w:color="auto" w:fill="CDEAFA"/>
          </w:tcPr>
          <w:p>
            <w:pPr>
              <w:ind w:left="180"/>
              <w:spacing w:after="0"/>
              <w:rPr>
                <w:sz w:val="20"/>
                <w:szCs w:val="20"/>
                <w:color w:val="auto"/>
              </w:rPr>
            </w:pPr>
            <w:r>
              <w:rPr>
                <w:rFonts w:ascii="Arial" w:cs="Arial" w:eastAsia="Arial" w:hAnsi="Arial"/>
                <w:sz w:val="18"/>
                <w:szCs w:val="18"/>
                <w:color w:val="auto"/>
              </w:rPr>
              <w:t>Dupixent (dupilumab)</w:t>
            </w:r>
          </w:p>
        </w:tc>
        <w:tc>
          <w:tcPr>
            <w:tcW w:w="26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146.4</w:t>
            </w:r>
          </w:p>
        </w:tc>
        <w:tc>
          <w:tcPr>
            <w:tcW w:w="20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8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129.7</w:t>
            </w:r>
          </w:p>
        </w:tc>
        <w:tc>
          <w:tcPr>
            <w:tcW w:w="200" w:type="dxa"/>
            <w:vAlign w:val="bottom"/>
            <w:shd w:val="clear" w:color="auto" w:fill="CDEAFA"/>
          </w:tcPr>
          <w:p>
            <w:pPr>
              <w:spacing w:after="0"/>
              <w:rPr>
                <w:sz w:val="18"/>
                <w:szCs w:val="18"/>
                <w:color w:val="auto"/>
              </w:rPr>
            </w:pPr>
          </w:p>
        </w:tc>
        <w:tc>
          <w:tcPr>
            <w:tcW w:w="280" w:type="dxa"/>
            <w:vAlign w:val="bottom"/>
            <w:shd w:val="clear" w:color="auto" w:fill="CDEAFA"/>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104.3</w:t>
            </w:r>
          </w:p>
        </w:tc>
        <w:tc>
          <w:tcPr>
            <w:tcW w:w="18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7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6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25.4</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Libtayo (cemiplimab)</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155.3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160.8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240" w:type="dxa"/>
            <w:vAlign w:val="bottom"/>
            <w:shd w:val="clear" w:color="auto" w:fill="CDEAFA"/>
          </w:tcPr>
          <w:p>
            <w:pPr>
              <w:ind w:left="180"/>
              <w:spacing w:after="0"/>
              <w:rPr>
                <w:sz w:val="20"/>
                <w:szCs w:val="20"/>
                <w:color w:val="auto"/>
              </w:rPr>
            </w:pPr>
            <w:r>
              <w:rPr>
                <w:rFonts w:ascii="Arial" w:cs="Arial" w:eastAsia="Arial" w:hAnsi="Arial"/>
                <w:sz w:val="18"/>
                <w:szCs w:val="18"/>
                <w:color w:val="auto"/>
              </w:rPr>
              <w:t>EYLEA and aflibercept 8 mg</w:t>
            </w:r>
          </w:p>
        </w:tc>
        <w:tc>
          <w:tcPr>
            <w:tcW w:w="26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102.2</w:t>
            </w:r>
          </w:p>
        </w:tc>
        <w:tc>
          <w:tcPr>
            <w:tcW w:w="20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8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7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7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6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16.8</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Fasinumab</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167.8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203.4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02"/>
        </w:trPr>
        <w:tc>
          <w:tcPr>
            <w:tcW w:w="4240" w:type="dxa"/>
            <w:vAlign w:val="bottom"/>
            <w:shd w:val="clear" w:color="auto" w:fill="CDEAFA"/>
          </w:tcPr>
          <w:p>
            <w:pPr>
              <w:ind w:left="180"/>
              <w:spacing w:after="0" w:line="201" w:lineRule="exact"/>
              <w:rPr>
                <w:sz w:val="20"/>
                <w:szCs w:val="20"/>
                <w:color w:val="auto"/>
              </w:rPr>
            </w:pPr>
            <w:r>
              <w:rPr>
                <w:rFonts w:ascii="Arial" w:cs="Arial" w:eastAsia="Arial" w:hAnsi="Arial"/>
                <w:sz w:val="18"/>
                <w:szCs w:val="18"/>
                <w:color w:val="auto"/>
              </w:rPr>
              <w:t>Up-front payments related to license and</w:t>
            </w:r>
          </w:p>
        </w:tc>
        <w:tc>
          <w:tcPr>
            <w:tcW w:w="260" w:type="dxa"/>
            <w:vAlign w:val="bottom"/>
            <w:shd w:val="clear" w:color="auto" w:fill="CDEAFA"/>
          </w:tcPr>
          <w:p>
            <w:pPr>
              <w:spacing w:after="0"/>
              <w:rPr>
                <w:sz w:val="17"/>
                <w:szCs w:val="17"/>
                <w:color w:val="auto"/>
              </w:rPr>
            </w:pPr>
          </w:p>
        </w:tc>
        <w:tc>
          <w:tcPr>
            <w:tcW w:w="780" w:type="dxa"/>
            <w:vAlign w:val="bottom"/>
            <w:shd w:val="clear" w:color="auto" w:fill="CDEAFA"/>
          </w:tcPr>
          <w:p>
            <w:pPr>
              <w:spacing w:after="0"/>
              <w:rPr>
                <w:sz w:val="17"/>
                <w:szCs w:val="17"/>
                <w:color w:val="auto"/>
              </w:rPr>
            </w:pPr>
          </w:p>
        </w:tc>
        <w:tc>
          <w:tcPr>
            <w:tcW w:w="20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800" w:type="dxa"/>
            <w:vAlign w:val="bottom"/>
            <w:shd w:val="clear" w:color="auto" w:fill="CDEAFA"/>
          </w:tcPr>
          <w:p>
            <w:pPr>
              <w:spacing w:after="0"/>
              <w:rPr>
                <w:sz w:val="17"/>
                <w:szCs w:val="17"/>
                <w:color w:val="auto"/>
              </w:rPr>
            </w:pPr>
          </w:p>
        </w:tc>
        <w:tc>
          <w:tcPr>
            <w:tcW w:w="200" w:type="dxa"/>
            <w:vAlign w:val="bottom"/>
            <w:shd w:val="clear" w:color="auto" w:fill="CDEAFA"/>
          </w:tcPr>
          <w:p>
            <w:pPr>
              <w:spacing w:after="0"/>
              <w:rPr>
                <w:sz w:val="17"/>
                <w:szCs w:val="17"/>
                <w:color w:val="auto"/>
              </w:rPr>
            </w:pPr>
          </w:p>
        </w:tc>
        <w:tc>
          <w:tcPr>
            <w:tcW w:w="280" w:type="dxa"/>
            <w:vAlign w:val="bottom"/>
            <w:shd w:val="clear" w:color="auto" w:fill="CDEAFA"/>
          </w:tcPr>
          <w:p>
            <w:pPr>
              <w:spacing w:after="0"/>
              <w:rPr>
                <w:sz w:val="17"/>
                <w:szCs w:val="17"/>
                <w:color w:val="auto"/>
              </w:rPr>
            </w:pPr>
          </w:p>
        </w:tc>
        <w:tc>
          <w:tcPr>
            <w:tcW w:w="740" w:type="dxa"/>
            <w:vAlign w:val="bottom"/>
            <w:shd w:val="clear" w:color="auto" w:fill="CDEAFA"/>
          </w:tcPr>
          <w:p>
            <w:pPr>
              <w:spacing w:after="0"/>
              <w:rPr>
                <w:sz w:val="17"/>
                <w:szCs w:val="17"/>
                <w:color w:val="auto"/>
              </w:rPr>
            </w:pPr>
          </w:p>
        </w:tc>
        <w:tc>
          <w:tcPr>
            <w:tcW w:w="180" w:type="dxa"/>
            <w:vAlign w:val="bottom"/>
            <w:shd w:val="clear" w:color="auto" w:fill="CDEAFA"/>
          </w:tcPr>
          <w:p>
            <w:pPr>
              <w:spacing w:after="0"/>
              <w:rPr>
                <w:sz w:val="17"/>
                <w:szCs w:val="17"/>
                <w:color w:val="auto"/>
              </w:rPr>
            </w:pPr>
          </w:p>
        </w:tc>
        <w:tc>
          <w:tcPr>
            <w:tcW w:w="280" w:type="dxa"/>
            <w:vAlign w:val="bottom"/>
            <w:shd w:val="clear" w:color="auto" w:fill="CDEAFA"/>
          </w:tcPr>
          <w:p>
            <w:pPr>
              <w:spacing w:after="0"/>
              <w:rPr>
                <w:sz w:val="17"/>
                <w:szCs w:val="17"/>
                <w:color w:val="auto"/>
              </w:rPr>
            </w:pPr>
          </w:p>
        </w:tc>
        <w:tc>
          <w:tcPr>
            <w:tcW w:w="720" w:type="dxa"/>
            <w:vAlign w:val="bottom"/>
            <w:shd w:val="clear" w:color="auto" w:fill="CDEAFA"/>
          </w:tcPr>
          <w:p>
            <w:pPr>
              <w:spacing w:after="0"/>
              <w:rPr>
                <w:sz w:val="17"/>
                <w:szCs w:val="17"/>
                <w:color w:val="auto"/>
              </w:rPr>
            </w:pPr>
          </w:p>
        </w:tc>
        <w:tc>
          <w:tcPr>
            <w:tcW w:w="200" w:type="dxa"/>
            <w:vAlign w:val="bottom"/>
            <w:shd w:val="clear" w:color="auto" w:fill="CDEAFA"/>
          </w:tcPr>
          <w:p>
            <w:pPr>
              <w:spacing w:after="0"/>
              <w:rPr>
                <w:sz w:val="17"/>
                <w:szCs w:val="17"/>
                <w:color w:val="auto"/>
              </w:rPr>
            </w:pPr>
          </w:p>
        </w:tc>
        <w:tc>
          <w:tcPr>
            <w:tcW w:w="340" w:type="dxa"/>
            <w:vAlign w:val="bottom"/>
            <w:shd w:val="clear" w:color="auto" w:fill="CDEAFA"/>
          </w:tcPr>
          <w:p>
            <w:pPr>
              <w:spacing w:after="0"/>
              <w:rPr>
                <w:sz w:val="17"/>
                <w:szCs w:val="17"/>
                <w:color w:val="auto"/>
              </w:rPr>
            </w:pPr>
          </w:p>
        </w:tc>
        <w:tc>
          <w:tcPr>
            <w:tcW w:w="660" w:type="dxa"/>
            <w:vAlign w:val="bottom"/>
            <w:shd w:val="clear" w:color="auto" w:fill="CDEAFA"/>
          </w:tcPr>
          <w:p>
            <w:pPr>
              <w:spacing w:after="0"/>
              <w:rPr>
                <w:sz w:val="17"/>
                <w:szCs w:val="17"/>
                <w:color w:val="auto"/>
              </w:rPr>
            </w:pPr>
          </w:p>
        </w:tc>
      </w:tr>
      <w:tr>
        <w:trPr>
          <w:trHeight w:val="230"/>
        </w:trPr>
        <w:tc>
          <w:tcPr>
            <w:tcW w:w="4240" w:type="dxa"/>
            <w:vAlign w:val="bottom"/>
            <w:shd w:val="clear" w:color="auto" w:fill="CDEAFA"/>
          </w:tcPr>
          <w:p>
            <w:pPr>
              <w:ind w:left="360"/>
              <w:spacing w:after="0"/>
              <w:rPr>
                <w:sz w:val="20"/>
                <w:szCs w:val="20"/>
                <w:color w:val="auto"/>
              </w:rPr>
            </w:pPr>
            <w:r>
              <w:rPr>
                <w:rFonts w:ascii="Arial" w:cs="Arial" w:eastAsia="Arial" w:hAnsi="Arial"/>
                <w:sz w:val="18"/>
                <w:szCs w:val="18"/>
                <w:color w:val="auto"/>
              </w:rPr>
              <w:t>collaboration agreements</w:t>
            </w:r>
          </w:p>
        </w:tc>
        <w:tc>
          <w:tcPr>
            <w:tcW w:w="260" w:type="dxa"/>
            <w:vAlign w:val="bottom"/>
            <w:shd w:val="clear" w:color="auto" w:fill="CDEAFA"/>
          </w:tcPr>
          <w:p>
            <w:pPr>
              <w:spacing w:after="0"/>
              <w:rPr>
                <w:sz w:val="20"/>
                <w:szCs w:val="20"/>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DEAFA"/>
          </w:tcPr>
          <w:p>
            <w:pPr>
              <w:spacing w:after="0"/>
              <w:rPr>
                <w:sz w:val="20"/>
                <w:szCs w:val="20"/>
                <w:color w:val="auto"/>
              </w:rPr>
            </w:pPr>
          </w:p>
        </w:tc>
        <w:tc>
          <w:tcPr>
            <w:tcW w:w="220" w:type="dxa"/>
            <w:vAlign w:val="bottom"/>
            <w:shd w:val="clear" w:color="auto" w:fill="CDEAFA"/>
          </w:tcPr>
          <w:p>
            <w:pPr>
              <w:spacing w:after="0"/>
              <w:rPr>
                <w:sz w:val="20"/>
                <w:szCs w:val="20"/>
                <w:color w:val="auto"/>
              </w:rPr>
            </w:pPr>
          </w:p>
        </w:tc>
        <w:tc>
          <w:tcPr>
            <w:tcW w:w="8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DEAFA"/>
          </w:tcPr>
          <w:p>
            <w:pPr>
              <w:spacing w:after="0"/>
              <w:rPr>
                <w:sz w:val="20"/>
                <w:szCs w:val="20"/>
                <w:color w:val="auto"/>
              </w:rPr>
            </w:pPr>
          </w:p>
        </w:tc>
        <w:tc>
          <w:tcPr>
            <w:tcW w:w="280" w:type="dxa"/>
            <w:vAlign w:val="bottom"/>
            <w:shd w:val="clear" w:color="auto" w:fill="CDEAFA"/>
          </w:tcPr>
          <w:p>
            <w:pPr>
              <w:spacing w:after="0"/>
              <w:rPr>
                <w:sz w:val="20"/>
                <w:szCs w:val="20"/>
                <w:color w:val="auto"/>
              </w:rPr>
            </w:pPr>
          </w:p>
        </w:tc>
        <w:tc>
          <w:tcPr>
            <w:tcW w:w="7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430.0</w:t>
            </w:r>
          </w:p>
        </w:tc>
        <w:tc>
          <w:tcPr>
            <w:tcW w:w="180" w:type="dxa"/>
            <w:vAlign w:val="bottom"/>
            <w:shd w:val="clear" w:color="auto" w:fill="CDEAFA"/>
          </w:tcPr>
          <w:p>
            <w:pPr>
              <w:spacing w:after="0"/>
              <w:rPr>
                <w:sz w:val="20"/>
                <w:szCs w:val="20"/>
                <w:color w:val="auto"/>
              </w:rPr>
            </w:pPr>
          </w:p>
        </w:tc>
        <w:tc>
          <w:tcPr>
            <w:tcW w:w="280" w:type="dxa"/>
            <w:vAlign w:val="bottom"/>
            <w:shd w:val="clear" w:color="auto" w:fill="CDEAFA"/>
          </w:tcPr>
          <w:p>
            <w:pPr>
              <w:spacing w:after="0"/>
              <w:rPr>
                <w:sz w:val="20"/>
                <w:szCs w:val="20"/>
                <w:color w:val="auto"/>
              </w:rPr>
            </w:pPr>
          </w:p>
        </w:tc>
        <w:tc>
          <w:tcPr>
            <w:tcW w:w="7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DEAFA"/>
          </w:tcPr>
          <w:p>
            <w:pPr>
              <w:spacing w:after="0"/>
              <w:rPr>
                <w:sz w:val="20"/>
                <w:szCs w:val="20"/>
                <w:color w:val="auto"/>
              </w:rPr>
            </w:pPr>
          </w:p>
        </w:tc>
        <w:tc>
          <w:tcPr>
            <w:tcW w:w="340" w:type="dxa"/>
            <w:vAlign w:val="bottom"/>
            <w:shd w:val="clear" w:color="auto" w:fill="CDEAFA"/>
          </w:tcPr>
          <w:p>
            <w:pPr>
              <w:spacing w:after="0"/>
              <w:rPr>
                <w:sz w:val="20"/>
                <w:szCs w:val="20"/>
                <w:color w:val="auto"/>
              </w:rPr>
            </w:pPr>
          </w:p>
        </w:tc>
        <w:tc>
          <w:tcPr>
            <w:tcW w:w="6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(345.0)</w:t>
            </w:r>
          </w:p>
        </w:tc>
      </w:tr>
      <w:tr>
        <w:trPr>
          <w:trHeight w:val="202"/>
        </w:trPr>
        <w:tc>
          <w:tcPr>
            <w:tcW w:w="4240" w:type="dxa"/>
            <w:vAlign w:val="bottom"/>
          </w:tcPr>
          <w:p>
            <w:pPr>
              <w:ind w:left="180"/>
              <w:spacing w:after="0" w:line="201" w:lineRule="exact"/>
              <w:rPr>
                <w:sz w:val="20"/>
                <w:szCs w:val="20"/>
                <w:color w:val="auto"/>
              </w:rPr>
            </w:pPr>
            <w:r>
              <w:rPr>
                <w:rFonts w:ascii="Arial" w:cs="Arial" w:eastAsia="Arial" w:hAnsi="Arial"/>
                <w:sz w:val="18"/>
                <w:szCs w:val="18"/>
                <w:color w:val="auto"/>
                <w:w w:val="95"/>
              </w:rPr>
              <w:t>Other product candidates in clinical development and</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44"/>
        </w:trPr>
        <w:tc>
          <w:tcPr>
            <w:tcW w:w="4240" w:type="dxa"/>
            <w:vAlign w:val="bottom"/>
            <w:tcBorders>
              <w:bottom w:val="single" w:sz="8" w:color="CDEAFA"/>
            </w:tcBorders>
          </w:tcPr>
          <w:p>
            <w:pPr>
              <w:ind w:left="360"/>
              <w:spacing w:after="0"/>
              <w:rPr>
                <w:sz w:val="20"/>
                <w:szCs w:val="20"/>
                <w:color w:val="auto"/>
              </w:rPr>
            </w:pPr>
            <w:r>
              <w:rPr>
                <w:rFonts w:ascii="Arial" w:cs="Arial" w:eastAsia="Arial" w:hAnsi="Arial"/>
                <w:sz w:val="18"/>
                <w:szCs w:val="18"/>
                <w:color w:val="auto"/>
              </w:rPr>
              <w:t>other research programs</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200" w:type="dxa"/>
            <w:vAlign w:val="bottom"/>
            <w:tcBorders>
              <w:bottom w:val="single" w:sz="8" w:color="CDEAFA"/>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494.5</w:t>
            </w:r>
          </w:p>
        </w:tc>
        <w:tc>
          <w:tcPr>
            <w:tcW w:w="200" w:type="dxa"/>
            <w:vAlign w:val="bottom"/>
            <w:tcBorders>
              <w:bottom w:val="single" w:sz="8" w:color="CDEAFA"/>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355.7</w:t>
            </w:r>
          </w:p>
        </w:tc>
        <w:tc>
          <w:tcPr>
            <w:tcW w:w="180" w:type="dxa"/>
            <w:vAlign w:val="bottom"/>
            <w:tcBorders>
              <w:bottom w:val="single" w:sz="8" w:color="CDEAFA"/>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Borders>
              <w:bottom w:val="single" w:sz="8" w:color="CDEAFA"/>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138.8</w:t>
            </w:r>
          </w:p>
        </w:tc>
      </w:tr>
      <w:tr>
        <w:trPr>
          <w:trHeight w:val="209"/>
        </w:trPr>
        <w:tc>
          <w:tcPr>
            <w:tcW w:w="4240" w:type="dxa"/>
            <w:vAlign w:val="bottom"/>
            <w:shd w:val="clear" w:color="auto" w:fill="CDEAFA"/>
          </w:tcPr>
          <w:p>
            <w:pPr>
              <w:spacing w:after="0"/>
              <w:rPr>
                <w:sz w:val="20"/>
                <w:szCs w:val="20"/>
                <w:color w:val="auto"/>
              </w:rPr>
            </w:pPr>
            <w:r>
              <w:rPr>
                <w:rFonts w:ascii="Arial" w:cs="Arial" w:eastAsia="Arial" w:hAnsi="Arial"/>
                <w:sz w:val="18"/>
                <w:szCs w:val="18"/>
                <w:color w:val="auto"/>
              </w:rPr>
              <w:t>Total direct research and development expenses</w:t>
            </w:r>
          </w:p>
        </w:tc>
        <w:tc>
          <w:tcPr>
            <w:tcW w:w="260" w:type="dxa"/>
            <w:vAlign w:val="bottom"/>
            <w:tcBorders>
              <w:bottom w:val="single" w:sz="8" w:color="auto"/>
            </w:tcBorders>
            <w:shd w:val="clear" w:color="auto" w:fill="CDEAFA"/>
          </w:tcPr>
          <w:p>
            <w:pPr>
              <w:spacing w:after="0"/>
              <w:rPr>
                <w:sz w:val="18"/>
                <w:szCs w:val="18"/>
                <w:color w:val="auto"/>
              </w:rPr>
            </w:pPr>
          </w:p>
        </w:tc>
        <w:tc>
          <w:tcPr>
            <w:tcW w:w="7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1,244.2</w:t>
            </w:r>
          </w:p>
        </w:tc>
        <w:tc>
          <w:tcPr>
            <w:tcW w:w="200" w:type="dxa"/>
            <w:vAlign w:val="bottom"/>
            <w:shd w:val="clear" w:color="auto" w:fill="CDEAFA"/>
          </w:tcPr>
          <w:p>
            <w:pPr>
              <w:spacing w:after="0"/>
              <w:rPr>
                <w:sz w:val="18"/>
                <w:szCs w:val="18"/>
                <w:color w:val="auto"/>
              </w:rPr>
            </w:pPr>
          </w:p>
        </w:tc>
        <w:tc>
          <w:tcPr>
            <w:tcW w:w="220" w:type="dxa"/>
            <w:vAlign w:val="bottom"/>
            <w:tcBorders>
              <w:bottom w:val="single" w:sz="8" w:color="auto"/>
            </w:tcBorders>
            <w:shd w:val="clear" w:color="auto" w:fill="CDEAFA"/>
          </w:tcPr>
          <w:p>
            <w:pPr>
              <w:spacing w:after="0"/>
              <w:rPr>
                <w:sz w:val="18"/>
                <w:szCs w:val="18"/>
                <w:color w:val="auto"/>
              </w:rPr>
            </w:pPr>
          </w:p>
        </w:tc>
        <w:tc>
          <w:tcPr>
            <w:tcW w:w="8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1,395.2</w:t>
            </w:r>
          </w:p>
        </w:tc>
        <w:tc>
          <w:tcPr>
            <w:tcW w:w="200" w:type="dxa"/>
            <w:vAlign w:val="bottom"/>
            <w:shd w:val="clear" w:color="auto" w:fill="CDEAFA"/>
          </w:tcPr>
          <w:p>
            <w:pPr>
              <w:spacing w:after="0"/>
              <w:rPr>
                <w:sz w:val="18"/>
                <w:szCs w:val="18"/>
                <w:color w:val="auto"/>
              </w:rPr>
            </w:pPr>
          </w:p>
        </w:tc>
        <w:tc>
          <w:tcPr>
            <w:tcW w:w="280" w:type="dxa"/>
            <w:vAlign w:val="bottom"/>
            <w:tcBorders>
              <w:bottom w:val="single" w:sz="8" w:color="auto"/>
            </w:tcBorders>
            <w:shd w:val="clear" w:color="auto" w:fill="CDEAFA"/>
          </w:tcPr>
          <w:p>
            <w:pPr>
              <w:spacing w:after="0"/>
              <w:rPr>
                <w:sz w:val="18"/>
                <w:szCs w:val="18"/>
                <w:color w:val="auto"/>
              </w:rPr>
            </w:pPr>
          </w:p>
        </w:tc>
        <w:tc>
          <w:tcPr>
            <w:tcW w:w="7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1,309.6</w:t>
            </w:r>
          </w:p>
        </w:tc>
        <w:tc>
          <w:tcPr>
            <w:tcW w:w="180" w:type="dxa"/>
            <w:vAlign w:val="bottom"/>
            <w:shd w:val="clear" w:color="auto" w:fill="CDEAFA"/>
          </w:tcPr>
          <w:p>
            <w:pPr>
              <w:spacing w:after="0"/>
              <w:rPr>
                <w:sz w:val="18"/>
                <w:szCs w:val="18"/>
                <w:color w:val="auto"/>
              </w:rPr>
            </w:pPr>
          </w:p>
        </w:tc>
        <w:tc>
          <w:tcPr>
            <w:tcW w:w="280" w:type="dxa"/>
            <w:vAlign w:val="bottom"/>
            <w:tcBorders>
              <w:bottom w:val="single" w:sz="8" w:color="auto"/>
            </w:tcBorders>
            <w:shd w:val="clear" w:color="auto" w:fill="CDEAFA"/>
          </w:tcPr>
          <w:p>
            <w:pPr>
              <w:spacing w:after="0"/>
              <w:rPr>
                <w:sz w:val="18"/>
                <w:szCs w:val="18"/>
                <w:color w:val="auto"/>
              </w:rPr>
            </w:pPr>
          </w:p>
        </w:tc>
        <w:tc>
          <w:tcPr>
            <w:tcW w:w="7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(151.0)</w:t>
            </w:r>
          </w:p>
        </w:tc>
        <w:tc>
          <w:tcPr>
            <w:tcW w:w="200" w:type="dxa"/>
            <w:vAlign w:val="bottom"/>
            <w:shd w:val="clear" w:color="auto" w:fill="CDEAFA"/>
          </w:tcPr>
          <w:p>
            <w:pPr>
              <w:spacing w:after="0"/>
              <w:rPr>
                <w:sz w:val="18"/>
                <w:szCs w:val="18"/>
                <w:color w:val="auto"/>
              </w:rPr>
            </w:pPr>
          </w:p>
        </w:tc>
        <w:tc>
          <w:tcPr>
            <w:tcW w:w="340" w:type="dxa"/>
            <w:vAlign w:val="bottom"/>
            <w:tcBorders>
              <w:bottom w:val="single" w:sz="8" w:color="auto"/>
            </w:tcBorders>
            <w:shd w:val="clear" w:color="auto" w:fill="CDEAFA"/>
          </w:tcPr>
          <w:p>
            <w:pPr>
              <w:spacing w:after="0"/>
              <w:rPr>
                <w:sz w:val="18"/>
                <w:szCs w:val="18"/>
                <w:color w:val="auto"/>
              </w:rPr>
            </w:pPr>
          </w:p>
        </w:tc>
        <w:tc>
          <w:tcPr>
            <w:tcW w:w="66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85.6</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Indirect research and development expenses:</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6"/>
        </w:trPr>
        <w:tc>
          <w:tcPr>
            <w:tcW w:w="4240" w:type="dxa"/>
            <w:vAlign w:val="bottom"/>
            <w:shd w:val="clear" w:color="auto" w:fill="CDEAFA"/>
          </w:tcPr>
          <w:p>
            <w:pPr>
              <w:ind w:left="180"/>
              <w:spacing w:after="0"/>
              <w:rPr>
                <w:sz w:val="20"/>
                <w:szCs w:val="20"/>
                <w:color w:val="auto"/>
              </w:rPr>
            </w:pPr>
            <w:r>
              <w:rPr>
                <w:rFonts w:ascii="Arial" w:cs="Arial" w:eastAsia="Arial" w:hAnsi="Arial"/>
                <w:sz w:val="18"/>
                <w:szCs w:val="18"/>
                <w:color w:val="auto"/>
              </w:rPr>
              <w:t>Payroll and benefits</w:t>
            </w:r>
          </w:p>
        </w:tc>
        <w:tc>
          <w:tcPr>
            <w:tcW w:w="26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981.4</w:t>
            </w:r>
          </w:p>
        </w:tc>
        <w:tc>
          <w:tcPr>
            <w:tcW w:w="20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8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816.6</w:t>
            </w:r>
          </w:p>
        </w:tc>
        <w:tc>
          <w:tcPr>
            <w:tcW w:w="20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7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705.8</w:t>
            </w:r>
          </w:p>
        </w:tc>
        <w:tc>
          <w:tcPr>
            <w:tcW w:w="18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7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164.8</w:t>
            </w:r>
          </w:p>
        </w:tc>
        <w:tc>
          <w:tcPr>
            <w:tcW w:w="20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6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110.8</w:t>
            </w:r>
          </w:p>
        </w:tc>
      </w:tr>
      <w:tr>
        <w:trPr>
          <w:trHeight w:val="202"/>
        </w:trPr>
        <w:tc>
          <w:tcPr>
            <w:tcW w:w="4240" w:type="dxa"/>
            <w:vAlign w:val="bottom"/>
          </w:tcPr>
          <w:p>
            <w:pPr>
              <w:ind w:left="180"/>
              <w:spacing w:after="0" w:line="201" w:lineRule="exact"/>
              <w:rPr>
                <w:sz w:val="20"/>
                <w:szCs w:val="20"/>
                <w:color w:val="auto"/>
              </w:rPr>
            </w:pPr>
            <w:r>
              <w:rPr>
                <w:rFonts w:ascii="Arial" w:cs="Arial" w:eastAsia="Arial" w:hAnsi="Arial"/>
                <w:sz w:val="18"/>
                <w:szCs w:val="18"/>
                <w:color w:val="auto"/>
              </w:rPr>
              <w:t>Lab supplies and other research and development</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costs</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119.9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30"/>
        </w:trPr>
        <w:tc>
          <w:tcPr>
            <w:tcW w:w="4240" w:type="dxa"/>
            <w:vAlign w:val="bottom"/>
            <w:shd w:val="clear" w:color="auto" w:fill="CDEAFA"/>
          </w:tcPr>
          <w:p>
            <w:pPr>
              <w:ind w:left="180"/>
              <w:spacing w:after="0"/>
              <w:rPr>
                <w:sz w:val="20"/>
                <w:szCs w:val="20"/>
                <w:color w:val="auto"/>
              </w:rPr>
            </w:pPr>
            <w:r>
              <w:rPr>
                <w:rFonts w:ascii="Arial" w:cs="Arial" w:eastAsia="Arial" w:hAnsi="Arial"/>
                <w:sz w:val="18"/>
                <w:szCs w:val="18"/>
                <w:color w:val="auto"/>
              </w:rPr>
              <w:t>Occupancy and other operating costs</w:t>
            </w:r>
          </w:p>
        </w:tc>
        <w:tc>
          <w:tcPr>
            <w:tcW w:w="260" w:type="dxa"/>
            <w:vAlign w:val="bottom"/>
            <w:tcBorders>
              <w:bottom w:val="single" w:sz="8" w:color="auto"/>
            </w:tcBorders>
            <w:shd w:val="clear" w:color="auto" w:fill="CDEAFA"/>
          </w:tcPr>
          <w:p>
            <w:pPr>
              <w:spacing w:after="0"/>
              <w:rPr>
                <w:sz w:val="19"/>
                <w:szCs w:val="19"/>
                <w:color w:val="auto"/>
              </w:rPr>
            </w:pPr>
          </w:p>
        </w:tc>
        <w:tc>
          <w:tcPr>
            <w:tcW w:w="7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414.9</w:t>
            </w:r>
          </w:p>
        </w:tc>
        <w:tc>
          <w:tcPr>
            <w:tcW w:w="200" w:type="dxa"/>
            <w:vAlign w:val="bottom"/>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spacing w:after="0"/>
              <w:rPr>
                <w:sz w:val="19"/>
                <w:szCs w:val="19"/>
                <w:color w:val="auto"/>
              </w:rPr>
            </w:pPr>
          </w:p>
        </w:tc>
        <w:tc>
          <w:tcPr>
            <w:tcW w:w="8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335.7</w:t>
            </w:r>
          </w:p>
        </w:tc>
        <w:tc>
          <w:tcPr>
            <w:tcW w:w="200" w:type="dxa"/>
            <w:vAlign w:val="bottom"/>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spacing w:after="0"/>
              <w:rPr>
                <w:sz w:val="19"/>
                <w:szCs w:val="19"/>
                <w:color w:val="auto"/>
              </w:rPr>
            </w:pPr>
          </w:p>
        </w:tc>
        <w:tc>
          <w:tcPr>
            <w:tcW w:w="7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304.7</w:t>
            </w:r>
          </w:p>
        </w:tc>
        <w:tc>
          <w:tcPr>
            <w:tcW w:w="180" w:type="dxa"/>
            <w:vAlign w:val="bottom"/>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spacing w:after="0"/>
              <w:rPr>
                <w:sz w:val="19"/>
                <w:szCs w:val="19"/>
                <w:color w:val="auto"/>
              </w:rPr>
            </w:pPr>
          </w:p>
        </w:tc>
        <w:tc>
          <w:tcPr>
            <w:tcW w:w="7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79.2</w:t>
            </w:r>
          </w:p>
        </w:tc>
        <w:tc>
          <w:tcPr>
            <w:tcW w:w="200" w:type="dxa"/>
            <w:vAlign w:val="bottom"/>
            <w:shd w:val="clear" w:color="auto" w:fill="CDEAFA"/>
          </w:tcPr>
          <w:p>
            <w:pPr>
              <w:spacing w:after="0"/>
              <w:rPr>
                <w:sz w:val="19"/>
                <w:szCs w:val="19"/>
                <w:color w:val="auto"/>
              </w:rPr>
            </w:pPr>
          </w:p>
        </w:tc>
        <w:tc>
          <w:tcPr>
            <w:tcW w:w="340" w:type="dxa"/>
            <w:vAlign w:val="bottom"/>
            <w:tcBorders>
              <w:bottom w:val="single" w:sz="8" w:color="auto"/>
            </w:tcBorders>
            <w:shd w:val="clear" w:color="auto" w:fill="CDEAFA"/>
          </w:tcPr>
          <w:p>
            <w:pPr>
              <w:spacing w:after="0"/>
              <w:rPr>
                <w:sz w:val="19"/>
                <w:szCs w:val="19"/>
                <w:color w:val="auto"/>
              </w:rPr>
            </w:pPr>
          </w:p>
        </w:tc>
        <w:tc>
          <w:tcPr>
            <w:tcW w:w="66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31.0</w:t>
            </w:r>
          </w:p>
        </w:tc>
      </w:tr>
      <w:tr>
        <w:trPr>
          <w:trHeight w:val="209"/>
        </w:trPr>
        <w:tc>
          <w:tcPr>
            <w:tcW w:w="4240" w:type="dxa"/>
            <w:vAlign w:val="bottom"/>
          </w:tcPr>
          <w:p>
            <w:pPr>
              <w:spacing w:after="0"/>
              <w:rPr>
                <w:sz w:val="20"/>
                <w:szCs w:val="20"/>
                <w:color w:val="auto"/>
              </w:rPr>
            </w:pPr>
            <w:r>
              <w:rPr>
                <w:rFonts w:ascii="Arial" w:cs="Arial" w:eastAsia="Arial" w:hAnsi="Arial"/>
                <w:sz w:val="18"/>
                <w:szCs w:val="18"/>
                <w:color w:val="auto"/>
              </w:rPr>
              <w:t>Total indirect research and development expenses</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1,290.6</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1,130.4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160.2</w:t>
            </w:r>
          </w:p>
        </w:tc>
      </w:tr>
    </w:tbl>
    <w:p>
      <w:pPr>
        <w:spacing w:after="0" w:line="200" w:lineRule="exact"/>
        <w:rPr>
          <w:sz w:val="20"/>
          <w:szCs w:val="20"/>
          <w:color w:val="auto"/>
        </w:rPr>
      </w:pPr>
    </w:p>
    <w:p>
      <w:pPr>
        <w:sectPr>
          <w:pgSz w:w="11900" w:h="16838" w:orient="portrait"/>
          <w:cols w:equalWidth="0" w:num="1">
            <w:col w:w="11240"/>
          </w:cols>
          <w:pgMar w:left="320" w:top="409" w:right="339" w:bottom="1440" w:gutter="0" w:footer="0" w:header="0"/>
        </w:sectPr>
      </w:pPr>
    </w:p>
    <w:p>
      <w:pPr>
        <w:spacing w:after="0" w:line="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Clinical manufacturing costs</w:t>
      </w:r>
    </w:p>
    <w:p>
      <w:pPr>
        <w:spacing w:after="0" w:line="23" w:lineRule="exact"/>
        <w:rPr>
          <w:sz w:val="20"/>
          <w:szCs w:val="20"/>
          <w:color w:val="auto"/>
        </w:rPr>
      </w:pPr>
    </w:p>
    <w:p>
      <w:pPr>
        <w:ind w:left="760" w:hanging="179"/>
        <w:spacing w:after="0" w:line="250" w:lineRule="auto"/>
        <w:rPr>
          <w:sz w:val="20"/>
          <w:szCs w:val="20"/>
          <w:color w:val="auto"/>
        </w:rPr>
      </w:pPr>
      <w:r>
        <w:rPr>
          <w:rFonts w:ascii="Arial" w:cs="Arial" w:eastAsia="Arial" w:hAnsi="Arial"/>
          <w:sz w:val="18"/>
          <w:szCs w:val="18"/>
          <w:color w:val="auto"/>
        </w:rPr>
        <w:t>Reimbursement of research and development expenses by collaborators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621.7</w:t>
            </w: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686.1</w:t>
            </w: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596.6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89.5</w:t>
            </w:r>
          </w:p>
        </w:tc>
      </w:tr>
      <w:tr>
        <w:trPr>
          <w:trHeight w:val="445"/>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r>
      <w:tr>
        <w:trPr>
          <w:trHeight w:val="223"/>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2,908.1</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2,735.0</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2,450.0</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285.0</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-599440</wp:posOffset>
            </wp:positionV>
            <wp:extent cx="641223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-2694940</wp:posOffset>
            </wp:positionH>
            <wp:positionV relativeFrom="paragraph">
              <wp:posOffset>-179705</wp:posOffset>
            </wp:positionV>
            <wp:extent cx="641223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4520" w:space="300"/>
            <w:col w:w="6420"/>
          </w:cols>
          <w:pgMar w:left="320" w:top="409" w:right="339" w:bottom="1440" w:gutter="0" w:footer="0" w:header="0"/>
          <w:type w:val="continuous"/>
        </w:sectPr>
      </w:pPr>
    </w:p>
    <w:p>
      <w:pPr>
        <w:ind w:left="760" w:hanging="104"/>
        <w:spacing w:after="0"/>
        <w:tabs>
          <w:tab w:leader="none" w:pos="760"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Certain prior year amounts have been reclassified to conform to the current year’s presentation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 2021 included $34.0 million in aggregate up-front payments in connection with our collaboration agreement with Nykode Therapeutics, in 2020 included $85.0 million in aggregate up-front payments in connection with our collaboration agreement with Intellia, and in 2019 included a $400.0 million up-front payment to Alnylam. Research and development expenses included non-cash compensation expense of $316.6 million and $238.6 million in 2021 and 2020,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Reimbursement of research and development expenses by collaborators included reimbursements from Roche related to REGEN-COV of $128.1 million and $78.5 million for the years ended December 31, 2021 and 2020,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90" w:name="page91"/>
    <w:bookmarkEnd w:id="90"/>
    <w:p>
      <w:pPr>
        <w:jc w:val="both"/>
        <w:spacing w:after="0" w:line="254" w:lineRule="auto"/>
        <w:rPr>
          <w:sz w:val="20"/>
          <w:szCs w:val="20"/>
          <w:color w:val="auto"/>
        </w:rPr>
      </w:pPr>
      <w:r>
        <w:rPr>
          <w:rFonts w:ascii="Arial" w:cs="Arial" w:eastAsia="Arial" w:hAnsi="Arial"/>
          <w:sz w:val="18"/>
          <w:szCs w:val="18"/>
          <w:color w:val="auto"/>
        </w:rPr>
        <w:t>regulatory requirements, changes in the competitive landscape affecting a product candidate, and other risks and uncertainties described in Part I, Item 1A. “Risk Factors” (including those relating to the disruptions caused by the COVID-19 pandemic).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in 2021, compared to 2020, primarily due to an increase in commercialization-related expenses for</w:t>
      </w:r>
    </w:p>
    <w:p>
      <w:pPr>
        <w:spacing w:after="0" w:line="46"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EYLEA, including direct-to-consumer advertising, (ii) REGEN-COV, including costs associated with educational campaigns related to COVID-19, and</w:t>
      </w:r>
    </w:p>
    <w:p>
      <w:pPr>
        <w:spacing w:after="0" w:line="32" w:lineRule="exact"/>
        <w:rPr>
          <w:rFonts w:ascii="Arial" w:cs="Arial" w:eastAsia="Arial" w:hAnsi="Arial"/>
          <w:sz w:val="16"/>
          <w:szCs w:val="16"/>
          <w:color w:val="auto"/>
        </w:rPr>
      </w:pPr>
    </w:p>
    <w:p>
      <w:pPr>
        <w:jc w:val="both"/>
        <w:ind w:firstLine="8"/>
        <w:spacing w:after="0" w:line="273" w:lineRule="auto"/>
        <w:tabs>
          <w:tab w:leader="none" w:pos="318" w:val="left"/>
        </w:tabs>
        <w:numPr>
          <w:ilvl w:val="0"/>
          <w:numId w:val="43"/>
        </w:numPr>
        <w:rPr>
          <w:rFonts w:ascii="Arial" w:cs="Arial" w:eastAsia="Arial" w:hAnsi="Arial"/>
          <w:sz w:val="17"/>
          <w:szCs w:val="17"/>
          <w:color w:val="auto"/>
        </w:rPr>
      </w:pPr>
      <w:r>
        <w:rPr>
          <w:rFonts w:ascii="Arial" w:cs="Arial" w:eastAsia="Arial" w:hAnsi="Arial"/>
          <w:sz w:val="17"/>
          <w:szCs w:val="17"/>
          <w:color w:val="auto"/>
        </w:rPr>
        <w:t>Libtayo; and higher headcount-related costs. In addition, in 2020, we recorded a reversal of accruals for litigation-related loss contingencies as a result of the October 2020 ruling by the Technical Board of Appeal of the EPO and its impact on certain patent infringement actions in Europe relating to Praluent (see Note 15 to our Consolidated Financial Statements for additional details). Selling, general, and administrative expenses also included $213.3 million and $153.0 million of non-cash compensation expense in 2021 and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goods sold increased in 2021, compared to 2020, primarily due to the recognition of manufacturing costs in connection with the product sales of REGEN-COV. During 2021, the Company also recorded a $259.6 million true-up payment owed in connection with global gross profits under our Roche collaboration agreement described above. Additionally, during the fourth quarter of 2021, the Company recorded a $231.7 million charge to write down its REGEN-COV inventory as a result of data that showed REGEN-COV was highly unlikely to be active against the Omicron variant and the FDA revision of the EUA for REGEN-COV, pursuant to which REGEN-COV was no longer authorized for use in any U.S. states, territories, or jurisdictions. Refer to Part I, Item 1. “Business - Products - REGEN-COV - Emergency and Temporary Use Authorizations”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collaboration and contract manufacturing increased in 2021, compared to 2020, primarily due to the recognition of manufacturing costs associated with higher sales of Dupixent, partly offset by lower costs in connection with manufacturing ex-U.S. commercial supplies of Praluent for Sanofi and the recognition of process validation costs during 2020 in connection with manufacturing Inmazeb under our BARDA agreement as such costs did not recur during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 Expense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operating (income) expense, net, includes recognition of a portion of amounts previously deferred in connection with up-front and development milestone payments, as applicable, received in connection with Sanofi IO, Teva, and MTPC collaborative arrangements. In these arrangements, we satisfy our obligation(s) during the development phase over time, and, as a result, recognize amounts initially deferred over time using an input method on the basis of our research and development costs incurred relative to the total expected cost which determines the extent of our progress toward completion. See the Critical Accounting Policies and Use of Estimates section above for further details.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2021, we updated our estimate of the total research and development costs expected to be incurred (which resulted in a change to the estimate of the stage of completion) in connection with the Sanofi IO Collaboration, and, as a result, recorded a cumulative catch-up adjustment of $66.9 million as a reduction to other operating income. During 2020, we updated our estimate of the total research and development costs expected to be incurred (which resulted in changes to the estimate of the stage of completion) in connection with the Sanofi IO, Teva, and MTPC collaboration agreements, and therefore recorded cumulative catch-up adjustments of $99.8 million, net, as an increase to other operating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was $379.0 million in 2021, compared to $233.8 million in 2020. This change was primarily driven by an increase in unrealized gains on equity securities of $190.1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400" w:type="dxa"/>
            <w:vAlign w:val="bottom"/>
            <w:gridSpan w:val="2"/>
            <w:vMerge w:val="restart"/>
          </w:tcPr>
          <w:p>
            <w:pPr>
              <w:ind w:left="860"/>
              <w:spacing w:after="0"/>
              <w:rPr>
                <w:sz w:val="20"/>
                <w:szCs w:val="20"/>
                <w:color w:val="auto"/>
              </w:rPr>
            </w:pPr>
            <w:r>
              <w:rPr>
                <w:rFonts w:ascii="Arial" w:cs="Arial" w:eastAsia="Arial" w:hAnsi="Arial"/>
                <w:sz w:val="18"/>
                <w:szCs w:val="18"/>
                <w:i w:val="1"/>
                <w:iCs w:val="1"/>
                <w:color w:val="auto"/>
              </w:rPr>
              <w:t>(In millions, except effective tax rate)</w:t>
            </w: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540" w:type="dxa"/>
            <w:vAlign w:val="bottom"/>
            <w:tcBorders>
              <w:top w:val="single" w:sz="8" w:color="CDEAFA"/>
            </w:tcBorders>
            <w:shd w:val="clear" w:color="auto" w:fill="CDEAFA"/>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1,250.5</w:t>
            </w:r>
          </w:p>
        </w:tc>
        <w:tc>
          <w:tcPr>
            <w:tcW w:w="300" w:type="dxa"/>
            <w:vAlign w:val="bottom"/>
            <w:tcBorders>
              <w:top w:val="single" w:sz="8" w:color="CDEAFA"/>
            </w:tcBorders>
            <w:shd w:val="clear" w:color="auto" w:fill="CDEAFA"/>
          </w:tcPr>
          <w:p>
            <w:pPr>
              <w:spacing w:after="0"/>
              <w:rPr>
                <w:sz w:val="18"/>
                <w:szCs w:val="18"/>
                <w:color w:val="auto"/>
              </w:rPr>
            </w:pPr>
          </w:p>
        </w:tc>
        <w:tc>
          <w:tcPr>
            <w:tcW w:w="28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297.2</w:t>
            </w:r>
          </w:p>
        </w:tc>
        <w:tc>
          <w:tcPr>
            <w:tcW w:w="280" w:type="dxa"/>
            <w:vAlign w:val="bottom"/>
            <w:tcBorders>
              <w:top w:val="single" w:sz="8" w:color="CDEAFA"/>
            </w:tcBorders>
            <w:shd w:val="clear" w:color="auto" w:fill="CDEAFA"/>
          </w:tcPr>
          <w:p>
            <w:pPr>
              <w:spacing w:after="0"/>
              <w:rPr>
                <w:sz w:val="18"/>
                <w:szCs w:val="18"/>
                <w:color w:val="auto"/>
              </w:rPr>
            </w:pPr>
          </w:p>
        </w:tc>
        <w:tc>
          <w:tcPr>
            <w:tcW w:w="30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Effective tax rate</w:t>
            </w:r>
          </w:p>
        </w:tc>
        <w:tc>
          <w:tcPr>
            <w:tcW w:w="3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2021 was positively impacted, compared to the U.S. federal statutory rate, primarily by income earned in foreign jurisdictions with tax rates lower than the U.S. federal statutory rate and stock-based compensation. Our effective tax rate for 2020 was positively impacted, compared to the U.S. federal statutory rate, primarily by stock-based compensation, and, to a lesser extent, federal tax credits for research activities and income earned in foreign jurisdictions with tax rates lower than the U.S. federal statutory rate.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00" w:type="dxa"/>
            <w:vAlign w:val="bottom"/>
            <w:gridSpan w:val="2"/>
          </w:tcPr>
          <w:p>
            <w:pPr>
              <w:spacing w:after="0"/>
              <w:rPr>
                <w:sz w:val="20"/>
                <w:szCs w:val="20"/>
                <w:color w:val="auto"/>
              </w:rPr>
            </w:pPr>
            <w:r>
              <w:rPr>
                <w:rFonts w:ascii="Arial" w:cs="Arial" w:eastAsia="Arial" w:hAnsi="Arial"/>
                <w:sz w:val="18"/>
                <w:szCs w:val="18"/>
                <w:color w:val="auto"/>
              </w:rPr>
              <w:t>Our financial condition is summarized as follows: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100" w:type="dxa"/>
            <w:vAlign w:val="bottom"/>
            <w:gridSpan w:val="2"/>
            <w:vMerge w:val="restart"/>
          </w:tcPr>
          <w:p>
            <w:pPr>
              <w:ind w:left="86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5240" w:type="dxa"/>
            <w:vAlign w:val="bottom"/>
            <w:tcBorders>
              <w:top w:val="single" w:sz="8" w:color="CDEAFA"/>
            </w:tcBorders>
            <w:shd w:val="clear" w:color="auto" w:fill="CDEAFA"/>
          </w:tcPr>
          <w:p>
            <w:pPr>
              <w:spacing w:after="0"/>
              <w:rPr>
                <w:sz w:val="20"/>
                <w:szCs w:val="20"/>
                <w:color w:val="auto"/>
              </w:rPr>
            </w:pPr>
            <w:r>
              <w:rPr>
                <w:rFonts w:ascii="Arial" w:cs="Arial" w:eastAsia="Arial" w:hAnsi="Arial"/>
                <w:sz w:val="18"/>
                <w:szCs w:val="18"/>
                <w:color w:val="auto"/>
              </w:rPr>
              <w:t>Financial assets:</w:t>
            </w:r>
          </w:p>
        </w:tc>
        <w:tc>
          <w:tcPr>
            <w:tcW w:w="300" w:type="dxa"/>
            <w:vAlign w:val="bottom"/>
            <w:tcBorders>
              <w:top w:val="single" w:sz="8" w:color="CDEAFA"/>
            </w:tcBorders>
            <w:shd w:val="clear" w:color="auto" w:fill="CDEAFA"/>
          </w:tcPr>
          <w:p>
            <w:pPr>
              <w:spacing w:after="0"/>
              <w:rPr>
                <w:sz w:val="18"/>
                <w:szCs w:val="18"/>
                <w:color w:val="auto"/>
              </w:rPr>
            </w:pPr>
          </w:p>
        </w:tc>
        <w:tc>
          <w:tcPr>
            <w:tcW w:w="300" w:type="dxa"/>
            <w:vAlign w:val="bottom"/>
            <w:tcBorders>
              <w:top w:val="single" w:sz="8" w:color="auto"/>
            </w:tcBorders>
            <w:shd w:val="clear" w:color="auto" w:fill="CDEAFA"/>
          </w:tcPr>
          <w:p>
            <w:pPr>
              <w:spacing w:after="0"/>
              <w:rPr>
                <w:sz w:val="18"/>
                <w:szCs w:val="18"/>
                <w:color w:val="auto"/>
              </w:rPr>
            </w:pPr>
          </w:p>
        </w:tc>
        <w:tc>
          <w:tcPr>
            <w:tcW w:w="860" w:type="dxa"/>
            <w:vAlign w:val="bottom"/>
            <w:tcBorders>
              <w:top w:val="single" w:sz="8" w:color="auto"/>
            </w:tcBorders>
            <w:shd w:val="clear" w:color="auto" w:fill="CDEAFA"/>
          </w:tcPr>
          <w:p>
            <w:pPr>
              <w:spacing w:after="0"/>
              <w:rPr>
                <w:sz w:val="18"/>
                <w:szCs w:val="18"/>
                <w:color w:val="auto"/>
              </w:rPr>
            </w:pPr>
          </w:p>
        </w:tc>
        <w:tc>
          <w:tcPr>
            <w:tcW w:w="300" w:type="dxa"/>
            <w:vAlign w:val="bottom"/>
            <w:tcBorders>
              <w:top w:val="single" w:sz="8" w:color="CDEAFA"/>
            </w:tcBorders>
            <w:shd w:val="clear" w:color="auto" w:fill="CDEAFA"/>
          </w:tcPr>
          <w:p>
            <w:pPr>
              <w:spacing w:after="0"/>
              <w:rPr>
                <w:sz w:val="18"/>
                <w:szCs w:val="18"/>
                <w:color w:val="auto"/>
              </w:rPr>
            </w:pPr>
          </w:p>
        </w:tc>
        <w:tc>
          <w:tcPr>
            <w:tcW w:w="280" w:type="dxa"/>
            <w:vAlign w:val="bottom"/>
            <w:tcBorders>
              <w:top w:val="single" w:sz="8" w:color="auto"/>
            </w:tcBorders>
            <w:shd w:val="clear" w:color="auto" w:fill="CDEAFA"/>
          </w:tcPr>
          <w:p>
            <w:pPr>
              <w:spacing w:after="0"/>
              <w:rPr>
                <w:sz w:val="18"/>
                <w:szCs w:val="18"/>
                <w:color w:val="auto"/>
              </w:rPr>
            </w:pPr>
          </w:p>
        </w:tc>
        <w:tc>
          <w:tcPr>
            <w:tcW w:w="840" w:type="dxa"/>
            <w:vAlign w:val="bottom"/>
            <w:tcBorders>
              <w:top w:val="single" w:sz="8" w:color="auto"/>
            </w:tcBorders>
            <w:shd w:val="clear" w:color="auto" w:fill="CDEAFA"/>
          </w:tcPr>
          <w:p>
            <w:pPr>
              <w:spacing w:after="0"/>
              <w:rPr>
                <w:sz w:val="18"/>
                <w:szCs w:val="18"/>
                <w:color w:val="auto"/>
              </w:rPr>
            </w:pPr>
          </w:p>
        </w:tc>
        <w:tc>
          <w:tcPr>
            <w:tcW w:w="280" w:type="dxa"/>
            <w:vAlign w:val="bottom"/>
            <w:tcBorders>
              <w:top w:val="single" w:sz="8" w:color="CDEAFA"/>
            </w:tcBorders>
            <w:shd w:val="clear" w:color="auto" w:fill="CDEAFA"/>
          </w:tcPr>
          <w:p>
            <w:pPr>
              <w:spacing w:after="0"/>
              <w:rPr>
                <w:sz w:val="18"/>
                <w:szCs w:val="18"/>
                <w:color w:val="auto"/>
              </w:rPr>
            </w:pPr>
          </w:p>
        </w:tc>
        <w:tc>
          <w:tcPr>
            <w:tcW w:w="320" w:type="dxa"/>
            <w:vAlign w:val="bottom"/>
            <w:tcBorders>
              <w:top w:val="single" w:sz="8" w:color="auto"/>
            </w:tcBorders>
            <w:shd w:val="clear" w:color="auto" w:fill="CDEAFA"/>
          </w:tcPr>
          <w:p>
            <w:pPr>
              <w:spacing w:after="0"/>
              <w:rPr>
                <w:sz w:val="18"/>
                <w:szCs w:val="18"/>
                <w:color w:val="auto"/>
              </w:rPr>
            </w:pPr>
          </w:p>
        </w:tc>
        <w:tc>
          <w:tcPr>
            <w:tcW w:w="820" w:type="dxa"/>
            <w:vAlign w:val="bottom"/>
            <w:tcBorders>
              <w:top w:val="single" w:sz="8" w:color="auto"/>
            </w:tcBorders>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2,885.6</w:t>
            </w:r>
          </w:p>
        </w:tc>
        <w:tc>
          <w:tcPr>
            <w:tcW w:w="30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2,193.7</w:t>
            </w:r>
          </w:p>
        </w:tc>
        <w:tc>
          <w:tcPr>
            <w:tcW w:w="28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shd w:val="clear" w:color="auto" w:fill="CDEAFA"/>
          </w:tcPr>
          <w:p>
            <w:pPr>
              <w:ind w:left="180"/>
              <w:spacing w:after="0"/>
              <w:rPr>
                <w:sz w:val="20"/>
                <w:szCs w:val="20"/>
                <w:color w:val="auto"/>
              </w:rPr>
            </w:pPr>
            <w:r>
              <w:rPr>
                <w:rFonts w:ascii="Arial" w:cs="Arial" w:eastAsia="Arial" w:hAnsi="Arial"/>
                <w:sz w:val="18"/>
                <w:szCs w:val="18"/>
                <w:color w:val="auto"/>
              </w:rPr>
              <w:t>Marketable securities - current</w:t>
            </w:r>
          </w:p>
        </w:tc>
        <w:tc>
          <w:tcPr>
            <w:tcW w:w="30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8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2,809.1</w:t>
            </w:r>
          </w:p>
        </w:tc>
        <w:tc>
          <w:tcPr>
            <w:tcW w:w="30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1,393.3</w:t>
            </w:r>
          </w:p>
        </w:tc>
        <w:tc>
          <w:tcPr>
            <w:tcW w:w="28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8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1,415.8</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240" w:type="dxa"/>
            <w:vAlign w:val="bottom"/>
            <w:tcBorders>
              <w:bottom w:val="single" w:sz="8" w:color="CDEAFA"/>
            </w:tcBorders>
          </w:tcPr>
          <w:p>
            <w:pPr>
              <w:ind w:left="180"/>
              <w:spacing w:after="0"/>
              <w:rPr>
                <w:sz w:val="20"/>
                <w:szCs w:val="20"/>
                <w:color w:val="auto"/>
              </w:rPr>
            </w:pPr>
            <w:r>
              <w:rPr>
                <w:rFonts w:ascii="Arial" w:cs="Arial" w:eastAsia="Arial" w:hAnsi="Arial"/>
                <w:sz w:val="18"/>
                <w:szCs w:val="18"/>
                <w:color w:val="auto"/>
              </w:rPr>
              <w:t>Marketable securities - noncurrent</w:t>
            </w:r>
          </w:p>
        </w:tc>
        <w:tc>
          <w:tcPr>
            <w:tcW w:w="30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6,838.0</w:t>
            </w:r>
          </w:p>
        </w:tc>
        <w:tc>
          <w:tcPr>
            <w:tcW w:w="30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3,135.6</w:t>
            </w:r>
          </w:p>
        </w:tc>
        <w:tc>
          <w:tcPr>
            <w:tcW w:w="280" w:type="dxa"/>
            <w:vAlign w:val="bottom"/>
            <w:tcBorders>
              <w:bottom w:val="single" w:sz="8" w:color="CDEAF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3,702.4</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240" w:type="dxa"/>
            <w:vAlign w:val="bottom"/>
            <w:tcBorders>
              <w:bottom w:val="single" w:sz="8" w:color="CDEAFA"/>
            </w:tcBorders>
            <w:shd w:val="clear" w:color="auto" w:fill="CDEAFA"/>
          </w:tcPr>
          <w:p>
            <w:pPr>
              <w:spacing w:after="0"/>
              <w:rPr>
                <w:sz w:val="19"/>
                <w:szCs w:val="19"/>
                <w:color w:val="auto"/>
              </w:rPr>
            </w:pPr>
          </w:p>
        </w:tc>
        <w:tc>
          <w:tcPr>
            <w:tcW w:w="300" w:type="dxa"/>
            <w:vAlign w:val="bottom"/>
            <w:tcBorders>
              <w:bottom w:val="single" w:sz="8" w:color="CDEAFA"/>
            </w:tcBorders>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12,532.7</w:t>
            </w:r>
          </w:p>
        </w:tc>
        <w:tc>
          <w:tcPr>
            <w:tcW w:w="300" w:type="dxa"/>
            <w:vAlign w:val="bottom"/>
            <w:tcBorders>
              <w:bottom w:val="single" w:sz="8" w:color="CDEAFA"/>
            </w:tcBorders>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6,722.6</w:t>
            </w:r>
          </w:p>
        </w:tc>
        <w:tc>
          <w:tcPr>
            <w:tcW w:w="280" w:type="dxa"/>
            <w:vAlign w:val="bottom"/>
            <w:tcBorders>
              <w:bottom w:val="single" w:sz="8" w:color="CDEAFA"/>
            </w:tcBorders>
            <w:shd w:val="clear" w:color="auto" w:fill="CDEAFA"/>
          </w:tcPr>
          <w:p>
            <w:pPr>
              <w:spacing w:after="0"/>
              <w:rPr>
                <w:sz w:val="19"/>
                <w:szCs w:val="19"/>
                <w:color w:val="auto"/>
              </w:rPr>
            </w:pPr>
          </w:p>
        </w:tc>
        <w:tc>
          <w:tcPr>
            <w:tcW w:w="32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5,810.1</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860"/>
              <w:spacing w:after="0"/>
              <w:rPr>
                <w:sz w:val="20"/>
                <w:szCs w:val="20"/>
                <w:color w:val="auto"/>
              </w:rPr>
            </w:pPr>
            <w:r>
              <w:rPr>
                <w:rFonts w:ascii="Arial" w:cs="Arial" w:eastAsia="Arial" w:hAnsi="Arial"/>
                <w:sz w:val="18"/>
                <w:szCs w:val="18"/>
                <w:color w:val="auto"/>
              </w:rPr>
              <w:t>Borrowings:</w:t>
            </w: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shd w:val="clear" w:color="auto" w:fill="CDEAFA"/>
          </w:tcPr>
          <w:p>
            <w:pPr>
              <w:ind w:left="180"/>
              <w:spacing w:after="0"/>
              <w:rPr>
                <w:sz w:val="20"/>
                <w:szCs w:val="20"/>
                <w:color w:val="auto"/>
              </w:rPr>
            </w:pPr>
            <w:r>
              <w:rPr>
                <w:rFonts w:ascii="Arial" w:cs="Arial" w:eastAsia="Arial" w:hAnsi="Arial"/>
                <w:sz w:val="18"/>
                <w:szCs w:val="18"/>
                <w:color w:val="auto"/>
              </w:rPr>
              <w:t>Long-term debt</w:t>
            </w:r>
          </w:p>
        </w:tc>
        <w:tc>
          <w:tcPr>
            <w:tcW w:w="600" w:type="dxa"/>
            <w:vAlign w:val="bottom"/>
            <w:gridSpan w:val="2"/>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1,980.0</w:t>
            </w:r>
          </w:p>
        </w:tc>
        <w:tc>
          <w:tcPr>
            <w:tcW w:w="300" w:type="dxa"/>
            <w:vAlign w:val="bottom"/>
            <w:shd w:val="clear" w:color="auto" w:fill="CDEAFA"/>
          </w:tcPr>
          <w:p>
            <w:pPr>
              <w:spacing w:after="0"/>
              <w:rPr>
                <w:sz w:val="18"/>
                <w:szCs w:val="18"/>
                <w:color w:val="auto"/>
              </w:rPr>
            </w:pPr>
          </w:p>
        </w:tc>
        <w:tc>
          <w:tcPr>
            <w:tcW w:w="2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1,978.5</w:t>
            </w:r>
          </w:p>
        </w:tc>
        <w:tc>
          <w:tcPr>
            <w:tcW w:w="280" w:type="dxa"/>
            <w:vAlign w:val="bottom"/>
            <w:shd w:val="clear" w:color="auto" w:fill="CDEAFA"/>
          </w:tcPr>
          <w:p>
            <w:pPr>
              <w:spacing w:after="0"/>
              <w:rPr>
                <w:sz w:val="18"/>
                <w:szCs w:val="18"/>
                <w:color w:val="auto"/>
              </w:rPr>
            </w:pPr>
          </w:p>
        </w:tc>
        <w:tc>
          <w:tcPr>
            <w:tcW w:w="32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5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86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shd w:val="clear" w:color="auto" w:fill="CDEAFA"/>
          </w:tcPr>
          <w:p>
            <w:pPr>
              <w:ind w:left="180"/>
              <w:spacing w:after="0"/>
              <w:rPr>
                <w:sz w:val="20"/>
                <w:szCs w:val="20"/>
                <w:color w:val="auto"/>
              </w:rPr>
            </w:pPr>
            <w:r>
              <w:rPr>
                <w:rFonts w:ascii="Arial" w:cs="Arial" w:eastAsia="Arial" w:hAnsi="Arial"/>
                <w:sz w:val="18"/>
                <w:szCs w:val="18"/>
                <w:color w:val="auto"/>
              </w:rPr>
              <w:t>Current assets</w:t>
            </w:r>
          </w:p>
        </w:tc>
        <w:tc>
          <w:tcPr>
            <w:tcW w:w="600" w:type="dxa"/>
            <w:vAlign w:val="bottom"/>
            <w:gridSpan w:val="2"/>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14,014.9</w:t>
            </w:r>
          </w:p>
        </w:tc>
        <w:tc>
          <w:tcPr>
            <w:tcW w:w="300" w:type="dxa"/>
            <w:vAlign w:val="bottom"/>
            <w:shd w:val="clear" w:color="auto" w:fill="CDEAFA"/>
          </w:tcPr>
          <w:p>
            <w:pPr>
              <w:spacing w:after="0"/>
              <w:rPr>
                <w:sz w:val="18"/>
                <w:szCs w:val="18"/>
                <w:color w:val="auto"/>
              </w:rPr>
            </w:pPr>
          </w:p>
        </w:tc>
        <w:tc>
          <w:tcPr>
            <w:tcW w:w="2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9,779.1</w:t>
            </w:r>
          </w:p>
        </w:tc>
        <w:tc>
          <w:tcPr>
            <w:tcW w:w="280" w:type="dxa"/>
            <w:vAlign w:val="bottom"/>
            <w:shd w:val="clear" w:color="auto" w:fill="CDEAFA"/>
          </w:tcPr>
          <w:p>
            <w:pPr>
              <w:spacing w:after="0"/>
              <w:rPr>
                <w:sz w:val="18"/>
                <w:szCs w:val="18"/>
                <w:color w:val="auto"/>
              </w:rPr>
            </w:pPr>
          </w:p>
        </w:tc>
        <w:tc>
          <w:tcPr>
            <w:tcW w:w="32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4,235.8</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240" w:type="dxa"/>
            <w:vAlign w:val="bottom"/>
            <w:tcBorders>
              <w:bottom w:val="single" w:sz="8" w:color="CDEAFA"/>
            </w:tcBorders>
          </w:tcPr>
          <w:p>
            <w:pPr>
              <w:ind w:left="18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3,932.5</w:t>
            </w:r>
          </w:p>
        </w:tc>
        <w:tc>
          <w:tcPr>
            <w:tcW w:w="30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2,697.4</w:t>
            </w:r>
          </w:p>
        </w:tc>
        <w:tc>
          <w:tcPr>
            <w:tcW w:w="280" w:type="dxa"/>
            <w:vAlign w:val="bottom"/>
            <w:tcBorders>
              <w:bottom w:val="single" w:sz="8" w:color="CDEAF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240" w:type="dxa"/>
            <w:vAlign w:val="bottom"/>
            <w:tcBorders>
              <w:bottom w:val="single" w:sz="8" w:color="CDEAFA"/>
            </w:tcBorders>
            <w:shd w:val="clear" w:color="auto" w:fill="CDEAFA"/>
          </w:tcPr>
          <w:p>
            <w:pPr>
              <w:spacing w:after="0"/>
              <w:rPr>
                <w:sz w:val="19"/>
                <w:szCs w:val="19"/>
                <w:color w:val="auto"/>
              </w:rPr>
            </w:pPr>
          </w:p>
        </w:tc>
        <w:tc>
          <w:tcPr>
            <w:tcW w:w="300" w:type="dxa"/>
            <w:vAlign w:val="bottom"/>
            <w:tcBorders>
              <w:bottom w:val="single" w:sz="8" w:color="CDEAFA"/>
            </w:tcBorders>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10,082.4</w:t>
            </w:r>
          </w:p>
        </w:tc>
        <w:tc>
          <w:tcPr>
            <w:tcW w:w="300" w:type="dxa"/>
            <w:vAlign w:val="bottom"/>
            <w:tcBorders>
              <w:bottom w:val="single" w:sz="8" w:color="CDEAFA"/>
            </w:tcBorders>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7,081.7</w:t>
            </w:r>
          </w:p>
        </w:tc>
        <w:tc>
          <w:tcPr>
            <w:tcW w:w="280" w:type="dxa"/>
            <w:vAlign w:val="bottom"/>
            <w:tcBorders>
              <w:bottom w:val="single" w:sz="8" w:color="CDEAFA"/>
            </w:tcBorders>
            <w:shd w:val="clear" w:color="auto" w:fill="CDEAFA"/>
          </w:tcPr>
          <w:p>
            <w:pPr>
              <w:spacing w:after="0"/>
              <w:rPr>
                <w:sz w:val="19"/>
                <w:szCs w:val="19"/>
                <w:color w:val="auto"/>
              </w:rPr>
            </w:pPr>
          </w:p>
        </w:tc>
        <w:tc>
          <w:tcPr>
            <w:tcW w:w="32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3,000.7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2021, we also had borrowing availability of $750.0 million under a revolving credit facility (see further description under “</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Years Ended December 31, 2021, 2020, and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4"/>
              </w:rPr>
              <w:t>As of December 31,</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20" w:type="dxa"/>
            <w:vAlign w:val="bottom"/>
            <w:gridSpan w:val="3"/>
          </w:tcPr>
          <w:p>
            <w:pPr>
              <w:ind w:left="100"/>
              <w:spacing w:after="0"/>
              <w:rPr>
                <w:sz w:val="20"/>
                <w:szCs w:val="20"/>
                <w:color w:val="auto"/>
              </w:rPr>
            </w:pPr>
            <w:r>
              <w:rPr>
                <w:rFonts w:ascii="Arial" w:cs="Arial" w:eastAsia="Arial" w:hAnsi="Arial"/>
                <w:sz w:val="18"/>
                <w:szCs w:val="18"/>
                <w:b w:val="1"/>
                <w:bCs w:val="1"/>
                <w:color w:val="auto"/>
              </w:rPr>
              <w:t>2021 vs. 2020</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2020 vs. 2019</w:t>
            </w:r>
          </w:p>
        </w:tc>
        <w:tc>
          <w:tcPr>
            <w:tcW w:w="0" w:type="dxa"/>
            <w:vAlign w:val="bottom"/>
          </w:tcPr>
          <w:p>
            <w:pPr>
              <w:spacing w:after="0"/>
              <w:rPr>
                <w:sz w:val="1"/>
                <w:szCs w:val="1"/>
                <w:color w:val="auto"/>
              </w:rPr>
            </w:pPr>
          </w:p>
        </w:tc>
      </w:tr>
      <w:tr>
        <w:trPr>
          <w:trHeight w:val="210"/>
        </w:trPr>
        <w:tc>
          <w:tcPr>
            <w:tcW w:w="4180" w:type="dxa"/>
            <w:vAlign w:val="bottom"/>
            <w:tcBorders>
              <w:top w:val="single" w:sz="8" w:color="CDEAFA"/>
            </w:tcBorders>
            <w:shd w:val="clear" w:color="auto" w:fill="CDEAFA"/>
          </w:tcPr>
          <w:p>
            <w:pPr>
              <w:spacing w:after="0"/>
              <w:rPr>
                <w:sz w:val="20"/>
                <w:szCs w:val="20"/>
                <w:color w:val="auto"/>
              </w:rPr>
            </w:pPr>
            <w:r>
              <w:rPr>
                <w:rFonts w:ascii="Arial" w:cs="Arial" w:eastAsia="Arial" w:hAnsi="Arial"/>
                <w:sz w:val="18"/>
                <w:szCs w:val="18"/>
                <w:color w:val="auto"/>
              </w:rPr>
              <w:t>Cash flows provided by operating activities</w:t>
            </w:r>
          </w:p>
        </w:tc>
        <w:tc>
          <w:tcPr>
            <w:tcW w:w="340" w:type="dxa"/>
            <w:vAlign w:val="bottom"/>
            <w:tcBorders>
              <w:top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7,081.3</w:t>
            </w:r>
          </w:p>
        </w:tc>
        <w:tc>
          <w:tcPr>
            <w:tcW w:w="220" w:type="dxa"/>
            <w:vAlign w:val="bottom"/>
            <w:tcBorders>
              <w:top w:val="single" w:sz="8" w:color="CDEAFA"/>
            </w:tcBorders>
            <w:shd w:val="clear" w:color="auto" w:fill="CDEAFA"/>
          </w:tcPr>
          <w:p>
            <w:pPr>
              <w:spacing w:after="0"/>
              <w:rPr>
                <w:sz w:val="18"/>
                <w:szCs w:val="18"/>
                <w:color w:val="auto"/>
              </w:rPr>
            </w:pPr>
          </w:p>
        </w:tc>
        <w:tc>
          <w:tcPr>
            <w:tcW w:w="34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2,618.1</w:t>
            </w:r>
          </w:p>
        </w:tc>
        <w:tc>
          <w:tcPr>
            <w:tcW w:w="220" w:type="dxa"/>
            <w:vAlign w:val="bottom"/>
            <w:tcBorders>
              <w:top w:val="single" w:sz="8" w:color="CDEAFA"/>
            </w:tcBorders>
            <w:shd w:val="clear" w:color="auto" w:fill="CDEAFA"/>
          </w:tcPr>
          <w:p>
            <w:pPr>
              <w:spacing w:after="0"/>
              <w:rPr>
                <w:sz w:val="18"/>
                <w:szCs w:val="18"/>
                <w:color w:val="auto"/>
              </w:rPr>
            </w:pPr>
          </w:p>
        </w:tc>
        <w:tc>
          <w:tcPr>
            <w:tcW w:w="34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2,430.0</w:t>
            </w:r>
          </w:p>
        </w:tc>
        <w:tc>
          <w:tcPr>
            <w:tcW w:w="220" w:type="dxa"/>
            <w:vAlign w:val="bottom"/>
            <w:tcBorders>
              <w:top w:val="single" w:sz="8" w:color="CDEAFA"/>
            </w:tcBorders>
            <w:shd w:val="clear" w:color="auto" w:fill="CDEAFA"/>
          </w:tcPr>
          <w:p>
            <w:pPr>
              <w:spacing w:after="0"/>
              <w:rPr>
                <w:sz w:val="18"/>
                <w:szCs w:val="18"/>
                <w:color w:val="auto"/>
              </w:rPr>
            </w:pPr>
          </w:p>
        </w:tc>
        <w:tc>
          <w:tcPr>
            <w:tcW w:w="360" w:type="dxa"/>
            <w:vAlign w:val="bottom"/>
            <w:tcBorders>
              <w:top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4,463.2</w:t>
            </w:r>
          </w:p>
        </w:tc>
        <w:tc>
          <w:tcPr>
            <w:tcW w:w="220" w:type="dxa"/>
            <w:vAlign w:val="bottom"/>
            <w:tcBorders>
              <w:top w:val="single" w:sz="8" w:color="CDEAFA"/>
            </w:tcBorders>
            <w:shd w:val="clear" w:color="auto" w:fill="CDEAFA"/>
          </w:tcPr>
          <w:p>
            <w:pPr>
              <w:spacing w:after="0"/>
              <w:rPr>
                <w:sz w:val="18"/>
                <w:szCs w:val="18"/>
                <w:color w:val="auto"/>
              </w:rPr>
            </w:pPr>
          </w:p>
        </w:tc>
        <w:tc>
          <w:tcPr>
            <w:tcW w:w="380" w:type="dxa"/>
            <w:vAlign w:val="bottom"/>
            <w:tcBorders>
              <w:top w:val="single" w:sz="8" w:color="auto"/>
            </w:tcBorders>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(5,384.7)</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(2,027.8)</w:t>
            </w:r>
          </w:p>
        </w:tc>
        <w:tc>
          <w:tcPr>
            <w:tcW w:w="22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(5,314.1)</w:t>
            </w:r>
          </w:p>
        </w:tc>
        <w:tc>
          <w:tcPr>
            <w:tcW w:w="220" w:type="dxa"/>
            <w:vAlign w:val="bottom"/>
          </w:tcPr>
          <w:p>
            <w:pPr>
              <w:spacing w:after="0"/>
              <w:rPr>
                <w:sz w:val="18"/>
                <w:szCs w:val="18"/>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1,957.2</w:t>
            </w:r>
          </w:p>
        </w:tc>
        <w:tc>
          <w:tcPr>
            <w:tcW w:w="0" w:type="dxa"/>
            <w:vAlign w:val="bottom"/>
          </w:tcPr>
          <w:p>
            <w:pPr>
              <w:spacing w:after="0"/>
              <w:rPr>
                <w:sz w:val="1"/>
                <w:szCs w:val="1"/>
                <w:color w:val="auto"/>
              </w:rPr>
            </w:pPr>
          </w:p>
        </w:tc>
      </w:tr>
      <w:tr>
        <w:trPr>
          <w:trHeight w:val="216"/>
        </w:trPr>
        <w:tc>
          <w:tcPr>
            <w:tcW w:w="4180" w:type="dxa"/>
            <w:vAlign w:val="bottom"/>
            <w:shd w:val="clear" w:color="auto" w:fill="CDEAFA"/>
          </w:tcPr>
          <w:p>
            <w:pPr>
              <w:spacing w:after="0"/>
              <w:rPr>
                <w:sz w:val="20"/>
                <w:szCs w:val="20"/>
                <w:color w:val="auto"/>
              </w:rPr>
            </w:pPr>
            <w:r>
              <w:rPr>
                <w:rFonts w:ascii="Arial" w:cs="Arial" w:eastAsia="Arial" w:hAnsi="Arial"/>
                <w:sz w:val="18"/>
                <w:szCs w:val="18"/>
                <w:color w:val="auto"/>
              </w:rPr>
              <w:t>Cash flows used in financing activities</w:t>
            </w:r>
          </w:p>
        </w:tc>
        <w:tc>
          <w:tcPr>
            <w:tcW w:w="34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(1,005.8)</w:t>
            </w:r>
          </w:p>
        </w:tc>
        <w:tc>
          <w:tcPr>
            <w:tcW w:w="560" w:type="dxa"/>
            <w:vAlign w:val="bottom"/>
            <w:gridSpan w:val="2"/>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(1,970.5)</w:t>
            </w:r>
          </w:p>
        </w:tc>
        <w:tc>
          <w:tcPr>
            <w:tcW w:w="220" w:type="dxa"/>
            <w:vAlign w:val="bottom"/>
            <w:shd w:val="clear" w:color="auto" w:fill="CDEAFA"/>
          </w:tcPr>
          <w:p>
            <w:pPr>
              <w:spacing w:after="0"/>
              <w:rPr>
                <w:sz w:val="18"/>
                <w:szCs w:val="18"/>
                <w:color w:val="auto"/>
              </w:rPr>
            </w:pPr>
          </w:p>
        </w:tc>
        <w:tc>
          <w:tcPr>
            <w:tcW w:w="3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(252.1)</w:t>
            </w:r>
          </w:p>
        </w:tc>
        <w:tc>
          <w:tcPr>
            <w:tcW w:w="220" w:type="dxa"/>
            <w:vAlign w:val="bottom"/>
            <w:shd w:val="clear" w:color="auto" w:fill="CDEAFA"/>
          </w:tcPr>
          <w:p>
            <w:pPr>
              <w:spacing w:after="0"/>
              <w:rPr>
                <w:sz w:val="18"/>
                <w:szCs w:val="18"/>
                <w:color w:val="auto"/>
              </w:rPr>
            </w:pPr>
          </w:p>
        </w:tc>
        <w:tc>
          <w:tcPr>
            <w:tcW w:w="360" w:type="dxa"/>
            <w:vAlign w:val="bottom"/>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964.7</w:t>
            </w: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(1,718.4)</w:t>
            </w:r>
          </w:p>
        </w:tc>
        <w:tc>
          <w:tcPr>
            <w:tcW w:w="0" w:type="dxa"/>
            <w:vAlign w:val="bottom"/>
          </w:tcPr>
          <w:p>
            <w:pPr>
              <w:spacing w:after="0"/>
              <w:rPr>
                <w:sz w:val="1"/>
                <w:szCs w:val="1"/>
                <w:color w:val="auto"/>
              </w:rPr>
            </w:pPr>
          </w:p>
        </w:tc>
      </w:tr>
      <w:tr>
        <w:trPr>
          <w:trHeight w:val="405"/>
        </w:trPr>
        <w:tc>
          <w:tcPr>
            <w:tcW w:w="4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87</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8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8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2021, Accounts receivable had increased by $1.927 billion, compared to December 31, 2020, primarily due to REGEN-COV sales in connection with our September 2021 agreement to supply drug product to the U.S. government. Other non-cash items, net, in 2021 included inventory write-offs and reserves totaling $457.1 million, primarily related to REGEN-COV. Accounts payable, accrued expenses, and other liabilities as of December 31, 2021 included a $259.6 million fourth quarter 2021 true-up payment owed in connection with global gross profits under our Roche collaboration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2020, Accounts receivable had increased by $1.356 billion, compared to December 31, 2019, partly as a result of extending payment terms to EYLEA customers due to the COVID-19 pandemic. Inventories increased as of December 31, 2020, compared to December 31, 2019, partially as a result of purchasing additional raw materials in anticipation of potential disruptions to our supply chain due to the COVID-19 pandemic.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taxes as of December 31, 2019 increased by $130.6 million, compared to December 31, 2018, primarily due to the tax treatment of the up-front payment made to Alnylam and non-cash compensation expense. Accounts payable, accrued expenses, and other liabilities as of December 31, 2019 increased compared to December 31, 2018 partially due to the impact of the receipt of a $461.9 million payment from Sanofi in connection with the termination of the 2015 IO Discovery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Sales of marketable securities in 2020 included proceeds in connection with funding our stock repurchase from Sanofi (as described below). In 2019, we purchased $400.0 million of Alnylam common stock in connection with entering into the collaboration agreement. Capital expenditures in 2021 included costs associated with the expansion of our manufacturing facilities in Rensselaer, New York (including the ongoing construction of a fill/finish facility and related equipment) and Limerick, Ireland, as well as initial costs incurred in connection with our planned expansion of the Tarrytown, New York campus. We expect to incur capital expenditures of $650 million to $730 million in 2022 primarily in connection with the continued expansion of our manufacturing facilities (including the fill/finish facility) and the expansion of our research, preclinical manufacturing, and support facilities at our Tarrytown, New York campus. We also expect continued significant capital expenditures over the next several years in connection with the planned expansion of our Tarrytown, New York campus.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Proceeds from issuances of Common Stock, in connection with exercises of employee stock options, were $1.672 billion during 2021, compared to $2.575 billion during 2020 and $211.8 million during 2019. For additional information related to cash flows from financing activities, see “Share Repurchase Program”, “Sanofi Funding of Certain Development Costs”, “Secondary Offering and Purchase of Regeneron Common Stock Held by Sanofi”, and “Issuance of Senior Notes” sections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2018,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$50.0 million sublimit for letters of credit. The Credit Agreement includes an option for us to elect to extend the maturity date of the Credit Facility beyond December 2023,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2021.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December 31, 2021.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our board of directors authorized a share repurchase program to repurchase up to $1.0 billion of our Common Stock. The share repurchase program permitted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As of December 31, 2020, the Company had repurchased the entire $1.0 billion of its Common Stock that it was authorized to repurchase under the program.</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2021, our board of directors authorized a share repurchase program to repurchase up to $1.5 billion of our Common Stock. The share repurchase program was approved under terms substantially similar to the November 2019 share repurchase program. As of December 31, 2021, the Company had repurchased the entire $1.5 billion of its Common Stock that it was authorized to repurchase under the program.</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2021, our board of directors authorized an additional share repurchase program to repurchase up to $3.0 billion of our Common Stock. The share repurchase program was approved under terms substantially similar to the share repurchase programs above.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We plan to finance the share repurchase program with available cash. As of December 31, 2021, $2.845 billion remained available for share repurchases under the November 2021 program.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shares of our Common Stock we repurchased under the programs described above and the cost of the shares received, which were recorded as Treasury Stock.</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46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DEAFA"/>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DEAF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460" w:type="dxa"/>
            <w:vAlign w:val="bottom"/>
            <w:shd w:val="clear" w:color="auto" w:fill="CDEAFA"/>
          </w:tcPr>
          <w:p>
            <w:pPr>
              <w:spacing w:after="0"/>
              <w:rPr>
                <w:sz w:val="20"/>
                <w:szCs w:val="20"/>
                <w:color w:val="auto"/>
              </w:rPr>
            </w:pPr>
            <w:r>
              <w:rPr>
                <w:rFonts w:ascii="Arial" w:cs="Arial" w:eastAsia="Arial" w:hAnsi="Arial"/>
                <w:sz w:val="18"/>
                <w:szCs w:val="18"/>
                <w:color w:val="auto"/>
              </w:rPr>
              <w:t>Number of shares repurchased</w:t>
            </w:r>
          </w:p>
        </w:tc>
        <w:tc>
          <w:tcPr>
            <w:tcW w:w="260" w:type="dxa"/>
            <w:vAlign w:val="bottom"/>
            <w:shd w:val="clear" w:color="auto" w:fill="CDEAFA"/>
          </w:tcPr>
          <w:p>
            <w:pPr>
              <w:spacing w:after="0"/>
              <w:rPr>
                <w:sz w:val="18"/>
                <w:szCs w:val="18"/>
                <w:color w:val="auto"/>
              </w:rPr>
            </w:pP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DEAFA"/>
          </w:tcPr>
          <w:p>
            <w:pPr>
              <w:spacing w:after="0"/>
              <w:rPr>
                <w:sz w:val="18"/>
                <w:szCs w:val="18"/>
                <w:color w:val="auto"/>
              </w:rPr>
            </w:pPr>
          </w:p>
        </w:tc>
        <w:tc>
          <w:tcPr>
            <w:tcW w:w="260" w:type="dxa"/>
            <w:vAlign w:val="bottom"/>
            <w:shd w:val="clear" w:color="auto" w:fill="CDEAFA"/>
          </w:tcPr>
          <w:p>
            <w:pPr>
              <w:spacing w:after="0"/>
              <w:rPr>
                <w:sz w:val="18"/>
                <w:szCs w:val="18"/>
                <w:color w:val="auto"/>
              </w:rPr>
            </w:pP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9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Total cost of shares received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1,655.0</w:t>
            </w:r>
          </w:p>
        </w:tc>
        <w:tc>
          <w:tcPr>
            <w:tcW w:w="3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746.0</w:t>
            </w:r>
          </w:p>
        </w:tc>
        <w:tc>
          <w:tcPr>
            <w:tcW w:w="280" w:type="dxa"/>
            <w:vAlign w:val="bottom"/>
          </w:tcPr>
          <w:p>
            <w:pPr>
              <w:spacing w:after="0"/>
              <w:rPr>
                <w:sz w:val="20"/>
                <w:szCs w:val="20"/>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a 2018 agreement, we agreed to allow Sanofi to satisfy in whole or in part its funding obligations with respect to Libtayo development and/or certain activities relating to dupilumab and itepekimab incurred in periods through September 30, 2020 by selling shares of our Common Stock owned by Sanofi. During 2020, Sanofi elected to sell, and we elected to purchase, shares of our Common Stock to satisfy Sanofi’s funding obligation related to such activities. Consequently, we recorded the cost of the shares received, or $135.0 million, as Treasury Stock during 2020. In addition, during 2019, Sanofi elected to sell, and we elected to purchase, shares of our Common Stock to satisfy Sanofi’s funding obligation. Consequently, we recorded the cost of the shares received, or $102.7 million, as Treasury Stock during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 and Purchase of Regeneron Common Stock Held by Sanofi</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a secondary offering of 13,014,646 shares of our Common Stock (the “Secondary Offering”) held by Sanofi was completed. In connection with the Secondary Offering, we also purchased 9,806,805 shares of our Common Stock directly from Sanofi for an aggregate purchase amount of $5.0 billion (the “Stock Purchase”).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funded the Stock Purchase with a combination of cash on hand, proceeds from the sale of marketable securities, and proceeds from loans under a $1.5 billion senior unsecured bridge loan facility (the “Bridge Facility”) which was entered into in May 2020. The Bridge Facility was repaid in August 2020 following the issuance and sale of the Company’s senior unsecured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Senior Notes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we issued and sold $1.250 billion aggregate principal amount of senior unsecured notes due 2030 (the “2030 Notes”) and $750 million aggregate principal amount of senior unsecured notes due 2050 (the “2050 Notes” and, together with the 2030 Notes, the “Notes”). Net proceeds from the issuance and sale of the Notes (after deducting underwriting discounts and offering expenses) were used in part to repay in full the Bridge Facility described above, including accrued interest and related fees and expenses in connection therewith.</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2030 Notes accrue interest at the rate of 1.750% per year and will mature on September 15, 2030. The 2050 Notes accrue interest at the rate of 2.800% per year and will mature on September 15, 2050. Interest on each series of Notes is payable semi-annually in arrears on March 15 and September 15 of each year until their respective maturity dates.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94" w:name="page95"/>
    <w:bookmarkEnd w:id="94"/>
    <w:p>
      <w:pPr>
        <w:jc w:val="both"/>
        <w:spacing w:after="0" w:line="286" w:lineRule="auto"/>
        <w:rPr>
          <w:sz w:val="20"/>
          <w:szCs w:val="20"/>
          <w:color w:val="auto"/>
        </w:rPr>
      </w:pPr>
      <w:r>
        <w:rPr>
          <w:rFonts w:ascii="Arial" w:cs="Arial" w:eastAsia="Arial" w:hAnsi="Arial"/>
          <w:sz w:val="17"/>
          <w:szCs w:val="17"/>
          <w:color w:val="auto"/>
        </w:rPr>
        <w:t>The Notes may be redeemed at the Company’s option at any time at 100% of the principal amount plus accrued and unpaid interest, and, until a specified period before maturity, a specified make-whole amount. The Notes contain a change-of-control provision that, under certain circumstances, may require the Company to offer to repurchase the Notes at a price equal to 101% of the principal amount plus accrued and unpaid interest.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also contain certain limitations on the Company’s ability to incur liens and enter into sale and leaseback transactions, as well as customary events of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lease laboratory and office facilities in Tarrytown, New York (the “Facility”). In 2016, we entered into a Purchase Agreement with the then lessor, pursuant to which we agreed to purchase the Facility for a purchase price of $720.0 million. In March 2017, we entered into a Participation Agreement with BA Leasing BSC, LCC, and affiliate of Banc of America Leasing &amp; Capital, LLC (“BAL”), as lessor, and a syndicate of lenders (collectively with BAL, the “Lease Participants”), which provided for lease financing in connection with the acquisition by BAL of the Facility and our lease of the Facility from BAL. In March 2017, we assigned our right to take title to the Facility under the Purchase Agreement to BAL, and the Lease Participants advanced $720.0 million, which was used by BAL to finance the purchase price for the Facility.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 with entering into the Participation Agreement, we also entered into a lease agreement (the “Lease”) for the Facility with BAL for a five-year term ending in March 2022. The Lease requires us to pay all maintenance, insurance, taxes, and other costs arising out of the use of the Facility. We are also required to make monthly payments of basic rent during the term of the Lease in an amount equal to a variable rate per annum based on the one-month LIBOR, plus an applicable margin that varies with our debt rating and total leverage ratio.</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Participation Agreement and the Lease include an option for us to elect to extend the maturity date of the Participation Agreement and the term of the Lease for an additional five-year period, subject to the consent of all the Lease Participants and certain other conditions. We also have the option prior to the end of the term of the Lease to (a) purchase the Facility by paying an amount equal to the outstanding principal amount of the Lease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2021, we delivered a request to the Lease Participants to potentially exercise the option for a five-year extension of the term of the Lease and the maturity date under the Participation Agreement. In November 2021, the Lease Participants consented to such extension, subject to the satisfaction of certain conditions prior to the expiration of the existing term in March 2022, including the negotiation and execution of satisfactory definitive documentation setting forth the terms and conditions that would apply during such potential extended term. We are negotiating such documentation with the Lease Participants, but there can be no assurance that such extension will become effective.</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agreements governing the Lease financing contain financial and operating covenants. Such financial covenants and certain of the operating covenants are substantially similar to the covenants set forth in our Credit Facility. We were in compliance with all such covenants as of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Funding Requirements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amount required to fund operations will depend on various factors, including the potential regulatory approval and commercialization of our product candidates and the timing thereof and the extent and cost of our research and development programs. We believe that our existing capital resources, borrowing availability under the Credit Facility, funds generated by anticipated product sales, and, as described above under Part I, Item 1. “Business - Collaboration, License, and Other Agreements,” funding for reimbursement of research and development costs that we are entitled to receive under our collaboration agreements, will enable us to meet our anticipated operating needs for the foreseeable future.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continued increases in our expenditures, particularly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including the size of trials, fees charged for services provided by clinical trial investigators and other third parties, the costs for manufacturing the product candidate for use in the trials, and other expenses. Under certain collaboration agreements, the amount of funding for reimbursement of research and development costs that we are entitled to receive is capped at a specified amount; therefore, we may elect to independently fund certain research and development costs in excess of such capped amounts.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95" w:name="page96"/>
    <w:bookmarkEnd w:id="95"/>
    <w:p>
      <w:pPr>
        <w:jc w:val="both"/>
        <w:ind w:right="20"/>
        <w:spacing w:after="0" w:line="263" w:lineRule="auto"/>
        <w:rPr>
          <w:sz w:val="20"/>
          <w:szCs w:val="20"/>
          <w:color w:val="auto"/>
        </w:rPr>
      </w:pPr>
      <w:r>
        <w:rPr>
          <w:rFonts w:ascii="Arial" w:cs="Arial" w:eastAsia="Arial" w:hAnsi="Arial"/>
          <w:sz w:val="18"/>
          <w:szCs w:val="18"/>
          <w:color w:val="auto"/>
        </w:rPr>
        <w:t>We expect to continue to incur development and manufacturing costs for our COVID-19 monoclonal antibodies in 2022, though the amount of funding that will be required will be subject to clinical data results, quantity of drug supply manufactured, the duration of the COVID-19 pandemic, and other factors, including regulatory outcomes, as described in Part I.</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continuing to incur substantial commercialization costs for EYLEA, Dupixent, and Libtayo. Commercialization costs over the next few years will depend on, among other things, the market potential for product candidates, whether commercialization costs are shared with a collaborator, and regulatory approval of additional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Liabilities for unrecognized tax benefits totaled $410.9 million at December 31, 2021. Due to their nature, there is a high degree of uncertainty regarding the period and amounts of potential future cash settlement with tax authorities. See Note 14 to our Consolidated Financial Statements. In addition, the Tax Cuts and Jobs Act of 2017 requires the capitalization and amortization of research and development expenses effective for years beginning after December 31, 2021, which we expect will have a material impact on our cash flows beginning in 2022.</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collaboration and licensing agreements that may require us to pay (i) amounts contingent upon the occurrence of various future events (e.g.,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 See Note 3 and Note 10 to our Consolidated Financial Statements.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our collaboration with Bayer for EYLEA outside the United States and our Antibody and IO Collaborations with Sanofi, we and our collaborator share profits and losses in connection with commercialization of drug products. If the applicable collaboration is profitable, we have contingent contractual obligations to reimburse Bayer and Sanofi for a defined percentage (generally 50%) of agreed-upon development expenses funded by Bayer and Sanofi (i.e., “development balance”). These reimbursements are deducted each quarter, in accordance with a formula, from our share of the collaboration profits (and, for our EYLEA collaboration with Bayer, inclusive of our percentage on product sales in Japan) otherwise payable to us, unless, in the case of EYLEA, we elect to reimburse these expenses at a faster rate. As of December 31, 2021, our contingent reimbursement obligation to Bayer for EYLEA was approximately $282 million and our contingent reimbursement obligation to Sanofi in connection with the companies’ Antibody Collaboration and IO Collaboration was approximately $3.152 billion and $103 million, respectively. Therefore, we expect that, for the foreseeable future, a portion of our share of profits from sales under our collaborations with Bayer and Sanofi will be used to reimburse our collaborators for these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are currently material or reasonably likely to be material to our consolidated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future adoption of recently issued accounting standards is not expected to have a material impact on the Company’s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earnings and cash flows are subject to fluctuations due to changes in interest rates, principally in connection with our investments in marketable securities, which consist primarily of corporate bonds. We do not believe we are materially exposed to changes in interest rates related to our investments, and we do not currently use interest rate derivative instruments to manage exposure to interest rate changes of our investments. We estimate that a 100 basis point, or 1%, unfavorable change in interest rates would have resulted in approximately a $120.0 million and $48.1 million decrease in the fair value of our investment portfolio as of December 31, 2021 and 2020,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96" w:name="page97"/>
    <w:bookmarkEnd w:id="96"/>
    <w:p>
      <w:pPr>
        <w:jc w:val="both"/>
        <w:spacing w:after="0" w:line="273" w:lineRule="auto"/>
        <w:rPr>
          <w:sz w:val="20"/>
          <w:szCs w:val="20"/>
          <w:color w:val="auto"/>
        </w:rPr>
      </w:pPr>
      <w:r>
        <w:rPr>
          <w:rFonts w:ascii="Arial" w:cs="Arial" w:eastAsia="Arial" w:hAnsi="Arial"/>
          <w:sz w:val="17"/>
          <w:szCs w:val="17"/>
          <w:color w:val="auto"/>
        </w:rPr>
        <w:t xml:space="preserve">We have exposure to market risk for changes in interest rates, including the interest rate risk relating to our variable rate Tarrytown, New York lease (as described in Part II, Item 7. “Management’s Discussion and Analysis of Financial Condition and Results of Operations - Liquidity and Capital Resources - </w:t>
      </w:r>
      <w:r>
        <w:rPr>
          <w:rFonts w:ascii="Arial" w:cs="Arial" w:eastAsia="Arial" w:hAnsi="Arial"/>
          <w:sz w:val="17"/>
          <w:szCs w:val="17"/>
          <w:i w:val="1"/>
          <w:iCs w:val="1"/>
          <w:color w:val="auto"/>
        </w:rPr>
        <w:t>Tarrytown, New York Leases</w:t>
      </w:r>
      <w:r>
        <w:rPr>
          <w:rFonts w:ascii="Arial" w:cs="Arial" w:eastAsia="Arial" w:hAnsi="Arial"/>
          <w:sz w:val="17"/>
          <w:szCs w:val="17"/>
          <w:color w:val="auto"/>
        </w:rPr>
        <w:t>”). Our interest rate exposure is primarily offset by our investments in marketable securities. In addition, we further manage</w:t>
      </w:r>
      <w:r>
        <w:rPr>
          <w:rFonts w:ascii="Arial" w:cs="Arial" w:eastAsia="Arial" w:hAnsi="Arial"/>
          <w:sz w:val="17"/>
          <w:szCs w:val="17"/>
          <w:i w:val="1"/>
          <w:iCs w:val="1"/>
          <w:color w:val="auto"/>
        </w:rPr>
        <w:t xml:space="preserve"> </w:t>
      </w:r>
      <w:r>
        <w:rPr>
          <w:rFonts w:ascii="Arial" w:cs="Arial" w:eastAsia="Arial" w:hAnsi="Arial"/>
          <w:sz w:val="17"/>
          <w:szCs w:val="17"/>
          <w:color w:val="auto"/>
        </w:rPr>
        <w:t>our interest rate exposure related to our variable rate lease through the use of derivative instruments. All of our derivative instruments are utilized for risk management purposes and are not used for trading or speculative purposes. We continue to monitor our interest rate risk and may utilize additional derivative instruments and/or other strategies in the future to further mitigate our interest rate exposure.</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hedged a portion of our floating interest rate exposure using interest rate swap and interest rate cap contracts. We estimate that a 100 basis point, or 1%, unfavorable change in interest rates would not have a material impact on the fair value of our interest rate swap or interest rate cap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2021, 2020, and 2019, we did not record any charges for credit-related impairments of our available-for-sale debt securities.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credit risk associated with the receivables due from our collaborators, including Bayer and Sanofi. We are also subject to credit risk in connection with trade accounts receivable due from our customers from our product sales. We have contractual payment terms with each of our collaborators and customers, and we monitor their financial performance and credit worthiness so that we can properly assess and respond to any changes in their credit profile. In 2021, 2020 and 2019, we did not recognize any charges for write-offs and allowances of accounts receivable related to credit risk for our collaborators or customers. As of December 31, 2021, three customers accounted on a combined basis for 91% (including 29% related to the U.S. government) of our net trade accounts receivables.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further above, our collaborators market certain products outside the United States, and we share in profits and losses with these collaborators from commercialization of products. In addition, pursuant to the applicable terms of the agreements with our collaborators, we also share in certain worldwide development expenses incurred by our collaborators. We also incur worldwide development expenses for clinical products we are developing independently, in addition to incurring expenses outside of the United States in connection with our international operations. Therefore, significant changes in foreign exchange rates of the countries outside the United States where our products are sold, where development expenses are incurred by us or our collaborators, or where we incur operating expenses can impact our operating results and financial condition. As sales outside the United States continue to grow, and as we expand our international operations, we will continue to assess potential steps, including foreign currency hedging and other strategies, to mitigate our foreign exchange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Risk</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exposed to price risk on equity securities included in our investment portfolio. Our marketable securities include equity investments in publicly traded stock of companies, including common stock of companies with which we have entered into collaboration arrangements. Changes in the fair value of our equity investments are included in Other income (expense), net on the Consolidated Statements of Income. We recorded $386.1 million and $196.0 million of net unrealized gains on equity securities in Other income (expense), net for the years ended December 31, 2021 and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on pages F-1 through F-42 of this report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as of December 31, 2021 using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Based on that evaluation, our management has concluded that our internal control over financial reporting was effective as of December 31, 2021. The effectiveness of the Company’s internal control over financial reporting as of December 31, 2021 has been audited by PricewaterhouseCoopers LLP, an independent registered public accounting firm, as stated in their report which appears under Part IV, Item 15.</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December 31, 2021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(other than the information set forth in the next paragraph in this Item 10) will be included in our definitive proxy statement with respect to our 2022 Annual Meeting of Shareholders to be filed with the SEC, and is incorporated herein by reference.</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The full text of our code of business conduct and ethics can be found on our website (http://www.regeneron.com) under the “Corporate Governance” heading on the “Investors &amp; Media”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2022 Annual Meeting of Shareholders to be filed with the SEC, and is incorporated herein by reference.</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2022 Annual Meeting of Shareholders to be filed with the SEC,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2022 Annual Meeting of Shareholders to be filed with the SEC,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2022 Annual Meeting of Shareholders to be filed with the SEC, and is incorporated herein by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9" w:name="page100"/>
    <w:bookmarkEnd w:id="99"/>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1. Financial Statements</w:t>
      </w:r>
    </w:p>
    <w:p>
      <w:pPr>
        <w:spacing w:after="0" w:line="279"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The consolidated financial statements filed as part of this report are listed on the Index to Financial Statements on page F-1.</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5"/>
          </w:tcPr>
          <w:p>
            <w:pPr>
              <w:ind w:left="660"/>
              <w:spacing w:after="0"/>
              <w:rPr>
                <w:sz w:val="20"/>
                <w:szCs w:val="20"/>
                <w:color w:val="auto"/>
              </w:rPr>
            </w:pPr>
            <w:r>
              <w:rPr>
                <w:rFonts w:ascii="Arial" w:cs="Arial" w:eastAsia="Arial" w:hAnsi="Arial"/>
                <w:sz w:val="18"/>
                <w:szCs w:val="18"/>
                <w:i w:val="1"/>
                <w:iCs w:val="1"/>
                <w:color w:val="auto"/>
                <w:w w:val="93"/>
              </w:rPr>
              <w:t>3. Exhibits</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Number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66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88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280" w:type="dxa"/>
            <w:vAlign w:val="bottom"/>
            <w:gridSpan w:val="3"/>
            <w:shd w:val="clear" w:color="auto" w:fill="CDEAFA"/>
          </w:tcPr>
          <w:p>
            <w:pPr>
              <w:ind w:left="660"/>
              <w:spacing w:after="0" w:line="201" w:lineRule="exact"/>
              <w:rPr>
                <w:sz w:val="20"/>
                <w:szCs w:val="20"/>
                <w:color w:val="auto"/>
              </w:rPr>
            </w:pPr>
            <w:r>
              <w:rPr>
                <w:rFonts w:ascii="Arial" w:cs="Arial" w:eastAsia="Arial" w:hAnsi="Arial"/>
                <w:sz w:val="18"/>
                <w:szCs w:val="18"/>
                <w:color w:val="auto"/>
              </w:rPr>
              <w:t>3.1</w:t>
            </w:r>
          </w:p>
        </w:tc>
        <w:tc>
          <w:tcPr>
            <w:tcW w:w="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9780" w:type="dxa"/>
            <w:vAlign w:val="bottom"/>
            <w:gridSpan w:val="3"/>
            <w:shd w:val="clear" w:color="auto" w:fill="CDEAFA"/>
          </w:tcPr>
          <w:p>
            <w:pPr>
              <w:ind w:left="40"/>
              <w:spacing w:after="0" w:line="201" w:lineRule="exact"/>
              <w:rPr>
                <w:sz w:val="20"/>
                <w:szCs w:val="20"/>
                <w:color w:val="auto"/>
              </w:rPr>
            </w:pPr>
            <w:r>
              <w:rPr>
                <w:rFonts w:ascii="Arial" w:cs="Arial" w:eastAsia="Arial" w:hAnsi="Arial"/>
                <w:sz w:val="18"/>
                <w:szCs w:val="18"/>
                <w:color w:val="auto"/>
                <w:w w:val="92"/>
              </w:rPr>
              <w:t>Restated Certificate of Incorporation, as amended. (Incorporated by reference from the Form 10-Q for Regeneron Pharmaceuticals,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DEAFA"/>
          </w:tcPr>
          <w:p>
            <w:pPr>
              <w:spacing w:after="0"/>
              <w:rPr>
                <w:sz w:val="20"/>
                <w:szCs w:val="20"/>
                <w:color w:val="auto"/>
              </w:rPr>
            </w:pPr>
          </w:p>
        </w:tc>
        <w:tc>
          <w:tcPr>
            <w:tcW w:w="40" w:type="dxa"/>
            <w:vAlign w:val="bottom"/>
            <w:shd w:val="clear" w:color="auto" w:fill="CDEAFA"/>
          </w:tcPr>
          <w:p>
            <w:pPr>
              <w:spacing w:after="0"/>
              <w:rPr>
                <w:sz w:val="20"/>
                <w:szCs w:val="20"/>
                <w:color w:val="auto"/>
              </w:rPr>
            </w:pPr>
          </w:p>
        </w:tc>
        <w:tc>
          <w:tcPr>
            <w:tcW w:w="580" w:type="dxa"/>
            <w:vAlign w:val="bottom"/>
            <w:shd w:val="clear" w:color="auto" w:fill="CDEAFA"/>
          </w:tcPr>
          <w:p>
            <w:pPr>
              <w:spacing w:after="0"/>
              <w:rPr>
                <w:sz w:val="20"/>
                <w:szCs w:val="20"/>
                <w:color w:val="auto"/>
              </w:rPr>
            </w:pPr>
          </w:p>
        </w:tc>
        <w:tc>
          <w:tcPr>
            <w:tcW w:w="40" w:type="dxa"/>
            <w:vAlign w:val="bottom"/>
            <w:shd w:val="clear" w:color="auto" w:fill="CDEAFA"/>
          </w:tcPr>
          <w:p>
            <w:pPr>
              <w:spacing w:after="0"/>
              <w:rPr>
                <w:sz w:val="20"/>
                <w:szCs w:val="20"/>
                <w:color w:val="auto"/>
              </w:rPr>
            </w:pPr>
          </w:p>
        </w:tc>
        <w:tc>
          <w:tcPr>
            <w:tcW w:w="140" w:type="dxa"/>
            <w:vAlign w:val="bottom"/>
            <w:shd w:val="clear" w:color="auto" w:fill="CDEAFA"/>
          </w:tcPr>
          <w:p>
            <w:pPr>
              <w:spacing w:after="0"/>
              <w:rPr>
                <w:sz w:val="20"/>
                <w:szCs w:val="20"/>
                <w:color w:val="auto"/>
              </w:rPr>
            </w:pPr>
          </w:p>
        </w:tc>
        <w:tc>
          <w:tcPr>
            <w:tcW w:w="9780" w:type="dxa"/>
            <w:vAlign w:val="bottom"/>
            <w:gridSpan w:val="3"/>
            <w:shd w:val="clear" w:color="auto" w:fill="CDEAFA"/>
          </w:tcPr>
          <w:p>
            <w:pPr>
              <w:ind w:left="40"/>
              <w:spacing w:after="0"/>
              <w:rPr>
                <w:sz w:val="20"/>
                <w:szCs w:val="20"/>
                <w:color w:val="auto"/>
              </w:rPr>
            </w:pPr>
            <w:r>
              <w:rPr>
                <w:rFonts w:ascii="Arial" w:cs="Arial" w:eastAsia="Arial" w:hAnsi="Arial"/>
                <w:sz w:val="18"/>
                <w:szCs w:val="18"/>
                <w:color w:val="auto"/>
              </w:rPr>
              <w:t>Inc. (the “Registrant”), for the quarter ended June 30, 2015, filed August 4,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ind w:left="66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80" w:type="dxa"/>
            <w:vAlign w:val="bottom"/>
            <w:gridSpan w:val="3"/>
          </w:tcPr>
          <w:p>
            <w:pPr>
              <w:ind w:left="40"/>
              <w:spacing w:after="0"/>
              <w:rPr>
                <w:sz w:val="20"/>
                <w:szCs w:val="20"/>
                <w:color w:val="auto"/>
              </w:rPr>
            </w:pPr>
            <w:r>
              <w:rPr>
                <w:rFonts w:ascii="Arial" w:cs="Arial" w:eastAsia="Arial" w:hAnsi="Arial"/>
                <w:sz w:val="18"/>
                <w:szCs w:val="18"/>
                <w:color w:val="auto"/>
                <w:w w:val="98"/>
              </w:rPr>
              <w:t>Amended and Restated By-Laws. (Incorporated by reference from the Form 8-K for the Registrant filed December 21,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80" w:type="dxa"/>
            <w:vAlign w:val="bottom"/>
            <w:gridSpan w:val="3"/>
            <w:shd w:val="clear" w:color="auto" w:fill="CDEAFA"/>
          </w:tcPr>
          <w:p>
            <w:pPr>
              <w:ind w:left="660"/>
              <w:spacing w:after="0" w:line="201" w:lineRule="exact"/>
              <w:rPr>
                <w:sz w:val="20"/>
                <w:szCs w:val="20"/>
                <w:color w:val="auto"/>
              </w:rPr>
            </w:pPr>
            <w:r>
              <w:rPr>
                <w:rFonts w:ascii="Arial" w:cs="Arial" w:eastAsia="Arial" w:hAnsi="Arial"/>
                <w:sz w:val="18"/>
                <w:szCs w:val="18"/>
                <w:color w:val="auto"/>
              </w:rPr>
              <w:t>4.1</w:t>
            </w:r>
          </w:p>
        </w:tc>
        <w:tc>
          <w:tcPr>
            <w:tcW w:w="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9780" w:type="dxa"/>
            <w:vAlign w:val="bottom"/>
            <w:gridSpan w:val="3"/>
            <w:shd w:val="clear" w:color="auto" w:fill="CDEAFA"/>
          </w:tcPr>
          <w:p>
            <w:pPr>
              <w:ind w:left="40"/>
              <w:spacing w:after="0" w:line="201" w:lineRule="exact"/>
              <w:rPr>
                <w:sz w:val="20"/>
                <w:szCs w:val="20"/>
                <w:color w:val="auto"/>
              </w:rPr>
            </w:pPr>
            <w:r>
              <w:rPr>
                <w:rFonts w:ascii="Arial" w:cs="Arial" w:eastAsia="Arial" w:hAnsi="Arial"/>
                <w:sz w:val="18"/>
                <w:szCs w:val="18"/>
                <w:color w:val="auto"/>
                <w:w w:val="92"/>
              </w:rPr>
              <w:t>Description of Securities Registered Pursuant to Section 12 of the Securities Exchange Act of 1934. (Incorporated by reference from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DEAFA"/>
          </w:tcPr>
          <w:p>
            <w:pPr>
              <w:spacing w:after="0"/>
              <w:rPr>
                <w:sz w:val="20"/>
                <w:szCs w:val="20"/>
                <w:color w:val="auto"/>
              </w:rPr>
            </w:pPr>
          </w:p>
        </w:tc>
        <w:tc>
          <w:tcPr>
            <w:tcW w:w="40" w:type="dxa"/>
            <w:vAlign w:val="bottom"/>
            <w:shd w:val="clear" w:color="auto" w:fill="CDEAFA"/>
          </w:tcPr>
          <w:p>
            <w:pPr>
              <w:spacing w:after="0"/>
              <w:rPr>
                <w:sz w:val="20"/>
                <w:szCs w:val="20"/>
                <w:color w:val="auto"/>
              </w:rPr>
            </w:pPr>
          </w:p>
        </w:tc>
        <w:tc>
          <w:tcPr>
            <w:tcW w:w="580" w:type="dxa"/>
            <w:vAlign w:val="bottom"/>
            <w:shd w:val="clear" w:color="auto" w:fill="CDEAFA"/>
          </w:tcPr>
          <w:p>
            <w:pPr>
              <w:spacing w:after="0"/>
              <w:rPr>
                <w:sz w:val="20"/>
                <w:szCs w:val="20"/>
                <w:color w:val="auto"/>
              </w:rPr>
            </w:pPr>
          </w:p>
        </w:tc>
        <w:tc>
          <w:tcPr>
            <w:tcW w:w="40" w:type="dxa"/>
            <w:vAlign w:val="bottom"/>
            <w:shd w:val="clear" w:color="auto" w:fill="CDEAFA"/>
          </w:tcPr>
          <w:p>
            <w:pPr>
              <w:spacing w:after="0"/>
              <w:rPr>
                <w:sz w:val="20"/>
                <w:szCs w:val="20"/>
                <w:color w:val="auto"/>
              </w:rPr>
            </w:pPr>
          </w:p>
        </w:tc>
        <w:tc>
          <w:tcPr>
            <w:tcW w:w="140" w:type="dxa"/>
            <w:vAlign w:val="bottom"/>
            <w:shd w:val="clear" w:color="auto" w:fill="CDEAFA"/>
          </w:tcPr>
          <w:p>
            <w:pPr>
              <w:spacing w:after="0"/>
              <w:rPr>
                <w:sz w:val="20"/>
                <w:szCs w:val="20"/>
                <w:color w:val="auto"/>
              </w:rPr>
            </w:pPr>
          </w:p>
        </w:tc>
        <w:tc>
          <w:tcPr>
            <w:tcW w:w="9780" w:type="dxa"/>
            <w:vAlign w:val="bottom"/>
            <w:gridSpan w:val="3"/>
            <w:shd w:val="clear" w:color="auto" w:fill="CDEAFA"/>
          </w:tcPr>
          <w:p>
            <w:pPr>
              <w:ind w:left="40"/>
              <w:spacing w:after="0"/>
              <w:rPr>
                <w:sz w:val="20"/>
                <w:szCs w:val="20"/>
                <w:color w:val="auto"/>
              </w:rPr>
            </w:pPr>
            <w:r>
              <w:rPr>
                <w:rFonts w:ascii="Arial" w:cs="Arial" w:eastAsia="Arial" w:hAnsi="Arial"/>
                <w:sz w:val="18"/>
                <w:szCs w:val="18"/>
                <w:color w:val="auto"/>
              </w:rPr>
              <w:t>the Form 10-K for the Registrant, for the year ended December 31, 2019, filed February 7, 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80" w:type="dxa"/>
            <w:vAlign w:val="bottom"/>
            <w:gridSpan w:val="3"/>
          </w:tcPr>
          <w:p>
            <w:pPr>
              <w:ind w:left="660"/>
              <w:spacing w:after="0" w:line="201" w:lineRule="exact"/>
              <w:rPr>
                <w:sz w:val="20"/>
                <w:szCs w:val="20"/>
                <w:color w:val="auto"/>
              </w:rPr>
            </w:pPr>
            <w:r>
              <w:rPr>
                <w:rFonts w:ascii="Arial" w:cs="Arial" w:eastAsia="Arial" w:hAnsi="Arial"/>
                <w:sz w:val="18"/>
                <w:szCs w:val="18"/>
                <w:color w:val="auto"/>
              </w:rPr>
              <w:t>4.2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3"/>
              </w:rPr>
              <w:t>Indenture, dated August 12, 2020, between the Registrant and U.S. Bank National Association. (Incorporated by reference from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gridSpan w:val="4"/>
          </w:tcPr>
          <w:p>
            <w:pPr>
              <w:ind w:left="40"/>
              <w:spacing w:after="0"/>
              <w:rPr>
                <w:sz w:val="20"/>
                <w:szCs w:val="20"/>
                <w:color w:val="auto"/>
              </w:rPr>
            </w:pPr>
            <w:r>
              <w:rPr>
                <w:rFonts w:ascii="Arial" w:cs="Arial" w:eastAsia="Arial" w:hAnsi="Arial"/>
                <w:sz w:val="18"/>
                <w:szCs w:val="18"/>
                <w:color w:val="auto"/>
              </w:rPr>
              <w:t>Form 8-K for the Registrant, filed August 12, 2020.)</w:t>
            </w:r>
          </w:p>
        </w:tc>
        <w:tc>
          <w:tcPr>
            <w:tcW w:w="0" w:type="dxa"/>
            <w:vAlign w:val="bottom"/>
          </w:tcPr>
          <w:p>
            <w:pPr>
              <w:spacing w:after="0"/>
              <w:rPr>
                <w:sz w:val="1"/>
                <w:szCs w:val="1"/>
                <w:color w:val="auto"/>
              </w:rPr>
            </w:pPr>
          </w:p>
        </w:tc>
      </w:tr>
      <w:tr>
        <w:trPr>
          <w:trHeight w:val="202"/>
        </w:trPr>
        <w:tc>
          <w:tcPr>
            <w:tcW w:w="1280" w:type="dxa"/>
            <w:vAlign w:val="bottom"/>
            <w:gridSpan w:val="3"/>
            <w:shd w:val="clear" w:color="auto" w:fill="CDEAFA"/>
          </w:tcPr>
          <w:p>
            <w:pPr>
              <w:ind w:left="660"/>
              <w:spacing w:after="0" w:line="201" w:lineRule="exact"/>
              <w:rPr>
                <w:sz w:val="20"/>
                <w:szCs w:val="20"/>
                <w:color w:val="auto"/>
              </w:rPr>
            </w:pPr>
            <w:r>
              <w:rPr>
                <w:rFonts w:ascii="Arial" w:cs="Arial" w:eastAsia="Arial" w:hAnsi="Arial"/>
                <w:sz w:val="18"/>
                <w:szCs w:val="18"/>
                <w:color w:val="auto"/>
              </w:rPr>
              <w:t>4.3</w:t>
            </w:r>
          </w:p>
        </w:tc>
        <w:tc>
          <w:tcPr>
            <w:tcW w:w="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9780" w:type="dxa"/>
            <w:vAlign w:val="bottom"/>
            <w:gridSpan w:val="3"/>
            <w:shd w:val="clear" w:color="auto" w:fill="CDEAFA"/>
          </w:tcPr>
          <w:p>
            <w:pPr>
              <w:ind w:left="40"/>
              <w:spacing w:after="0" w:line="201" w:lineRule="exact"/>
              <w:rPr>
                <w:sz w:val="20"/>
                <w:szCs w:val="20"/>
                <w:color w:val="auto"/>
              </w:rPr>
            </w:pPr>
            <w:r>
              <w:rPr>
                <w:rFonts w:ascii="Arial" w:cs="Arial" w:eastAsia="Arial" w:hAnsi="Arial"/>
                <w:sz w:val="18"/>
                <w:szCs w:val="18"/>
                <w:color w:val="auto"/>
                <w:w w:val="92"/>
              </w:rPr>
              <w:t>First Supplemental Indenture, dated August 12, 2020, between the Registrant and U.S. Bank National Association. (Incorporated by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DEAFA"/>
          </w:tcPr>
          <w:p>
            <w:pPr>
              <w:spacing w:after="0"/>
              <w:rPr>
                <w:sz w:val="20"/>
                <w:szCs w:val="20"/>
                <w:color w:val="auto"/>
              </w:rPr>
            </w:pPr>
          </w:p>
        </w:tc>
        <w:tc>
          <w:tcPr>
            <w:tcW w:w="40" w:type="dxa"/>
            <w:vAlign w:val="bottom"/>
            <w:shd w:val="clear" w:color="auto" w:fill="CDEAFA"/>
          </w:tcPr>
          <w:p>
            <w:pPr>
              <w:spacing w:after="0"/>
              <w:rPr>
                <w:sz w:val="20"/>
                <w:szCs w:val="20"/>
                <w:color w:val="auto"/>
              </w:rPr>
            </w:pPr>
          </w:p>
        </w:tc>
        <w:tc>
          <w:tcPr>
            <w:tcW w:w="580" w:type="dxa"/>
            <w:vAlign w:val="bottom"/>
            <w:shd w:val="clear" w:color="auto" w:fill="CDEAFA"/>
          </w:tcPr>
          <w:p>
            <w:pPr>
              <w:spacing w:after="0"/>
              <w:rPr>
                <w:sz w:val="20"/>
                <w:szCs w:val="20"/>
                <w:color w:val="auto"/>
              </w:rPr>
            </w:pPr>
          </w:p>
        </w:tc>
        <w:tc>
          <w:tcPr>
            <w:tcW w:w="40" w:type="dxa"/>
            <w:vAlign w:val="bottom"/>
            <w:shd w:val="clear" w:color="auto" w:fill="CDEAFA"/>
          </w:tcPr>
          <w:p>
            <w:pPr>
              <w:spacing w:after="0"/>
              <w:rPr>
                <w:sz w:val="20"/>
                <w:szCs w:val="20"/>
                <w:color w:val="auto"/>
              </w:rPr>
            </w:pPr>
          </w:p>
        </w:tc>
        <w:tc>
          <w:tcPr>
            <w:tcW w:w="140" w:type="dxa"/>
            <w:vAlign w:val="bottom"/>
            <w:shd w:val="clear" w:color="auto" w:fill="CDEAFA"/>
          </w:tcPr>
          <w:p>
            <w:pPr>
              <w:spacing w:after="0"/>
              <w:rPr>
                <w:sz w:val="20"/>
                <w:szCs w:val="20"/>
                <w:color w:val="auto"/>
              </w:rPr>
            </w:pPr>
          </w:p>
        </w:tc>
        <w:tc>
          <w:tcPr>
            <w:tcW w:w="9780" w:type="dxa"/>
            <w:vAlign w:val="bottom"/>
            <w:gridSpan w:val="3"/>
            <w:shd w:val="clear" w:color="auto" w:fill="CDEAFA"/>
          </w:tcPr>
          <w:p>
            <w:pPr>
              <w:ind w:left="40"/>
              <w:spacing w:after="0"/>
              <w:rPr>
                <w:sz w:val="20"/>
                <w:szCs w:val="20"/>
                <w:color w:val="auto"/>
              </w:rPr>
            </w:pPr>
            <w:r>
              <w:rPr>
                <w:rFonts w:ascii="Arial" w:cs="Arial" w:eastAsia="Arial" w:hAnsi="Arial"/>
                <w:sz w:val="18"/>
                <w:szCs w:val="18"/>
                <w:color w:val="auto"/>
              </w:rPr>
              <w:t>reference from the Form 8-K for the Registrant, filed August 12, 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ind w:left="66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80" w:type="dxa"/>
            <w:vAlign w:val="bottom"/>
            <w:gridSpan w:val="3"/>
          </w:tcPr>
          <w:p>
            <w:pPr>
              <w:ind w:left="40"/>
              <w:spacing w:after="0"/>
              <w:rPr>
                <w:sz w:val="20"/>
                <w:szCs w:val="20"/>
                <w:color w:val="auto"/>
              </w:rPr>
            </w:pPr>
            <w:r>
              <w:rPr>
                <w:rFonts w:ascii="Arial" w:cs="Arial" w:eastAsia="Arial" w:hAnsi="Arial"/>
                <w:sz w:val="18"/>
                <w:szCs w:val="18"/>
                <w:color w:val="auto"/>
              </w:rPr>
              <w:t>Form of 1.750% Senior Note due 2030 (included in Exhibit 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shd w:val="clear" w:color="auto" w:fill="CDEAFA"/>
          </w:tcPr>
          <w:p>
            <w:pPr>
              <w:ind w:left="66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9780" w:type="dxa"/>
            <w:vAlign w:val="bottom"/>
            <w:gridSpan w:val="3"/>
            <w:shd w:val="clear" w:color="auto" w:fill="CDEAFA"/>
          </w:tcPr>
          <w:p>
            <w:pPr>
              <w:ind w:left="40"/>
              <w:spacing w:after="0"/>
              <w:rPr>
                <w:sz w:val="20"/>
                <w:szCs w:val="20"/>
                <w:color w:val="auto"/>
              </w:rPr>
            </w:pPr>
            <w:r>
              <w:rPr>
                <w:rFonts w:ascii="Arial" w:cs="Arial" w:eastAsia="Arial" w:hAnsi="Arial"/>
                <w:sz w:val="18"/>
                <w:szCs w:val="18"/>
                <w:color w:val="auto"/>
              </w:rPr>
              <w:t>Form of 2.800% Senior Note due 2050 (included in Exhibit 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80" w:type="dxa"/>
            <w:vAlign w:val="bottom"/>
            <w:gridSpan w:val="3"/>
          </w:tcPr>
          <w:p>
            <w:pPr>
              <w:ind w:left="660"/>
              <w:spacing w:after="0" w:line="201" w:lineRule="exact"/>
              <w:rPr>
                <w:sz w:val="20"/>
                <w:szCs w:val="20"/>
                <w:color w:val="auto"/>
              </w:rPr>
            </w:pPr>
            <w:r>
              <w:rPr>
                <w:rFonts w:ascii="Arial" w:cs="Arial" w:eastAsia="Arial" w:hAnsi="Arial"/>
                <w:sz w:val="18"/>
                <w:szCs w:val="18"/>
                <w:color w:val="auto"/>
              </w:rPr>
              <w:t>10.1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0"/>
              </w:rPr>
              <w:t>Regeneron Pharmaceuticals, Inc. Second Amended and Restated 2000 Long-Term Incentive Plan. (Incorporated by reference from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gridSpan w:val="4"/>
          </w:tcPr>
          <w:p>
            <w:pPr>
              <w:ind w:left="40"/>
              <w:spacing w:after="0"/>
              <w:rPr>
                <w:sz w:val="20"/>
                <w:szCs w:val="20"/>
                <w:color w:val="auto"/>
              </w:rPr>
            </w:pPr>
            <w:r>
              <w:rPr>
                <w:rFonts w:ascii="Arial" w:cs="Arial" w:eastAsia="Arial" w:hAnsi="Arial"/>
                <w:sz w:val="18"/>
                <w:szCs w:val="18"/>
                <w:color w:val="auto"/>
              </w:rPr>
              <w:t>Registration Statement on Form S-8 for the Registrant, filed June 13, 2011.)</w:t>
            </w:r>
          </w:p>
        </w:tc>
        <w:tc>
          <w:tcPr>
            <w:tcW w:w="0" w:type="dxa"/>
            <w:vAlign w:val="bottom"/>
          </w:tcPr>
          <w:p>
            <w:pPr>
              <w:spacing w:after="0"/>
              <w:rPr>
                <w:sz w:val="1"/>
                <w:szCs w:val="1"/>
                <w:color w:val="auto"/>
              </w:rPr>
            </w:pPr>
          </w:p>
        </w:tc>
      </w:tr>
      <w:tr>
        <w:trPr>
          <w:trHeight w:val="202"/>
        </w:trPr>
        <w:tc>
          <w:tcPr>
            <w:tcW w:w="1280" w:type="dxa"/>
            <w:vAlign w:val="bottom"/>
            <w:gridSpan w:val="3"/>
            <w:shd w:val="clear" w:color="auto" w:fill="CDEAFA"/>
          </w:tcPr>
          <w:p>
            <w:pPr>
              <w:ind w:left="660"/>
              <w:spacing w:after="0" w:line="201" w:lineRule="exact"/>
              <w:rPr>
                <w:sz w:val="20"/>
                <w:szCs w:val="20"/>
                <w:color w:val="auto"/>
              </w:rPr>
            </w:pPr>
            <w:r>
              <w:rPr>
                <w:rFonts w:ascii="Arial" w:cs="Arial" w:eastAsia="Arial" w:hAnsi="Arial"/>
                <w:sz w:val="18"/>
                <w:szCs w:val="18"/>
                <w:color w:val="auto"/>
                <w:w w:val="91"/>
              </w:rPr>
              <w:t>10.1.1 +</w:t>
            </w:r>
          </w:p>
        </w:tc>
        <w:tc>
          <w:tcPr>
            <w:tcW w:w="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9780" w:type="dxa"/>
            <w:vAlign w:val="bottom"/>
            <w:gridSpan w:val="3"/>
            <w:shd w:val="clear" w:color="auto" w:fill="CDEAFA"/>
          </w:tcPr>
          <w:p>
            <w:pPr>
              <w:ind w:left="40"/>
              <w:spacing w:after="0" w:line="201" w:lineRule="exact"/>
              <w:rPr>
                <w:sz w:val="20"/>
                <w:szCs w:val="20"/>
                <w:color w:val="auto"/>
              </w:rPr>
            </w:pPr>
            <w:r>
              <w:rPr>
                <w:rFonts w:ascii="Arial" w:cs="Arial" w:eastAsia="Arial" w:hAnsi="Arial"/>
                <w:sz w:val="18"/>
                <w:szCs w:val="18"/>
                <w:color w:val="auto"/>
                <w:w w:val="93"/>
              </w:rPr>
              <w:t>Form of option agreement and related notice of grant for use in connection with the grant of time based vesting stock options to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58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9780" w:type="dxa"/>
            <w:vAlign w:val="bottom"/>
            <w:gridSpan w:val="3"/>
            <w:shd w:val="clear" w:color="auto" w:fill="CDEAFA"/>
          </w:tcPr>
          <w:p>
            <w:pPr>
              <w:ind w:left="40"/>
              <w:spacing w:after="0"/>
              <w:rPr>
                <w:sz w:val="20"/>
                <w:szCs w:val="20"/>
                <w:color w:val="auto"/>
              </w:rPr>
            </w:pPr>
            <w:r>
              <w:rPr>
                <w:rFonts w:ascii="Arial" w:cs="Arial" w:eastAsia="Arial" w:hAnsi="Arial"/>
                <w:sz w:val="18"/>
                <w:szCs w:val="18"/>
                <w:color w:val="auto"/>
                <w:w w:val="90"/>
              </w:rPr>
              <w:t>Registrant’s non-employee directors and executive officers under the Regeneron Pharmaceuticals, Inc. Second Amended and Restated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58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9780" w:type="dxa"/>
            <w:vAlign w:val="bottom"/>
            <w:gridSpan w:val="3"/>
            <w:shd w:val="clear" w:color="auto" w:fill="CDEAFA"/>
          </w:tcPr>
          <w:p>
            <w:pPr>
              <w:ind w:left="40"/>
              <w:spacing w:after="0"/>
              <w:rPr>
                <w:sz w:val="20"/>
                <w:szCs w:val="20"/>
                <w:color w:val="auto"/>
              </w:rPr>
            </w:pPr>
            <w:r>
              <w:rPr>
                <w:rFonts w:ascii="Arial" w:cs="Arial" w:eastAsia="Arial" w:hAnsi="Arial"/>
                <w:sz w:val="18"/>
                <w:szCs w:val="18"/>
                <w:color w:val="auto"/>
                <w:w w:val="93"/>
              </w:rPr>
              <w:t>2000 Long-Term Incentive Plan. (Incorporated by reference from the Form 10-Q for the Registrant, for the quarter ended 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DEAFA"/>
          </w:tcPr>
          <w:p>
            <w:pPr>
              <w:spacing w:after="0"/>
              <w:rPr>
                <w:sz w:val="20"/>
                <w:szCs w:val="20"/>
                <w:color w:val="auto"/>
              </w:rPr>
            </w:pPr>
          </w:p>
        </w:tc>
        <w:tc>
          <w:tcPr>
            <w:tcW w:w="40" w:type="dxa"/>
            <w:vAlign w:val="bottom"/>
            <w:shd w:val="clear" w:color="auto" w:fill="CDEAFA"/>
          </w:tcPr>
          <w:p>
            <w:pPr>
              <w:spacing w:after="0"/>
              <w:rPr>
                <w:sz w:val="20"/>
                <w:szCs w:val="20"/>
                <w:color w:val="auto"/>
              </w:rPr>
            </w:pPr>
          </w:p>
        </w:tc>
        <w:tc>
          <w:tcPr>
            <w:tcW w:w="580" w:type="dxa"/>
            <w:vAlign w:val="bottom"/>
            <w:shd w:val="clear" w:color="auto" w:fill="CDEAFA"/>
          </w:tcPr>
          <w:p>
            <w:pPr>
              <w:spacing w:after="0"/>
              <w:rPr>
                <w:sz w:val="20"/>
                <w:szCs w:val="20"/>
                <w:color w:val="auto"/>
              </w:rPr>
            </w:pPr>
          </w:p>
        </w:tc>
        <w:tc>
          <w:tcPr>
            <w:tcW w:w="40" w:type="dxa"/>
            <w:vAlign w:val="bottom"/>
            <w:shd w:val="clear" w:color="auto" w:fill="CDEAFA"/>
          </w:tcPr>
          <w:p>
            <w:pPr>
              <w:spacing w:after="0"/>
              <w:rPr>
                <w:sz w:val="20"/>
                <w:szCs w:val="20"/>
                <w:color w:val="auto"/>
              </w:rPr>
            </w:pPr>
          </w:p>
        </w:tc>
        <w:tc>
          <w:tcPr>
            <w:tcW w:w="140" w:type="dxa"/>
            <w:vAlign w:val="bottom"/>
            <w:shd w:val="clear" w:color="auto" w:fill="CDEAFA"/>
          </w:tcPr>
          <w:p>
            <w:pPr>
              <w:spacing w:after="0"/>
              <w:rPr>
                <w:sz w:val="20"/>
                <w:szCs w:val="20"/>
                <w:color w:val="auto"/>
              </w:rPr>
            </w:pPr>
          </w:p>
        </w:tc>
        <w:tc>
          <w:tcPr>
            <w:tcW w:w="9780" w:type="dxa"/>
            <w:vAlign w:val="bottom"/>
            <w:gridSpan w:val="3"/>
            <w:shd w:val="clear" w:color="auto" w:fill="CDEAFA"/>
          </w:tcPr>
          <w:p>
            <w:pPr>
              <w:ind w:left="40"/>
              <w:spacing w:after="0"/>
              <w:rPr>
                <w:sz w:val="20"/>
                <w:szCs w:val="20"/>
                <w:color w:val="auto"/>
              </w:rPr>
            </w:pPr>
            <w:r>
              <w:rPr>
                <w:rFonts w:ascii="Arial" w:cs="Arial" w:eastAsia="Arial" w:hAnsi="Arial"/>
                <w:sz w:val="18"/>
                <w:szCs w:val="18"/>
                <w:color w:val="auto"/>
              </w:rPr>
              <w:t>2009, filed April 30,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80" w:type="dxa"/>
            <w:vAlign w:val="bottom"/>
            <w:gridSpan w:val="3"/>
          </w:tcPr>
          <w:p>
            <w:pPr>
              <w:ind w:left="660"/>
              <w:spacing w:after="0" w:line="201" w:lineRule="exact"/>
              <w:rPr>
                <w:sz w:val="20"/>
                <w:szCs w:val="20"/>
                <w:color w:val="auto"/>
              </w:rPr>
            </w:pPr>
            <w:r>
              <w:rPr>
                <w:rFonts w:ascii="Arial" w:cs="Arial" w:eastAsia="Arial" w:hAnsi="Arial"/>
                <w:sz w:val="18"/>
                <w:szCs w:val="18"/>
                <w:color w:val="auto"/>
                <w:w w:val="91"/>
              </w:rPr>
              <w:t>10.1.2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1"/>
              </w:rPr>
              <w:t>Form of option agreement and related notice of grant for use in connection with the grant of performance based vesting stock options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0" w:type="dxa"/>
            <w:vAlign w:val="bottom"/>
            <w:gridSpan w:val="4"/>
          </w:tcPr>
          <w:p>
            <w:pPr>
              <w:ind w:left="40"/>
              <w:spacing w:after="0"/>
              <w:rPr>
                <w:sz w:val="20"/>
                <w:szCs w:val="20"/>
                <w:color w:val="auto"/>
              </w:rPr>
            </w:pPr>
            <w:r>
              <w:rPr>
                <w:rFonts w:ascii="Arial" w:cs="Arial" w:eastAsia="Arial" w:hAnsi="Arial"/>
                <w:sz w:val="18"/>
                <w:szCs w:val="18"/>
                <w:color w:val="auto"/>
                <w:w w:val="93"/>
              </w:rPr>
              <w:t>to the Registrant’s executive officers under the Regeneron Pharmaceuticals, Inc. Second Amended and Restated 2000 Long-Term</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0" w:type="dxa"/>
            <w:vAlign w:val="bottom"/>
            <w:gridSpan w:val="4"/>
          </w:tcPr>
          <w:p>
            <w:pPr>
              <w:ind w:left="40"/>
              <w:spacing w:after="0"/>
              <w:rPr>
                <w:sz w:val="20"/>
                <w:szCs w:val="20"/>
                <w:color w:val="auto"/>
              </w:rPr>
            </w:pPr>
            <w:r>
              <w:rPr>
                <w:rFonts w:ascii="Arial" w:cs="Arial" w:eastAsia="Arial" w:hAnsi="Arial"/>
                <w:sz w:val="18"/>
                <w:szCs w:val="18"/>
                <w:color w:val="auto"/>
                <w:w w:val="94"/>
              </w:rPr>
              <w:t>Incentive Plan. (Incorporated by reference from the Form 10-Q for the Registrant, for the quarter ended March 31, 2009, filed April</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30, 2009.)</w:t>
            </w:r>
          </w:p>
        </w:tc>
        <w:tc>
          <w:tcPr>
            <w:tcW w:w="8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80" w:type="dxa"/>
            <w:vAlign w:val="bottom"/>
            <w:gridSpan w:val="3"/>
            <w:shd w:val="clear" w:color="auto" w:fill="CDEAFA"/>
          </w:tcPr>
          <w:p>
            <w:pPr>
              <w:ind w:left="660"/>
              <w:spacing w:after="0" w:line="201" w:lineRule="exact"/>
              <w:rPr>
                <w:sz w:val="20"/>
                <w:szCs w:val="20"/>
                <w:color w:val="auto"/>
              </w:rPr>
            </w:pPr>
            <w:r>
              <w:rPr>
                <w:rFonts w:ascii="Arial" w:cs="Arial" w:eastAsia="Arial" w:hAnsi="Arial"/>
                <w:sz w:val="18"/>
                <w:szCs w:val="18"/>
                <w:color w:val="auto"/>
                <w:w w:val="91"/>
              </w:rPr>
              <w:t>10.1.3 +</w:t>
            </w:r>
          </w:p>
        </w:tc>
        <w:tc>
          <w:tcPr>
            <w:tcW w:w="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9780" w:type="dxa"/>
            <w:vAlign w:val="bottom"/>
            <w:gridSpan w:val="3"/>
            <w:shd w:val="clear" w:color="auto" w:fill="CDEAFA"/>
          </w:tcPr>
          <w:p>
            <w:pPr>
              <w:ind w:left="40"/>
              <w:spacing w:after="0" w:line="201" w:lineRule="exact"/>
              <w:rPr>
                <w:sz w:val="20"/>
                <w:szCs w:val="20"/>
                <w:color w:val="auto"/>
              </w:rPr>
            </w:pPr>
            <w:r>
              <w:rPr>
                <w:rFonts w:ascii="Arial" w:cs="Arial" w:eastAsia="Arial" w:hAnsi="Arial"/>
                <w:sz w:val="18"/>
                <w:szCs w:val="18"/>
                <w:color w:val="auto"/>
                <w:w w:val="91"/>
              </w:rPr>
              <w:t>Form of restricted stock award agreement and related notice of grant for use in connection with the grant of restricted stock awards 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58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9780" w:type="dxa"/>
            <w:vAlign w:val="bottom"/>
            <w:gridSpan w:val="3"/>
            <w:shd w:val="clear" w:color="auto" w:fill="CDEAFA"/>
          </w:tcPr>
          <w:p>
            <w:pPr>
              <w:ind w:left="40"/>
              <w:spacing w:after="0"/>
              <w:rPr>
                <w:sz w:val="20"/>
                <w:szCs w:val="20"/>
                <w:color w:val="auto"/>
              </w:rPr>
            </w:pPr>
            <w:r>
              <w:rPr>
                <w:rFonts w:ascii="Arial" w:cs="Arial" w:eastAsia="Arial" w:hAnsi="Arial"/>
                <w:sz w:val="18"/>
                <w:szCs w:val="18"/>
                <w:color w:val="auto"/>
                <w:w w:val="95"/>
              </w:rPr>
              <w:t>the Registrant’s executive officers under the Regeneron Pharmaceuticals, Inc. Second Amended and Restated 2000 Long-Term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58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9780" w:type="dxa"/>
            <w:vAlign w:val="bottom"/>
            <w:gridSpan w:val="3"/>
            <w:shd w:val="clear" w:color="auto" w:fill="CDEAFA"/>
          </w:tcPr>
          <w:p>
            <w:pPr>
              <w:ind w:left="40"/>
              <w:spacing w:after="0"/>
              <w:rPr>
                <w:sz w:val="20"/>
                <w:szCs w:val="20"/>
                <w:color w:val="auto"/>
              </w:rPr>
            </w:pPr>
            <w:r>
              <w:rPr>
                <w:rFonts w:ascii="Arial" w:cs="Arial" w:eastAsia="Arial" w:hAnsi="Arial"/>
                <w:sz w:val="18"/>
                <w:szCs w:val="18"/>
                <w:color w:val="auto"/>
                <w:w w:val="93"/>
              </w:rPr>
              <w:t>Incentive Plan (revised). (Incorporated by reference from the Form 10-K for the Registrant, for the year ended December 31,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DEAFA"/>
          </w:tcPr>
          <w:p>
            <w:pPr>
              <w:spacing w:after="0"/>
              <w:rPr>
                <w:sz w:val="20"/>
                <w:szCs w:val="20"/>
                <w:color w:val="auto"/>
              </w:rPr>
            </w:pPr>
          </w:p>
        </w:tc>
        <w:tc>
          <w:tcPr>
            <w:tcW w:w="40" w:type="dxa"/>
            <w:vAlign w:val="bottom"/>
            <w:shd w:val="clear" w:color="auto" w:fill="CDEAFA"/>
          </w:tcPr>
          <w:p>
            <w:pPr>
              <w:spacing w:after="0"/>
              <w:rPr>
                <w:sz w:val="20"/>
                <w:szCs w:val="20"/>
                <w:color w:val="auto"/>
              </w:rPr>
            </w:pPr>
          </w:p>
        </w:tc>
        <w:tc>
          <w:tcPr>
            <w:tcW w:w="580" w:type="dxa"/>
            <w:vAlign w:val="bottom"/>
            <w:shd w:val="clear" w:color="auto" w:fill="CDEAFA"/>
          </w:tcPr>
          <w:p>
            <w:pPr>
              <w:spacing w:after="0"/>
              <w:rPr>
                <w:sz w:val="20"/>
                <w:szCs w:val="20"/>
                <w:color w:val="auto"/>
              </w:rPr>
            </w:pPr>
          </w:p>
        </w:tc>
        <w:tc>
          <w:tcPr>
            <w:tcW w:w="40" w:type="dxa"/>
            <w:vAlign w:val="bottom"/>
            <w:shd w:val="clear" w:color="auto" w:fill="CDEAFA"/>
          </w:tcPr>
          <w:p>
            <w:pPr>
              <w:spacing w:after="0"/>
              <w:rPr>
                <w:sz w:val="20"/>
                <w:szCs w:val="20"/>
                <w:color w:val="auto"/>
              </w:rPr>
            </w:pPr>
          </w:p>
        </w:tc>
        <w:tc>
          <w:tcPr>
            <w:tcW w:w="140" w:type="dxa"/>
            <w:vAlign w:val="bottom"/>
            <w:shd w:val="clear" w:color="auto" w:fill="CDEAFA"/>
          </w:tcPr>
          <w:p>
            <w:pPr>
              <w:spacing w:after="0"/>
              <w:rPr>
                <w:sz w:val="20"/>
                <w:szCs w:val="20"/>
                <w:color w:val="auto"/>
              </w:rPr>
            </w:pPr>
          </w:p>
        </w:tc>
        <w:tc>
          <w:tcPr>
            <w:tcW w:w="9780" w:type="dxa"/>
            <w:vAlign w:val="bottom"/>
            <w:gridSpan w:val="3"/>
            <w:shd w:val="clear" w:color="auto" w:fill="CDEAFA"/>
          </w:tcPr>
          <w:p>
            <w:pPr>
              <w:ind w:left="40"/>
              <w:spacing w:after="0"/>
              <w:rPr>
                <w:sz w:val="20"/>
                <w:szCs w:val="20"/>
                <w:color w:val="auto"/>
              </w:rPr>
            </w:pPr>
            <w:r>
              <w:rPr>
                <w:rFonts w:ascii="Arial" w:cs="Arial" w:eastAsia="Arial" w:hAnsi="Arial"/>
                <w:sz w:val="18"/>
                <w:szCs w:val="18"/>
                <w:color w:val="auto"/>
              </w:rPr>
              <w:t>filed February 17,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80" w:type="dxa"/>
            <w:vAlign w:val="bottom"/>
            <w:gridSpan w:val="3"/>
          </w:tcPr>
          <w:p>
            <w:pPr>
              <w:ind w:left="660"/>
              <w:spacing w:after="0" w:line="201" w:lineRule="exact"/>
              <w:rPr>
                <w:sz w:val="20"/>
                <w:szCs w:val="20"/>
                <w:color w:val="auto"/>
              </w:rPr>
            </w:pPr>
            <w:r>
              <w:rPr>
                <w:rFonts w:ascii="Arial" w:cs="Arial" w:eastAsia="Arial" w:hAnsi="Arial"/>
                <w:sz w:val="18"/>
                <w:szCs w:val="18"/>
                <w:color w:val="auto"/>
                <w:w w:val="91"/>
              </w:rPr>
              <w:t>10.1.4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1"/>
              </w:rPr>
              <w:t>Form of option agreement and related notice of grant for use in connection with the grant of performance based vesting stock options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0" w:type="dxa"/>
            <w:vAlign w:val="bottom"/>
            <w:gridSpan w:val="4"/>
          </w:tcPr>
          <w:p>
            <w:pPr>
              <w:ind w:left="40"/>
              <w:spacing w:after="0"/>
              <w:rPr>
                <w:sz w:val="20"/>
                <w:szCs w:val="20"/>
                <w:color w:val="auto"/>
              </w:rPr>
            </w:pPr>
            <w:r>
              <w:rPr>
                <w:rFonts w:ascii="Arial" w:cs="Arial" w:eastAsia="Arial" w:hAnsi="Arial"/>
                <w:sz w:val="18"/>
                <w:szCs w:val="18"/>
                <w:color w:val="auto"/>
                <w:w w:val="93"/>
              </w:rPr>
              <w:t>to the Registrant’s executive officers under the Regeneron Pharmaceuticals, Inc. Second Amended and Restated 2000 Long-Term</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0" w:type="dxa"/>
            <w:vAlign w:val="bottom"/>
            <w:gridSpan w:val="4"/>
          </w:tcPr>
          <w:p>
            <w:pPr>
              <w:ind w:left="40"/>
              <w:spacing w:after="0"/>
              <w:rPr>
                <w:sz w:val="20"/>
                <w:szCs w:val="20"/>
                <w:color w:val="auto"/>
              </w:rPr>
            </w:pPr>
            <w:r>
              <w:rPr>
                <w:rFonts w:ascii="Arial" w:cs="Arial" w:eastAsia="Arial" w:hAnsi="Arial"/>
                <w:sz w:val="18"/>
                <w:szCs w:val="18"/>
                <w:color w:val="auto"/>
                <w:w w:val="93"/>
              </w:rPr>
              <w:t>Incentive Plan (revised). (Incorporated by reference from the Form 10-K for the Registrant, for the year ended December 31, 2010,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0" w:type="dxa"/>
            <w:vAlign w:val="bottom"/>
            <w:gridSpan w:val="4"/>
          </w:tcPr>
          <w:p>
            <w:pPr>
              <w:ind w:left="40"/>
              <w:spacing w:after="0"/>
              <w:rPr>
                <w:sz w:val="20"/>
                <w:szCs w:val="20"/>
                <w:color w:val="auto"/>
              </w:rPr>
            </w:pPr>
            <w:r>
              <w:rPr>
                <w:rFonts w:ascii="Arial" w:cs="Arial" w:eastAsia="Arial" w:hAnsi="Arial"/>
                <w:sz w:val="18"/>
                <w:szCs w:val="18"/>
                <w:color w:val="auto"/>
              </w:rPr>
              <w:t>filed February 17, 2011.)</w:t>
            </w:r>
          </w:p>
        </w:tc>
        <w:tc>
          <w:tcPr>
            <w:tcW w:w="0" w:type="dxa"/>
            <w:vAlign w:val="bottom"/>
          </w:tcPr>
          <w:p>
            <w:pPr>
              <w:spacing w:after="0"/>
              <w:rPr>
                <w:sz w:val="1"/>
                <w:szCs w:val="1"/>
                <w:color w:val="auto"/>
              </w:rPr>
            </w:pPr>
          </w:p>
        </w:tc>
      </w:tr>
      <w:tr>
        <w:trPr>
          <w:trHeight w:val="216"/>
        </w:trPr>
        <w:tc>
          <w:tcPr>
            <w:tcW w:w="1280" w:type="dxa"/>
            <w:vAlign w:val="bottom"/>
            <w:gridSpan w:val="3"/>
          </w:tcPr>
          <w:p>
            <w:pPr>
              <w:ind w:left="660"/>
              <w:spacing w:after="0"/>
              <w:rPr>
                <w:sz w:val="20"/>
                <w:szCs w:val="20"/>
                <w:color w:val="auto"/>
              </w:rPr>
            </w:pPr>
            <w:r>
              <w:rPr>
                <w:rFonts w:ascii="Arial" w:cs="Arial" w:eastAsia="Arial" w:hAnsi="Arial"/>
                <w:sz w:val="18"/>
                <w:szCs w:val="18"/>
                <w:color w:val="auto"/>
                <w:w w:val="91"/>
              </w:rPr>
              <w:t>10.1.5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0" w:type="dxa"/>
            <w:vAlign w:val="bottom"/>
            <w:gridSpan w:val="4"/>
          </w:tcPr>
          <w:p>
            <w:pPr>
              <w:ind w:left="40"/>
              <w:spacing w:after="0"/>
              <w:rPr>
                <w:sz w:val="20"/>
                <w:szCs w:val="20"/>
                <w:color w:val="auto"/>
              </w:rPr>
            </w:pPr>
            <w:r>
              <w:rPr>
                <w:rFonts w:ascii="Arial" w:cs="Arial" w:eastAsia="Arial" w:hAnsi="Arial"/>
                <w:sz w:val="18"/>
                <w:szCs w:val="18"/>
                <w:color w:val="auto"/>
                <w:w w:val="93"/>
              </w:rPr>
              <w:t>Form of option agreement and related notice of grant for use in connection with the grant of time based vesting stock options to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gridSpan w:val="4"/>
          </w:tcPr>
          <w:p>
            <w:pPr>
              <w:ind w:left="40"/>
              <w:spacing w:after="0"/>
              <w:rPr>
                <w:sz w:val="20"/>
                <w:szCs w:val="20"/>
                <w:color w:val="auto"/>
              </w:rPr>
            </w:pPr>
            <w:r>
              <w:rPr>
                <w:rFonts w:ascii="Arial" w:cs="Arial" w:eastAsia="Arial" w:hAnsi="Arial"/>
                <w:sz w:val="18"/>
                <w:szCs w:val="18"/>
                <w:color w:val="auto"/>
                <w:w w:val="93"/>
              </w:rPr>
              <w:t>Registrant’s non-employee directors under the Regeneron Pharmaceuticals, Inc. Second Amended and Restated 2000 Long-Term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-4577080</wp:posOffset>
            </wp:positionV>
            <wp:extent cx="7132320" cy="4852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4852035"/>
                    </a:xfrm>
                    <a:prstGeom prst="rect">
                      <a:avLst/>
                    </a:prstGeom>
                    <a:noFill/>
                  </pic:spPr>
                </pic:pic>
              </a:graphicData>
            </a:graphic>
          </wp:anchor>
        </w:drawing>
      </w:r>
    </w:p>
    <w:p>
      <w:pPr>
        <w:ind w:left="1500"/>
        <w:spacing w:after="0" w:line="260" w:lineRule="auto"/>
        <w:rPr>
          <w:sz w:val="20"/>
          <w:szCs w:val="20"/>
          <w:color w:val="auto"/>
        </w:rPr>
      </w:pPr>
      <w:r>
        <w:rPr>
          <w:rFonts w:ascii="Arial" w:cs="Arial" w:eastAsia="Arial" w:hAnsi="Arial"/>
          <w:sz w:val="18"/>
          <w:szCs w:val="18"/>
          <w:color w:val="auto"/>
        </w:rPr>
        <w:t>Incentive Plan (revised). (Incorporated by reference from the Form 10-K for the Registrant, for the year ended December 31, 2011, filed February 21,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00" w:name="page101"/>
    <w:bookmarkEnd w:id="100"/>
    <w:p>
      <w:pPr>
        <w:jc w:val="both"/>
        <w:ind w:left="400" w:hanging="863"/>
        <w:spacing w:after="0" w:line="291" w:lineRule="auto"/>
        <w:tabs>
          <w:tab w:leader="none" w:pos="380" w:val="left"/>
        </w:tabs>
        <w:rPr>
          <w:sz w:val="20"/>
          <w:szCs w:val="20"/>
          <w:color w:val="auto"/>
        </w:rPr>
      </w:pPr>
      <w:r>
        <w:rPr>
          <w:rFonts w:ascii="Arial" w:cs="Arial" w:eastAsia="Arial" w:hAnsi="Arial"/>
          <w:sz w:val="18"/>
          <w:szCs w:val="18"/>
          <w:color w:val="auto"/>
        </w:rPr>
        <w:t>10.1.6 +</w:t>
      </w:r>
      <w:r>
        <w:rPr>
          <w:sz w:val="20"/>
          <w:szCs w:val="20"/>
          <w:color w:val="auto"/>
        </w:rPr>
        <w:tab/>
      </w:r>
      <w:r>
        <w:rPr>
          <w:rFonts w:ascii="Arial" w:cs="Arial" w:eastAsia="Arial" w:hAnsi="Arial"/>
          <w:sz w:val="16"/>
          <w:szCs w:val="16"/>
          <w:color w:val="auto"/>
        </w:rPr>
        <w:t>Amendment No. 1 to the Regeneron Pharmaceuticals, Inc. Second Amended and Restated 2000 Long-Term Incentive Plan. (Incorporated by reference from the Form 10-K for the Registrant, for the year ended December 31, 2013, filed February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-273685</wp:posOffset>
            </wp:positionV>
            <wp:extent cx="7132320" cy="57607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5760720"/>
                    </a:xfrm>
                    <a:prstGeom prst="rect">
                      <a:avLst/>
                    </a:prstGeom>
                    <a:noFill/>
                  </pic:spPr>
                </pic:pic>
              </a:graphicData>
            </a:graphic>
          </wp:anchor>
        </w:drawing>
      </w:r>
    </w:p>
    <w:p>
      <w:pPr>
        <w:jc w:val="both"/>
        <w:ind w:left="400" w:hanging="863"/>
        <w:spacing w:after="0" w:line="250" w:lineRule="auto"/>
        <w:tabs>
          <w:tab w:leader="none" w:pos="38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8"/>
          <w:szCs w:val="18"/>
          <w:color w:val="auto"/>
        </w:rPr>
        <w:t>Amended and Restated Regeneron Pharmaceuticals, Inc. 2014 Long-Term Incentive Plan. (Incorporated by reference from the Registration Statement on Form S-8 for the Registrant, filed June 12, 2017.)</w:t>
      </w:r>
    </w:p>
    <w:p>
      <w:pPr>
        <w:spacing w:after="0" w:line="1" w:lineRule="exact"/>
        <w:rPr>
          <w:sz w:val="20"/>
          <w:szCs w:val="20"/>
          <w:color w:val="auto"/>
        </w:rPr>
      </w:pPr>
    </w:p>
    <w:p>
      <w:pPr>
        <w:jc w:val="both"/>
        <w:ind w:left="400" w:hanging="863"/>
        <w:spacing w:after="0" w:line="250" w:lineRule="auto"/>
        <w:tabs>
          <w:tab w:leader="none" w:pos="380" w:val="left"/>
        </w:tabs>
        <w:rPr>
          <w:sz w:val="20"/>
          <w:szCs w:val="20"/>
          <w:color w:val="auto"/>
        </w:rPr>
      </w:pPr>
      <w:r>
        <w:rPr>
          <w:rFonts w:ascii="Arial" w:cs="Arial" w:eastAsia="Arial" w:hAnsi="Arial"/>
          <w:sz w:val="18"/>
          <w:szCs w:val="18"/>
          <w:color w:val="auto"/>
        </w:rPr>
        <w:t>10.2.1 +</w:t>
        <w:tab/>
        <w:t>Form of stock option agreement and related notice of grant for use in connection with the grant of non-qualified stock options to the Registrant’s executive officers under the Regeneron Pharmaceuticals, Inc. 2014 Long-Term Incentive Plan. (Incorporated by reference from the Form 8-K for the Registrant, filed June 18, 2014.)</w:t>
      </w:r>
    </w:p>
    <w:p>
      <w:pPr>
        <w:spacing w:after="0" w:line="1" w:lineRule="exact"/>
        <w:rPr>
          <w:sz w:val="20"/>
          <w:szCs w:val="20"/>
          <w:color w:val="auto"/>
        </w:rPr>
      </w:pPr>
    </w:p>
    <w:p>
      <w:pPr>
        <w:jc w:val="both"/>
        <w:ind w:left="400" w:right="20" w:hanging="863"/>
        <w:spacing w:after="0" w:line="250" w:lineRule="auto"/>
        <w:tabs>
          <w:tab w:leader="none" w:pos="380" w:val="left"/>
        </w:tabs>
        <w:rPr>
          <w:sz w:val="20"/>
          <w:szCs w:val="20"/>
          <w:color w:val="auto"/>
        </w:rPr>
      </w:pPr>
      <w:r>
        <w:rPr>
          <w:rFonts w:ascii="Arial" w:cs="Arial" w:eastAsia="Arial" w:hAnsi="Arial"/>
          <w:sz w:val="18"/>
          <w:szCs w:val="18"/>
          <w:color w:val="auto"/>
        </w:rPr>
        <w:t>10.2.2 +</w:t>
        <w:tab/>
        <w:t>Form of restricted stock award agreement and related notice of grant for use in connection with the grant of restricted stock awards to the Registrant’s executive officers under the Regeneron Pharmaceuticals, Inc. 2014 Long-Term Incentive Plan. (Incorporated by reference from the Form 8-K for the Registrant, filed June 18, 2014.)</w:t>
      </w:r>
    </w:p>
    <w:p>
      <w:pPr>
        <w:spacing w:after="0" w:line="1" w:lineRule="exact"/>
        <w:rPr>
          <w:sz w:val="20"/>
          <w:szCs w:val="20"/>
          <w:color w:val="auto"/>
        </w:rPr>
      </w:pPr>
    </w:p>
    <w:p>
      <w:pPr>
        <w:jc w:val="both"/>
        <w:ind w:left="400" w:hanging="863"/>
        <w:spacing w:after="0" w:line="250" w:lineRule="auto"/>
        <w:tabs>
          <w:tab w:leader="none" w:pos="380" w:val="left"/>
        </w:tabs>
        <w:rPr>
          <w:sz w:val="20"/>
          <w:szCs w:val="20"/>
          <w:color w:val="auto"/>
        </w:rPr>
      </w:pPr>
      <w:r>
        <w:rPr>
          <w:rFonts w:ascii="Arial" w:cs="Arial" w:eastAsia="Arial" w:hAnsi="Arial"/>
          <w:sz w:val="18"/>
          <w:szCs w:val="18"/>
          <w:color w:val="auto"/>
        </w:rPr>
        <w:t>10.2.3 +</w:t>
        <w:tab/>
        <w:t>Form of stock option agreement and related notice of grant for use in connection with the grant of non-qualified stock options to the Registrant’s non-employee directors under the Regeneron Pharmaceuticals, Inc. 2014 Long-Term Incentive Plan. (Incorporated by reference from the Form 8-K for the Registrant, filed June 18, 2014.)</w:t>
      </w:r>
    </w:p>
    <w:p>
      <w:pPr>
        <w:spacing w:after="0" w:line="1" w:lineRule="exact"/>
        <w:rPr>
          <w:sz w:val="20"/>
          <w:szCs w:val="20"/>
          <w:color w:val="auto"/>
        </w:rPr>
      </w:pPr>
    </w:p>
    <w:p>
      <w:pPr>
        <w:jc w:val="both"/>
        <w:ind w:left="400" w:hanging="863"/>
        <w:spacing w:after="0" w:line="265" w:lineRule="auto"/>
        <w:tabs>
          <w:tab w:leader="none" w:pos="380" w:val="left"/>
        </w:tabs>
        <w:rPr>
          <w:sz w:val="20"/>
          <w:szCs w:val="20"/>
          <w:color w:val="auto"/>
        </w:rPr>
      </w:pPr>
      <w:r>
        <w:rPr>
          <w:rFonts w:ascii="Arial" w:cs="Arial" w:eastAsia="Arial" w:hAnsi="Arial"/>
          <w:sz w:val="18"/>
          <w:szCs w:val="18"/>
          <w:color w:val="auto"/>
        </w:rPr>
        <w:t>10.2.4 +</w:t>
      </w:r>
      <w:r>
        <w:rPr>
          <w:sz w:val="20"/>
          <w:szCs w:val="20"/>
          <w:color w:val="auto"/>
        </w:rPr>
        <w:tab/>
      </w:r>
      <w:r>
        <w:rPr>
          <w:rFonts w:ascii="Arial" w:cs="Arial" w:eastAsia="Arial" w:hAnsi="Arial"/>
          <w:sz w:val="17"/>
          <w:szCs w:val="17"/>
          <w:color w:val="auto"/>
        </w:rPr>
        <w:t>Form of stock option agreement and related notice of grant for use in connection with the grant of non-qualified stock options to P. Roy Vagelos, M.D. under the Regeneron Pharmaceuticals, Inc. 2014 Long-Term Incentive Plan. (Incorporated by reference from the Form 10-K for the Registrant, for the year ended December 31, 2015, filed February 11, 2016.)</w:t>
      </w:r>
    </w:p>
    <w:p>
      <w:pPr>
        <w:jc w:val="both"/>
        <w:ind w:left="400" w:hanging="863"/>
        <w:spacing w:after="0" w:line="250" w:lineRule="auto"/>
        <w:tabs>
          <w:tab w:leader="none" w:pos="380" w:val="left"/>
        </w:tabs>
        <w:rPr>
          <w:sz w:val="20"/>
          <w:szCs w:val="20"/>
          <w:color w:val="auto"/>
        </w:rPr>
      </w:pPr>
      <w:r>
        <w:rPr>
          <w:rFonts w:ascii="Arial" w:cs="Arial" w:eastAsia="Arial" w:hAnsi="Arial"/>
          <w:sz w:val="18"/>
          <w:szCs w:val="18"/>
          <w:color w:val="auto"/>
        </w:rPr>
        <w:t>10.2.5 +</w:t>
        <w:tab/>
        <w:t>Form of stock option agreement and related notice of grant for use in connection with the grant of non-qualified stock options to the Registrant’s executive officers under the Regeneron Pharmaceuticals, Inc. 2014 Long-Term Incentive Plan (revised). (Incorporated by reference from the Form 8-K for the Registrant, filed November 19, 2015.)</w:t>
      </w:r>
    </w:p>
    <w:p>
      <w:pPr>
        <w:spacing w:after="0" w:line="1" w:lineRule="exact"/>
        <w:rPr>
          <w:sz w:val="20"/>
          <w:szCs w:val="20"/>
          <w:color w:val="auto"/>
        </w:rPr>
      </w:pPr>
    </w:p>
    <w:p>
      <w:pPr>
        <w:jc w:val="both"/>
        <w:ind w:left="400" w:right="20" w:hanging="863"/>
        <w:spacing w:after="0" w:line="250" w:lineRule="auto"/>
        <w:tabs>
          <w:tab w:leader="none" w:pos="380" w:val="left"/>
        </w:tabs>
        <w:rPr>
          <w:sz w:val="20"/>
          <w:szCs w:val="20"/>
          <w:color w:val="auto"/>
        </w:rPr>
      </w:pPr>
      <w:r>
        <w:rPr>
          <w:rFonts w:ascii="Arial" w:cs="Arial" w:eastAsia="Arial" w:hAnsi="Arial"/>
          <w:sz w:val="18"/>
          <w:szCs w:val="18"/>
          <w:color w:val="auto"/>
        </w:rPr>
        <w:t>10.2.6 +</w:t>
        <w:tab/>
        <w:t>Form of restricted stock award agreement and related notice of grant for use in connection with the grant of restricted stock awards to the Registrant’s executive officers under the Regeneron Pharmaceuticals, Inc. 2014 Long-Term Incentive Plan (revised). (Incorporated by reference from the Form 8-K for the Registrant, filed November 19, 2015.)</w:t>
      </w:r>
    </w:p>
    <w:p>
      <w:pPr>
        <w:spacing w:after="0" w:line="1" w:lineRule="exact"/>
        <w:rPr>
          <w:sz w:val="20"/>
          <w:szCs w:val="20"/>
          <w:color w:val="auto"/>
        </w:rPr>
      </w:pPr>
    </w:p>
    <w:p>
      <w:pPr>
        <w:jc w:val="both"/>
        <w:ind w:left="400" w:hanging="863"/>
        <w:spacing w:after="0" w:line="281" w:lineRule="auto"/>
        <w:tabs>
          <w:tab w:leader="none" w:pos="380" w:val="left"/>
        </w:tabs>
        <w:rPr>
          <w:sz w:val="20"/>
          <w:szCs w:val="20"/>
          <w:color w:val="auto"/>
        </w:rPr>
      </w:pPr>
      <w:r>
        <w:rPr>
          <w:rFonts w:ascii="Arial" w:cs="Arial" w:eastAsia="Arial" w:hAnsi="Arial"/>
          <w:sz w:val="18"/>
          <w:szCs w:val="18"/>
          <w:color w:val="auto"/>
        </w:rPr>
        <w:t>10.2.7 +</w:t>
      </w:r>
      <w:r>
        <w:rPr>
          <w:sz w:val="20"/>
          <w:szCs w:val="20"/>
          <w:color w:val="auto"/>
        </w:rPr>
        <w:tab/>
      </w:r>
      <w:r>
        <w:rPr>
          <w:rFonts w:ascii="Arial" w:cs="Arial" w:eastAsia="Arial" w:hAnsi="Arial"/>
          <w:sz w:val="16"/>
          <w:szCs w:val="16"/>
          <w:color w:val="auto"/>
        </w:rPr>
        <w:t>Form of stock option agreement and related notice of grant for use in connection with the grant of non-qualified stock options to the Registrant’s non-employee directors under the Regeneron Pharmaceuticals, Inc. 2014 Long-Term Incentive Plan (revised). (Incorporated by reference from the Form 10-K for the Registrant, for the year ended December 31, 2015, filed February 11, 2016.)</w:t>
      </w:r>
    </w:p>
    <w:p>
      <w:pPr>
        <w:spacing w:after="0" w:line="2" w:lineRule="exact"/>
        <w:rPr>
          <w:sz w:val="20"/>
          <w:szCs w:val="20"/>
          <w:color w:val="auto"/>
        </w:rPr>
      </w:pPr>
    </w:p>
    <w:p>
      <w:pPr>
        <w:jc w:val="both"/>
        <w:ind w:left="400" w:hanging="863"/>
        <w:spacing w:after="0" w:line="281" w:lineRule="auto"/>
        <w:tabs>
          <w:tab w:leader="none" w:pos="380" w:val="left"/>
        </w:tabs>
        <w:rPr>
          <w:sz w:val="20"/>
          <w:szCs w:val="20"/>
          <w:color w:val="auto"/>
        </w:rPr>
      </w:pPr>
      <w:r>
        <w:rPr>
          <w:rFonts w:ascii="Arial" w:cs="Arial" w:eastAsia="Arial" w:hAnsi="Arial"/>
          <w:sz w:val="18"/>
          <w:szCs w:val="18"/>
          <w:color w:val="auto"/>
        </w:rPr>
        <w:t>10.2.8 +</w:t>
      </w:r>
      <w:r>
        <w:rPr>
          <w:sz w:val="20"/>
          <w:szCs w:val="20"/>
          <w:color w:val="auto"/>
        </w:rPr>
        <w:tab/>
      </w:r>
      <w:r>
        <w:rPr>
          <w:rFonts w:ascii="Arial" w:cs="Arial" w:eastAsia="Arial" w:hAnsi="Arial"/>
          <w:sz w:val="16"/>
          <w:szCs w:val="16"/>
          <w:color w:val="auto"/>
        </w:rPr>
        <w:t>Form of stock option agreement and related notice of grant for use in connection with the grant of non-qualified stock options to the Registrant’s executive officers under the Amended and Restated Regeneron Pharmaceuticals, Inc. 2014 Long-Term Incentive Plan. (Incorporated by reference from the Form 10-K for the Registrant, for the year ended December 31, 2017, filed February 8, 2018.)</w:t>
      </w:r>
    </w:p>
    <w:p>
      <w:pPr>
        <w:spacing w:after="0" w:line="2" w:lineRule="exact"/>
        <w:rPr>
          <w:sz w:val="20"/>
          <w:szCs w:val="20"/>
          <w:color w:val="auto"/>
        </w:rPr>
      </w:pPr>
    </w:p>
    <w:p>
      <w:pPr>
        <w:jc w:val="both"/>
        <w:ind w:left="400" w:hanging="863"/>
        <w:spacing w:after="0" w:line="281" w:lineRule="auto"/>
        <w:tabs>
          <w:tab w:leader="none" w:pos="380" w:val="left"/>
        </w:tabs>
        <w:rPr>
          <w:sz w:val="20"/>
          <w:szCs w:val="20"/>
          <w:color w:val="auto"/>
        </w:rPr>
      </w:pPr>
      <w:r>
        <w:rPr>
          <w:rFonts w:ascii="Arial" w:cs="Arial" w:eastAsia="Arial" w:hAnsi="Arial"/>
          <w:sz w:val="18"/>
          <w:szCs w:val="18"/>
          <w:color w:val="auto"/>
        </w:rPr>
        <w:t>10.2.9 +</w:t>
      </w:r>
      <w:r>
        <w:rPr>
          <w:sz w:val="20"/>
          <w:szCs w:val="20"/>
          <w:color w:val="auto"/>
        </w:rPr>
        <w:tab/>
      </w:r>
      <w:r>
        <w:rPr>
          <w:rFonts w:ascii="Arial" w:cs="Arial" w:eastAsia="Arial" w:hAnsi="Arial"/>
          <w:sz w:val="16"/>
          <w:szCs w:val="16"/>
          <w:color w:val="auto"/>
        </w:rPr>
        <w:t>Form of stock option agreement and related notice of grant for use in connection with the grant of non-qualified stock options to P. Roy Vagelos, M.D. under the Amended and Restated Regeneron Pharmaceuticals, Inc. 2014 Long-Term Incentive Plan. (Incorporated by reference from the Form 10-K for the Registrant, for the year ended December 31, 2017, filed February 8, 2018.)</w:t>
      </w:r>
    </w:p>
    <w:p>
      <w:pPr>
        <w:spacing w:after="0" w:line="2" w:lineRule="exact"/>
        <w:rPr>
          <w:sz w:val="20"/>
          <w:szCs w:val="20"/>
          <w:color w:val="auto"/>
        </w:rPr>
      </w:pPr>
    </w:p>
    <w:p>
      <w:pPr>
        <w:jc w:val="both"/>
        <w:ind w:left="400" w:hanging="863"/>
        <w:spacing w:after="0" w:line="281" w:lineRule="auto"/>
        <w:tabs>
          <w:tab w:leader="none" w:pos="380" w:val="left"/>
        </w:tabs>
        <w:rPr>
          <w:sz w:val="20"/>
          <w:szCs w:val="20"/>
          <w:color w:val="auto"/>
        </w:rPr>
      </w:pPr>
      <w:r>
        <w:rPr>
          <w:rFonts w:ascii="Arial" w:cs="Arial" w:eastAsia="Arial" w:hAnsi="Arial"/>
          <w:sz w:val="18"/>
          <w:szCs w:val="18"/>
          <w:color w:val="auto"/>
        </w:rPr>
        <w:t>10.2.10 +</w:t>
      </w:r>
      <w:r>
        <w:rPr>
          <w:sz w:val="20"/>
          <w:szCs w:val="20"/>
          <w:color w:val="auto"/>
        </w:rPr>
        <w:tab/>
      </w:r>
      <w:r>
        <w:rPr>
          <w:rFonts w:ascii="Arial" w:cs="Arial" w:eastAsia="Arial" w:hAnsi="Arial"/>
          <w:sz w:val="16"/>
          <w:szCs w:val="16"/>
          <w:color w:val="auto"/>
        </w:rPr>
        <w:t>Form of restricted stock award agreement and related notice of grant for use in connection with the grant of restricted stock awards to the Registrant’s executive officers under the Amended and Restated Regeneron Pharmaceuticals, Inc. 2014 Long-Term Incentive Plan. (Incorporated by reference from the Form 10-K for the Registrant, for the year ended December 31, 2017, filed February 8, 2018.)</w:t>
      </w:r>
    </w:p>
    <w:p>
      <w:pPr>
        <w:spacing w:after="0" w:line="2" w:lineRule="exact"/>
        <w:rPr>
          <w:sz w:val="20"/>
          <w:szCs w:val="20"/>
          <w:color w:val="auto"/>
        </w:rPr>
      </w:pPr>
    </w:p>
    <w:p>
      <w:pPr>
        <w:jc w:val="both"/>
        <w:ind w:left="400" w:hanging="863"/>
        <w:spacing w:after="0" w:line="250" w:lineRule="auto"/>
        <w:tabs>
          <w:tab w:leader="none" w:pos="380" w:val="left"/>
        </w:tabs>
        <w:rPr>
          <w:sz w:val="20"/>
          <w:szCs w:val="20"/>
          <w:color w:val="auto"/>
        </w:rPr>
      </w:pPr>
      <w:r>
        <w:rPr>
          <w:rFonts w:ascii="Arial" w:cs="Arial" w:eastAsia="Arial" w:hAnsi="Arial"/>
          <w:sz w:val="18"/>
          <w:szCs w:val="18"/>
          <w:color w:val="auto"/>
        </w:rPr>
        <w:t>10.2.11 +</w:t>
        <w:tab/>
        <w:t>Form of stock option agreement and related notice of grant for use in connection with the grant of non-qualified stock options to the Registrant’s non-employee directors under the Amended and Restated Regeneron Pharmaceuticals, Inc. 2014 Long-Term Incentive Plan. (Incorporated by reference from the Form 10-K for the Registrant, for the year ended December 31, 2017, filed February 8, 2018.)</w:t>
      </w:r>
    </w:p>
    <w:p>
      <w:pPr>
        <w:spacing w:after="0" w:line="2" w:lineRule="exact"/>
        <w:rPr>
          <w:sz w:val="20"/>
          <w:szCs w:val="20"/>
          <w:color w:val="auto"/>
        </w:rPr>
      </w:pPr>
    </w:p>
    <w:p>
      <w:pPr>
        <w:jc w:val="both"/>
        <w:ind w:left="400" w:hanging="863"/>
        <w:spacing w:after="0" w:line="253" w:lineRule="auto"/>
        <w:tabs>
          <w:tab w:leader="none" w:pos="380" w:val="left"/>
        </w:tabs>
        <w:rPr>
          <w:sz w:val="20"/>
          <w:szCs w:val="20"/>
          <w:color w:val="auto"/>
        </w:rPr>
      </w:pPr>
      <w:r>
        <w:rPr>
          <w:rFonts w:ascii="Arial" w:cs="Arial" w:eastAsia="Arial" w:hAnsi="Arial"/>
          <w:sz w:val="18"/>
          <w:szCs w:val="18"/>
          <w:color w:val="auto"/>
        </w:rPr>
        <w:t>10.2.12 +</w:t>
        <w:tab/>
        <w:t>Form of stock option agreement and related notice of grant for use in connection with the grant of non-qualified stock options to the Registrant’s executive officers under the Amended and Restated Regeneron Pharmaceuticals, Inc. 2014 Long-Term Incentive Plan (revised 2018). (Incorporated by reference from the Form 10-K for the Registrant, for the year ended December 31, 2018, filed February 7, 2019.)</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409" w:right="339" w:bottom="1440" w:gutter="0" w:footer="0" w:header="0"/>
        </w:sectPr>
      </w:pPr>
    </w:p>
    <w:bookmarkStart w:id="101" w:name="page102"/>
    <w:bookmarkEnd w:id="101"/>
    <w:p>
      <w:pPr>
        <w:jc w:val="both"/>
        <w:ind w:left="340" w:hanging="809"/>
        <w:spacing w:after="0" w:line="287" w:lineRule="auto"/>
        <w:rPr>
          <w:sz w:val="20"/>
          <w:szCs w:val="20"/>
          <w:color w:val="auto"/>
        </w:rPr>
      </w:pPr>
      <w:r>
        <w:rPr>
          <w:rFonts w:ascii="Arial" w:cs="Arial" w:eastAsia="Arial" w:hAnsi="Arial"/>
          <w:sz w:val="16"/>
          <w:szCs w:val="16"/>
          <w:color w:val="auto"/>
        </w:rPr>
        <w:t>10.2.13 + Form of stock option agreement and related notice of grant for use in connection with the grant of non-qualified stock options to P. Roy Vagelos, M.D. under the Amended and Restated Regeneron Pharmaceuticals, Inc. 2014 Long-Term Incentive Plan (revised 2018). (Incorporated by reference from the Form 10-K for the Registrant, for the year ended December 31, 2018, filed February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-409575</wp:posOffset>
            </wp:positionV>
            <wp:extent cx="7132320" cy="64465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6446520"/>
                    </a:xfrm>
                    <a:prstGeom prst="rect">
                      <a:avLst/>
                    </a:prstGeom>
                    <a:noFill/>
                  </pic:spPr>
                </pic:pic>
              </a:graphicData>
            </a:graphic>
          </wp:anchor>
        </w:drawing>
      </w:r>
    </w:p>
    <w:p>
      <w:pPr>
        <w:jc w:val="both"/>
        <w:ind w:left="340" w:hanging="809"/>
        <w:spacing w:after="0" w:line="250" w:lineRule="auto"/>
        <w:rPr>
          <w:sz w:val="20"/>
          <w:szCs w:val="20"/>
          <w:color w:val="auto"/>
        </w:rPr>
      </w:pPr>
      <w:r>
        <w:rPr>
          <w:rFonts w:ascii="Arial" w:cs="Arial" w:eastAsia="Arial" w:hAnsi="Arial"/>
          <w:sz w:val="18"/>
          <w:szCs w:val="18"/>
          <w:color w:val="auto"/>
        </w:rPr>
        <w:t>10.2.14 + Form of restricted stock award agreement and related notice of grant for use in connection with the grant of restricted stock awards to the Registrant’s executive officers under the Amended and Restated Regeneron Pharmaceuticals, Inc. 2014 Long-Term Incentive Plan (revised 2018). (Incorporated by reference from the Form 10-K for the Registrant, for the year ended December 31, 2018, filed February 7, 2019.)</w:t>
      </w:r>
    </w:p>
    <w:p>
      <w:pPr>
        <w:spacing w:after="0" w:line="2" w:lineRule="exact"/>
        <w:rPr>
          <w:sz w:val="20"/>
          <w:szCs w:val="20"/>
          <w:color w:val="auto"/>
        </w:rPr>
      </w:pPr>
    </w:p>
    <w:p>
      <w:pPr>
        <w:jc w:val="both"/>
        <w:ind w:left="340" w:hanging="809"/>
        <w:spacing w:after="0" w:line="250" w:lineRule="auto"/>
        <w:rPr>
          <w:sz w:val="20"/>
          <w:szCs w:val="20"/>
          <w:color w:val="auto"/>
        </w:rPr>
      </w:pPr>
      <w:r>
        <w:rPr>
          <w:rFonts w:ascii="Arial" w:cs="Arial" w:eastAsia="Arial" w:hAnsi="Arial"/>
          <w:sz w:val="18"/>
          <w:szCs w:val="18"/>
          <w:color w:val="auto"/>
        </w:rPr>
        <w:t>10.2.15 + Form of stock option agreement and related notice of grant for use in connection with the grant of non-qualified stock options to the Registrant’s non-employee directors under the Amended and Restated Regeneron Pharmaceuticals, Inc. 2014 Long-Term Incentive Plan (revised 2018). (Incorporated by reference from the Form 10-K for the Registrant, for the year ended December 31, 2018, filed February 7, 2019.)</w:t>
      </w:r>
    </w:p>
    <w:p>
      <w:pPr>
        <w:spacing w:after="0" w:line="2" w:lineRule="exact"/>
        <w:rPr>
          <w:sz w:val="20"/>
          <w:szCs w:val="20"/>
          <w:color w:val="auto"/>
        </w:rPr>
      </w:pPr>
    </w:p>
    <w:p>
      <w:pPr>
        <w:jc w:val="both"/>
        <w:ind w:left="340" w:hanging="809"/>
        <w:spacing w:after="0" w:line="250" w:lineRule="auto"/>
        <w:rPr>
          <w:sz w:val="20"/>
          <w:szCs w:val="20"/>
          <w:color w:val="auto"/>
        </w:rPr>
      </w:pPr>
      <w:r>
        <w:rPr>
          <w:rFonts w:ascii="Arial" w:cs="Arial" w:eastAsia="Arial" w:hAnsi="Arial"/>
          <w:sz w:val="18"/>
          <w:szCs w:val="18"/>
          <w:color w:val="auto"/>
        </w:rPr>
        <w:t>10.2.16 + Form of restricted stock unit award agreement and related notice of grant for use in connection with the grant of restricted stock units to the Registrant’s non-employee directors under the Amended and Restated Regeneron Pharmaceuticals, Inc. 2014 Long-Term Incentive Plan. (Incorporated by reference from the Form 10-K for the Registrant, for the year ended December 31, 2018, filed February 7, 2019.)</w:t>
      </w:r>
    </w:p>
    <w:p>
      <w:pPr>
        <w:spacing w:after="0" w:line="2" w:lineRule="exact"/>
        <w:rPr>
          <w:sz w:val="20"/>
          <w:szCs w:val="20"/>
          <w:color w:val="auto"/>
        </w:rPr>
      </w:pPr>
    </w:p>
    <w:p>
      <w:pPr>
        <w:jc w:val="both"/>
        <w:ind w:left="340" w:hanging="809"/>
        <w:spacing w:after="0" w:line="250" w:lineRule="auto"/>
        <w:rPr>
          <w:sz w:val="20"/>
          <w:szCs w:val="20"/>
          <w:color w:val="auto"/>
        </w:rPr>
      </w:pPr>
      <w:r>
        <w:rPr>
          <w:rFonts w:ascii="Arial" w:cs="Arial" w:eastAsia="Arial" w:hAnsi="Arial"/>
          <w:sz w:val="18"/>
          <w:szCs w:val="18"/>
          <w:color w:val="auto"/>
        </w:rPr>
        <w:t>10.2.17 + Form of stock option agreement and related notice of grant for use in connection with the grant of non-qualified stock options to the Registrant’s executive officers under the Amended and Restated Regeneron Pharmaceuticals, Inc. 2014 Long-Term Incentive Plan (revised 2019). (Incorporated by reference from the Form 10-K for the Registrant, for the year ended December 31, 2019, filed February 7, 2020.)</w:t>
      </w:r>
    </w:p>
    <w:p>
      <w:pPr>
        <w:spacing w:after="0" w:line="2" w:lineRule="exact"/>
        <w:rPr>
          <w:sz w:val="20"/>
          <w:szCs w:val="20"/>
          <w:color w:val="auto"/>
        </w:rPr>
      </w:pPr>
    </w:p>
    <w:p>
      <w:pPr>
        <w:jc w:val="both"/>
        <w:ind w:left="340" w:hanging="809"/>
        <w:spacing w:after="0" w:line="281" w:lineRule="auto"/>
        <w:rPr>
          <w:sz w:val="20"/>
          <w:szCs w:val="20"/>
          <w:color w:val="auto"/>
        </w:rPr>
      </w:pPr>
      <w:r>
        <w:rPr>
          <w:rFonts w:ascii="Arial" w:cs="Arial" w:eastAsia="Arial" w:hAnsi="Arial"/>
          <w:sz w:val="16"/>
          <w:szCs w:val="16"/>
          <w:color w:val="auto"/>
        </w:rPr>
        <w:t>10.2.18 + Form of stock option agreement and related notice of grant for use in connection with the grant of non-qualified stock options to P. Roy Vagelos, M.D. under the Amended and Restated Regeneron Pharmaceuticals, Inc. 2014 Long-Term Incentive Plan (revised 2019). (Incorporated by reference from the Form 10-K for the Registrant, for the year ended December 31, 2019, filed February 7, 2020.)</w:t>
      </w:r>
    </w:p>
    <w:p>
      <w:pPr>
        <w:spacing w:after="0" w:line="2" w:lineRule="exact"/>
        <w:rPr>
          <w:sz w:val="20"/>
          <w:szCs w:val="20"/>
          <w:color w:val="auto"/>
        </w:rPr>
      </w:pPr>
    </w:p>
    <w:p>
      <w:pPr>
        <w:jc w:val="both"/>
        <w:ind w:left="340" w:hanging="809"/>
        <w:spacing w:after="0" w:line="250" w:lineRule="auto"/>
        <w:rPr>
          <w:sz w:val="20"/>
          <w:szCs w:val="20"/>
          <w:color w:val="auto"/>
        </w:rPr>
      </w:pPr>
      <w:r>
        <w:rPr>
          <w:rFonts w:ascii="Arial" w:cs="Arial" w:eastAsia="Arial" w:hAnsi="Arial"/>
          <w:sz w:val="18"/>
          <w:szCs w:val="18"/>
          <w:color w:val="auto"/>
        </w:rPr>
        <w:t>10.2.19 + Form of restricted stock award agreement and related notice of grant for use in connection with the grant of restricted stock awards to the Registrant’s executive officers under the Amended and Restated Regeneron Pharmaceuticals, Inc. 2014 Long-Term Incentive Plan (revised 2019). (Incorporated by reference from the Form 10-K for the Registrant, for the year ended December 31, 2019, filed February 7, 2020.)</w:t>
      </w:r>
    </w:p>
    <w:p>
      <w:pPr>
        <w:spacing w:after="0" w:line="2" w:lineRule="exact"/>
        <w:rPr>
          <w:sz w:val="20"/>
          <w:szCs w:val="20"/>
          <w:color w:val="auto"/>
        </w:rPr>
      </w:pPr>
    </w:p>
    <w:p>
      <w:pPr>
        <w:jc w:val="both"/>
        <w:ind w:left="340" w:hanging="809"/>
        <w:spacing w:after="0" w:line="250" w:lineRule="auto"/>
        <w:rPr>
          <w:sz w:val="20"/>
          <w:szCs w:val="20"/>
          <w:color w:val="auto"/>
        </w:rPr>
      </w:pPr>
      <w:r>
        <w:rPr>
          <w:rFonts w:ascii="Arial" w:cs="Arial" w:eastAsia="Arial" w:hAnsi="Arial"/>
          <w:sz w:val="18"/>
          <w:szCs w:val="18"/>
          <w:color w:val="auto"/>
        </w:rPr>
        <w:t>10.2.20 + Form of stock option agreement and related notice of grant for use in connection with the grant of non-qualified stock options to the Registrant’s non-employee directors under the Amended and Restated Regeneron Pharmaceuticals, Inc. 2014 Long-Term Incentive Plan (revised 2019). (Incorporated by reference from the Form 10-K for the Registrant, for the year ended December 31, 2019, filed February 7, 2020.)</w:t>
      </w:r>
    </w:p>
    <w:p>
      <w:pPr>
        <w:spacing w:after="0" w:line="2" w:lineRule="exact"/>
        <w:rPr>
          <w:sz w:val="20"/>
          <w:szCs w:val="20"/>
          <w:color w:val="auto"/>
        </w:rPr>
      </w:pPr>
    </w:p>
    <w:p>
      <w:pPr>
        <w:jc w:val="both"/>
        <w:ind w:left="340" w:hanging="809"/>
        <w:spacing w:after="0" w:line="250" w:lineRule="auto"/>
        <w:rPr>
          <w:sz w:val="20"/>
          <w:szCs w:val="20"/>
          <w:color w:val="auto"/>
        </w:rPr>
      </w:pPr>
      <w:r>
        <w:rPr>
          <w:rFonts w:ascii="Arial" w:cs="Arial" w:eastAsia="Arial" w:hAnsi="Arial"/>
          <w:sz w:val="18"/>
          <w:szCs w:val="18"/>
          <w:color w:val="auto"/>
        </w:rPr>
        <w:t>10.2.21 + Form of restricted stock unit award agreement and related notice of grant for use in connection with the grant of restricted stock units to the Registrant’s non-employee directors under the Amended and Restated Regeneron Pharmaceuticals, Inc. 2014 Long-Term Incentive Plan (revised 2019). (Incorporated by reference from the Form 10-K for the Registrant, for the year ended December 31, 2019, filed February 7, 2020.)</w:t>
      </w:r>
    </w:p>
    <w:p>
      <w:pPr>
        <w:spacing w:after="0" w:line="2" w:lineRule="exact"/>
        <w:rPr>
          <w:sz w:val="20"/>
          <w:szCs w:val="20"/>
          <w:color w:val="auto"/>
        </w:rPr>
      </w:pPr>
    </w:p>
    <w:p>
      <w:pPr>
        <w:jc w:val="both"/>
        <w:ind w:left="340" w:hanging="809"/>
        <w:spacing w:after="0" w:line="265" w:lineRule="auto"/>
        <w:rPr>
          <w:sz w:val="20"/>
          <w:szCs w:val="20"/>
          <w:color w:val="auto"/>
        </w:rPr>
      </w:pPr>
      <w:r>
        <w:rPr>
          <w:rFonts w:ascii="Arial" w:cs="Arial" w:eastAsia="Arial" w:hAnsi="Arial"/>
          <w:sz w:val="17"/>
          <w:szCs w:val="17"/>
          <w:color w:val="auto"/>
        </w:rPr>
        <w:t>10.2.22 + Form of performance restricted stock unit award agreement and related notice of grant for use in connection with the grant of performance restricted stock units to Leonard S. Schleifer, M.D., Ph.D., George D. Yancopoulos, M.D., Ph.D., and P. Roy Vagelos, M.D. under the Amended and Restated Regeneron Pharmaceuticals, Inc. 2014 Long-Term Incentive Plan. (Incorporated by reference from the Form 10-K for the Registrant, for the year ended December 31, 2019, filed February 7, 2020.)</w:t>
      </w:r>
    </w:p>
    <w:p>
      <w:pPr>
        <w:spacing w:after="0" w:line="1" w:lineRule="exact"/>
        <w:rPr>
          <w:sz w:val="20"/>
          <w:szCs w:val="20"/>
          <w:color w:val="auto"/>
        </w:rPr>
      </w:pPr>
    </w:p>
    <w:p>
      <w:pPr>
        <w:jc w:val="both"/>
        <w:ind w:left="340" w:hanging="809"/>
        <w:spacing w:after="0" w:line="250" w:lineRule="auto"/>
        <w:tabs>
          <w:tab w:leader="none" w:pos="320" w:val="left"/>
        </w:tabs>
        <w:rPr>
          <w:sz w:val="20"/>
          <w:szCs w:val="20"/>
          <w:color w:val="auto"/>
        </w:rPr>
      </w:pPr>
      <w:r>
        <w:rPr>
          <w:rFonts w:ascii="Arial" w:cs="Arial" w:eastAsia="Arial" w:hAnsi="Arial"/>
          <w:sz w:val="18"/>
          <w:szCs w:val="18"/>
          <w:color w:val="auto"/>
        </w:rPr>
        <w:t>10.3 +</w:t>
      </w:r>
      <w:r>
        <w:rPr>
          <w:sz w:val="20"/>
          <w:szCs w:val="20"/>
          <w:color w:val="auto"/>
        </w:rPr>
        <w:tab/>
      </w:r>
      <w:r>
        <w:rPr>
          <w:rFonts w:ascii="Arial" w:cs="Arial" w:eastAsia="Arial" w:hAnsi="Arial"/>
          <w:sz w:val="18"/>
          <w:szCs w:val="18"/>
          <w:color w:val="auto"/>
        </w:rPr>
        <w:t>Second Amended and Restated Regeneron Pharmaceuticals, Inc. 2014 Long-Term Incentive Plan. (Incorporated by reference from the Registration Statement on Form S-8 for the Registrant, filed June 16, 2020.)</w:t>
      </w:r>
    </w:p>
    <w:p>
      <w:pPr>
        <w:spacing w:after="0" w:line="1" w:lineRule="exact"/>
        <w:rPr>
          <w:sz w:val="20"/>
          <w:szCs w:val="20"/>
          <w:color w:val="auto"/>
        </w:rPr>
      </w:pPr>
    </w:p>
    <w:p>
      <w:pPr>
        <w:jc w:val="both"/>
        <w:ind w:left="340" w:hanging="809"/>
        <w:spacing w:after="0" w:line="250" w:lineRule="auto"/>
        <w:tabs>
          <w:tab w:leader="none" w:pos="320" w:val="left"/>
        </w:tabs>
        <w:rPr>
          <w:sz w:val="20"/>
          <w:szCs w:val="20"/>
          <w:color w:val="auto"/>
        </w:rPr>
      </w:pPr>
      <w:r>
        <w:rPr>
          <w:rFonts w:ascii="Arial" w:cs="Arial" w:eastAsia="Arial" w:hAnsi="Arial"/>
          <w:sz w:val="18"/>
          <w:szCs w:val="18"/>
          <w:color w:val="auto"/>
        </w:rPr>
        <w:t>10.3.1 +</w:t>
        <w:tab/>
        <w:t>Form of stock option agreement and related notice of grant for use in connection with the grant of non-qualified stock options to the Registrant’s executive officers under the Second Amended and Restated Regeneron Pharmaceuticals, Inc. 2014 Long-Term Incentive Plan. (Incorporated by reference from the Form 10-K for the Registrant, for the year ended December 31, 2020, filed February 8, 2021.)</w:t>
      </w:r>
    </w:p>
    <w:p>
      <w:pPr>
        <w:spacing w:after="0" w:line="2" w:lineRule="exact"/>
        <w:rPr>
          <w:sz w:val="20"/>
          <w:szCs w:val="20"/>
          <w:color w:val="auto"/>
        </w:rPr>
      </w:pPr>
    </w:p>
    <w:p>
      <w:pPr>
        <w:jc w:val="both"/>
        <w:ind w:left="340" w:hanging="809"/>
        <w:spacing w:after="0" w:line="277" w:lineRule="auto"/>
        <w:tabs>
          <w:tab w:leader="none" w:pos="320" w:val="left"/>
        </w:tabs>
        <w:rPr>
          <w:sz w:val="20"/>
          <w:szCs w:val="20"/>
          <w:color w:val="auto"/>
        </w:rPr>
      </w:pPr>
      <w:r>
        <w:rPr>
          <w:rFonts w:ascii="Arial" w:cs="Arial" w:eastAsia="Arial" w:hAnsi="Arial"/>
          <w:sz w:val="18"/>
          <w:szCs w:val="18"/>
          <w:color w:val="auto"/>
        </w:rPr>
        <w:t>10.3.2 +</w:t>
      </w:r>
      <w:r>
        <w:rPr>
          <w:sz w:val="20"/>
          <w:szCs w:val="20"/>
          <w:color w:val="auto"/>
        </w:rPr>
        <w:tab/>
      </w:r>
      <w:r>
        <w:rPr>
          <w:rFonts w:ascii="Arial" w:cs="Arial" w:eastAsia="Arial" w:hAnsi="Arial"/>
          <w:sz w:val="17"/>
          <w:szCs w:val="17"/>
          <w:color w:val="auto"/>
        </w:rPr>
        <w:t>Form of stock option agreement and related notice of grant for use in connection with the grant of non-qualified stock options to P. Roy Vagelos, M.D. under the Second Amended and Restated Regeneron Pharmaceuticals, Inc. 2014 Long-Term Incentive Plan. (Incorporated by reference from the Form 10-K for the Registrant, for the year ended December 31, 2020, filed February 8, 2021.)</w:t>
      </w:r>
    </w:p>
    <w:p>
      <w:pPr>
        <w:spacing w:after="0" w:line="1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409" w:right="339" w:bottom="1440" w:gutter="0" w:footer="0" w:header="0"/>
        </w:sectPr>
      </w:pPr>
    </w:p>
    <w:bookmarkStart w:id="102" w:name="page103"/>
    <w:bookmarkEnd w:id="102"/>
    <w:p>
      <w:pPr>
        <w:jc w:val="both"/>
        <w:ind w:left="800" w:hanging="809"/>
        <w:spacing w:after="0" w:line="254" w:lineRule="auto"/>
        <w:tabs>
          <w:tab w:leader="none" w:pos="780" w:val="left"/>
        </w:tabs>
        <w:rPr>
          <w:sz w:val="20"/>
          <w:szCs w:val="20"/>
          <w:color w:val="auto"/>
        </w:rPr>
      </w:pPr>
      <w:r>
        <w:rPr>
          <w:rFonts w:ascii="Arial" w:cs="Arial" w:eastAsia="Arial" w:hAnsi="Arial"/>
          <w:sz w:val="18"/>
          <w:szCs w:val="18"/>
          <w:color w:val="auto"/>
        </w:rPr>
        <w:t>10.3.3 +</w:t>
        <w:tab/>
        <w:t>Form of restricted stock award agreement and related notice of grant for use in connection with the grant of restricted stock awards to the Registrant’s executive officers under the Second Amended and Restated Regeneron Pharmaceuticals, Inc. 2014 Long-Term Incentive Plan. (Incorporated by reference from the Form 10-K for the Registrant, for the year ended December 31, 2020, filed 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-546735</wp:posOffset>
            </wp:positionV>
            <wp:extent cx="7132320" cy="61722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6172200"/>
                    </a:xfrm>
                    <a:prstGeom prst="rect">
                      <a:avLst/>
                    </a:prstGeom>
                    <a:noFill/>
                  </pic:spPr>
                </pic:pic>
              </a:graphicData>
            </a:graphic>
          </wp:anchor>
        </w:drawing>
      </w:r>
    </w:p>
    <w:p>
      <w:pPr>
        <w:jc w:val="both"/>
        <w:ind w:left="800" w:hanging="809"/>
        <w:spacing w:after="0" w:line="281" w:lineRule="auto"/>
        <w:tabs>
          <w:tab w:leader="none" w:pos="780" w:val="left"/>
        </w:tabs>
        <w:rPr>
          <w:sz w:val="20"/>
          <w:szCs w:val="20"/>
          <w:color w:val="auto"/>
        </w:rPr>
      </w:pPr>
      <w:r>
        <w:rPr>
          <w:rFonts w:ascii="Arial" w:cs="Arial" w:eastAsia="Arial" w:hAnsi="Arial"/>
          <w:sz w:val="18"/>
          <w:szCs w:val="18"/>
          <w:color w:val="auto"/>
        </w:rPr>
        <w:t>10.3.4 +</w:t>
      </w:r>
      <w:r>
        <w:rPr>
          <w:sz w:val="20"/>
          <w:szCs w:val="20"/>
          <w:color w:val="auto"/>
        </w:rPr>
        <w:tab/>
      </w:r>
      <w:r>
        <w:rPr>
          <w:rFonts w:ascii="Arial" w:cs="Arial" w:eastAsia="Arial" w:hAnsi="Arial"/>
          <w:sz w:val="16"/>
          <w:szCs w:val="16"/>
          <w:color w:val="auto"/>
        </w:rPr>
        <w:t>Form of restricted stock unit award agreement and related notice of grant for use in connection with the grant of restricted stock units to P. Roy Vagelos, M.D. under the Second Amended and Restated Regeneron Pharmaceuticals, Inc. 2014 Long-Term Incentive Plan. (Incorporated by reference from the Form 10-K for the Registrant, for the year ended December 31, 2020, filed February 8, 2021.)</w:t>
      </w:r>
    </w:p>
    <w:p>
      <w:pPr>
        <w:spacing w:after="0" w:line="2"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10.3.5 +</w:t>
        <w:tab/>
        <w:t>Form of stock option agreement and related notice of grant for use in connection with the grant of non-qualified stock options to the Registrant’s non-employee directors under the Second Amended and Restated Regeneron Pharmaceuticals, Inc. 2014 Long-Term Incentive Plan. (Incorporated by reference from the Form 10-K for the Registrant, for the year ended December 31, 2020, filed February 8, 2021.)</w:t>
      </w:r>
    </w:p>
    <w:p>
      <w:pPr>
        <w:spacing w:after="0" w:line="2"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10.3.6 +</w:t>
        <w:tab/>
        <w:t>Form of restricted stock unit award agreement and related notice of grant for use in connection with the grant of restricted stock units to the Registrant’s non-employee directors under the Second Amended and Restated Regeneron Pharmaceuticals, Inc. 2014 Long-Term Incentive Plan. (Incorporated by reference from the Form 10-K for the Registrant, for the year ended December 31, 2020, filed February 8, 2021.)</w:t>
      </w:r>
    </w:p>
    <w:p>
      <w:pPr>
        <w:spacing w:after="0" w:line="2"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10.3.7 +</w:t>
        <w:tab/>
        <w:t>Form of performance restricted stock unit award agreement and related notice of grant for use in connection with the grant of performance restricted stock units to Leonard S. Schleifer, M.D., Ph.D. and George D. Yancopoulos, M.D., Ph.D. under the Second Amended and Restated Regeneron Pharmaceuticals, Inc. 2014 Long-Term Incentive Plan. (Incorporated by reference from the Form 10-K for the Registrant, for the year ended December 31, 2020, filed February 8, 2021.)</w:t>
      </w:r>
    </w:p>
    <w:p>
      <w:pPr>
        <w:spacing w:after="0" w:line="2"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8"/>
          <w:szCs w:val="18"/>
          <w:color w:val="auto"/>
        </w:rPr>
        <w:t>Amended and Restated Employment Agreement, dated as of November 14, 2008, between the Registrant and Leonard S. Schleifer, M.D., Ph.D. (Incorporated by reference from the Form 10-K for the Registrant, for the year ended December 31, 2008, filed February 26, 2009.)</w:t>
      </w:r>
    </w:p>
    <w:p>
      <w:pPr>
        <w:spacing w:after="0" w:line="1" w:lineRule="exact"/>
        <w:rPr>
          <w:sz w:val="20"/>
          <w:szCs w:val="20"/>
          <w:color w:val="auto"/>
        </w:rPr>
      </w:pPr>
    </w:p>
    <w:p>
      <w:pPr>
        <w:jc w:val="both"/>
        <w:ind w:left="800" w:right="20" w:hanging="809"/>
        <w:spacing w:after="0" w:line="250" w:lineRule="auto"/>
        <w:tabs>
          <w:tab w:leader="none" w:pos="780" w:val="left"/>
        </w:tabs>
        <w:rPr>
          <w:sz w:val="20"/>
          <w:szCs w:val="20"/>
          <w:color w:val="auto"/>
        </w:rPr>
      </w:pPr>
      <w:r>
        <w:rPr>
          <w:rFonts w:ascii="Arial" w:cs="Arial" w:eastAsia="Arial" w:hAnsi="Arial"/>
          <w:sz w:val="18"/>
          <w:szCs w:val="18"/>
          <w:color w:val="auto"/>
        </w:rPr>
        <w:t>10.5* +</w:t>
        <w:tab/>
        <w:t>Employment Agreement, dated as of December 31, 1998, between the Registrant and P. Roy Vagelos, M.D. (Incorporated by reference from the Form 10-K for the Registrant, for the year ended December 31, 2004, filed March 11, 2005.)</w:t>
      </w:r>
    </w:p>
    <w:p>
      <w:pPr>
        <w:spacing w:after="0" w:line="1"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10.6 +</w:t>
      </w:r>
      <w:r>
        <w:rPr>
          <w:sz w:val="20"/>
          <w:szCs w:val="20"/>
          <w:color w:val="auto"/>
        </w:rPr>
        <w:tab/>
      </w:r>
      <w:r>
        <w:rPr>
          <w:rFonts w:ascii="Arial" w:cs="Arial" w:eastAsia="Arial" w:hAnsi="Arial"/>
          <w:sz w:val="18"/>
          <w:szCs w:val="18"/>
          <w:color w:val="auto"/>
        </w:rPr>
        <w:t>Offer Letter for Robert E. Landry effective September 9, 2013. (Incorporated by reference from the Form 8-K for the Registrant, filed September 12, 2013.)</w:t>
      </w:r>
    </w:p>
    <w:p>
      <w:pPr>
        <w:spacing w:after="0" w:line="1" w:lineRule="exact"/>
        <w:rPr>
          <w:sz w:val="20"/>
          <w:szCs w:val="20"/>
          <w:color w:val="auto"/>
        </w:rPr>
      </w:pPr>
    </w:p>
    <w:p>
      <w:pPr>
        <w:jc w:val="both"/>
        <w:ind w:left="800" w:hanging="809"/>
        <w:spacing w:after="0" w:line="281" w:lineRule="auto"/>
        <w:tabs>
          <w:tab w:leader="none" w:pos="780" w:val="left"/>
        </w:tabs>
        <w:rPr>
          <w:sz w:val="20"/>
          <w:szCs w:val="20"/>
          <w:color w:val="auto"/>
        </w:rPr>
      </w:pPr>
      <w:r>
        <w:rPr>
          <w:rFonts w:ascii="Arial" w:cs="Arial" w:eastAsia="Arial" w:hAnsi="Arial"/>
          <w:sz w:val="18"/>
          <w:szCs w:val="18"/>
          <w:color w:val="auto"/>
        </w:rPr>
        <w:t>10.7 +</w:t>
      </w:r>
      <w:r>
        <w:rPr>
          <w:sz w:val="20"/>
          <w:szCs w:val="20"/>
          <w:color w:val="auto"/>
        </w:rPr>
        <w:tab/>
      </w:r>
      <w:r>
        <w:rPr>
          <w:rFonts w:ascii="Arial" w:cs="Arial" w:eastAsia="Arial" w:hAnsi="Arial"/>
          <w:sz w:val="16"/>
          <w:szCs w:val="16"/>
          <w:color w:val="auto"/>
        </w:rPr>
        <w:t>Regeneron Pharmaceuticals, Inc. Change in Control Severance Plan, amended and restated effective as of November 14, 2008. (Incorporated by reference from the Form 10-K for the Registrant, for the year ended December 31, 2008, filed February 26, 2009.)</w:t>
      </w:r>
    </w:p>
    <w:p>
      <w:pPr>
        <w:spacing w:after="0" w:line="1"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10.8 +</w:t>
      </w:r>
      <w:r>
        <w:rPr>
          <w:sz w:val="20"/>
          <w:szCs w:val="20"/>
          <w:color w:val="auto"/>
        </w:rPr>
        <w:tab/>
      </w:r>
      <w:r>
        <w:rPr>
          <w:rFonts w:ascii="Arial" w:cs="Arial" w:eastAsia="Arial" w:hAnsi="Arial"/>
          <w:sz w:val="18"/>
          <w:szCs w:val="18"/>
          <w:color w:val="auto"/>
        </w:rPr>
        <w:t>Regeneron Pharmaceuticals, Inc. Cash Incentive Bonus Plan. (Incorporated by reference from the Form 8-K for the Registrant, filed June 17, 2015.)</w:t>
      </w:r>
    </w:p>
    <w:p>
      <w:pPr>
        <w:spacing w:after="0" w:line="1" w:lineRule="exact"/>
        <w:rPr>
          <w:sz w:val="20"/>
          <w:szCs w:val="20"/>
          <w:color w:val="auto"/>
        </w:rPr>
      </w:pPr>
    </w:p>
    <w:p>
      <w:pPr>
        <w:jc w:val="both"/>
        <w:ind w:left="800" w:right="20" w:hanging="809"/>
        <w:spacing w:after="0" w:line="250" w:lineRule="auto"/>
        <w:tabs>
          <w:tab w:leader="none" w:pos="7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IL-1 Antibody Termination Agreement by and between Novartis Pharma AG, Novartis Pharmaceuticals Corporation and the Registrant, dated as of June 8, 2009. (Incorporated by reference from the Form 10-Q for the Registrant, for the quarter ended June 30, 2009, filed August 4, 2009.)</w:t>
      </w:r>
    </w:p>
    <w:p>
      <w:pPr>
        <w:spacing w:after="0" w:line="1"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Amended and Restated Collaboration Agreement, dated as of February 23, 2015, by and between Sanofi-Aventis US LLC and the Registrant. (Incorporated by reference from the Form 10-Q for the Registrant, for the quarter ended March 31, 2015, filed May 7, 2015.)</w:t>
      </w:r>
    </w:p>
    <w:p>
      <w:pPr>
        <w:spacing w:after="0" w:line="1" w:lineRule="exact"/>
        <w:rPr>
          <w:sz w:val="20"/>
          <w:szCs w:val="20"/>
          <w:color w:val="auto"/>
        </w:rPr>
      </w:pPr>
    </w:p>
    <w:p>
      <w:pPr>
        <w:jc w:val="both"/>
        <w:ind w:left="800" w:hanging="809"/>
        <w:spacing w:after="0" w:line="281" w:lineRule="auto"/>
        <w:tabs>
          <w:tab w:leader="none" w:pos="7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License and Collaboration Agreement, dated as of October 18, 2006, by and between Bayer HealthCare LLC and the Registrant. (Incorporated by reference from the Form 10-Q for the Registrant, for the quarter ended September 30, 2006, filed November 6, 2006.)</w:t>
      </w:r>
    </w:p>
    <w:p>
      <w:pPr>
        <w:spacing w:after="0" w:line="1"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10.11.1*</w:t>
        <w:tab/>
        <w:t>Restated Amendment Agreement, dated December 30, 2014 and entered into effective as of May 7, 2012, by and between Bayer HealthCare LLC and the Registrant. (Incorporated by reference from the Form 10-K for the Registrant, for the year ended December 31, 2014, filed February 12, 2015.)</w:t>
      </w:r>
    </w:p>
    <w:p>
      <w:pPr>
        <w:spacing w:after="0" w:line="1" w:lineRule="exact"/>
        <w:rPr>
          <w:sz w:val="20"/>
          <w:szCs w:val="20"/>
          <w:color w:val="auto"/>
        </w:rPr>
      </w:pPr>
    </w:p>
    <w:p>
      <w:pPr>
        <w:jc w:val="both"/>
        <w:ind w:left="800" w:right="20" w:hanging="809"/>
        <w:spacing w:after="0" w:line="265" w:lineRule="auto"/>
        <w:rPr>
          <w:sz w:val="20"/>
          <w:szCs w:val="20"/>
          <w:color w:val="auto"/>
        </w:rPr>
      </w:pPr>
      <w:r>
        <w:rPr>
          <w:rFonts w:ascii="Arial" w:cs="Arial" w:eastAsia="Arial" w:hAnsi="Arial"/>
          <w:sz w:val="17"/>
          <w:szCs w:val="17"/>
          <w:color w:val="auto"/>
        </w:rPr>
        <w:t>10.11.2** Second Amendment Agreement, dated December 19, 2019, by and between Bayer HealthCare LLC and the Registrant. (Incorporated by reference from the Form 10-K for the Registrant, for the year ended December 31, 2019, filed February 7, 2020.)</w:t>
      </w:r>
    </w:p>
    <w:p>
      <w:pPr>
        <w:spacing w:after="0"/>
        <w:tabs>
          <w:tab w:leader="none" w:pos="7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License and Collaboration Agreement, dated as of January 10, 2014, by and between Bayer HealthCare LLC and the Registrant.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(Incorporated by reference from the Form 10-Q for the Registrant, for the quarter ended March 31, 2014, filed May 8, 2014.)</w:t>
      </w:r>
    </w:p>
    <w:p>
      <w:pPr>
        <w:spacing w:after="0" w:line="1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151765</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409" w:right="339" w:bottom="1440" w:gutter="0" w:footer="0" w:header="0"/>
        </w:sectPr>
      </w:pPr>
    </w:p>
    <w:bookmarkStart w:id="103" w:name="page104"/>
    <w:bookmarkEnd w:id="103"/>
    <w:p>
      <w:pPr>
        <w:jc w:val="both"/>
        <w:ind w:left="340" w:hanging="809"/>
        <w:spacing w:after="0" w:line="255" w:lineRule="auto"/>
        <w:tabs>
          <w:tab w:leader="none" w:pos="3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Amended and Restated Discovery and Preclinical Development Agreement, dated as of November 10, 2009, by and between Aventis Pharmaceuticals Inc. and the Registrant. (Incorporated by reference from the Form 10-K/A for the Registrant, for the year ended December 31, 2009, filed June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-408940</wp:posOffset>
            </wp:positionV>
            <wp:extent cx="7132320" cy="63093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6309360"/>
                    </a:xfrm>
                    <a:prstGeom prst="rect">
                      <a:avLst/>
                    </a:prstGeom>
                    <a:noFill/>
                  </pic:spPr>
                </pic:pic>
              </a:graphicData>
            </a:graphic>
          </wp:anchor>
        </w:drawing>
      </w:r>
    </w:p>
    <w:p>
      <w:pPr>
        <w:jc w:val="both"/>
        <w:ind w:left="340" w:hanging="809"/>
        <w:spacing w:after="0" w:line="250" w:lineRule="auto"/>
        <w:tabs>
          <w:tab w:leader="none" w:pos="320" w:val="left"/>
        </w:tabs>
        <w:rPr>
          <w:sz w:val="20"/>
          <w:szCs w:val="20"/>
          <w:color w:val="auto"/>
        </w:rPr>
      </w:pPr>
      <w:r>
        <w:rPr>
          <w:rFonts w:ascii="Arial" w:cs="Arial" w:eastAsia="Arial" w:hAnsi="Arial"/>
          <w:sz w:val="18"/>
          <w:szCs w:val="18"/>
          <w:color w:val="auto"/>
        </w:rPr>
        <w:t>10.13.1*</w:t>
        <w:tab/>
        <w:t>Amendment No. 1 to Amended and Restated Discovery and Preclinical Development Agreement, dated July 27, 2015 and entered into effective as of July 1, 2015, by and between the Registrant and Sanofi Biotechnology SAS, as successor-in-interest to Aventis Pharmaceuticals, Inc. (Incorporated by reference from the Form 10-Q for the Registrant, for the quarter ended September 30, 2015, filed November 4, 2015.)</w:t>
      </w:r>
    </w:p>
    <w:p>
      <w:pPr>
        <w:spacing w:after="0" w:line="2" w:lineRule="exact"/>
        <w:rPr>
          <w:sz w:val="20"/>
          <w:szCs w:val="20"/>
          <w:color w:val="auto"/>
        </w:rPr>
      </w:pPr>
    </w:p>
    <w:p>
      <w:pPr>
        <w:jc w:val="both"/>
        <w:ind w:left="340" w:hanging="809"/>
        <w:spacing w:after="0" w:line="250" w:lineRule="auto"/>
        <w:tabs>
          <w:tab w:leader="none" w:pos="3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Amended and Restated License and Collaboration Agreement, dated as of November 10, 2009, by and among Aventis Pharmaceuticals Inc., sanofi-aventis Amerique du Nord, and the Registrant. (Incorporated by reference from the Form 10-K/A for the Registrant, for the year ended December 31, 2009, filed June 2, 2010.)</w:t>
      </w:r>
    </w:p>
    <w:p>
      <w:pPr>
        <w:spacing w:after="0" w:line="1" w:lineRule="exact"/>
        <w:rPr>
          <w:sz w:val="20"/>
          <w:szCs w:val="20"/>
          <w:color w:val="auto"/>
        </w:rPr>
      </w:pPr>
    </w:p>
    <w:p>
      <w:pPr>
        <w:jc w:val="both"/>
        <w:ind w:left="340" w:hanging="809"/>
        <w:spacing w:after="0" w:line="250" w:lineRule="auto"/>
        <w:tabs>
          <w:tab w:leader="none" w:pos="320" w:val="left"/>
        </w:tabs>
        <w:rPr>
          <w:sz w:val="20"/>
          <w:szCs w:val="20"/>
          <w:color w:val="auto"/>
        </w:rPr>
      </w:pPr>
      <w:r>
        <w:rPr>
          <w:rFonts w:ascii="Arial" w:cs="Arial" w:eastAsia="Arial" w:hAnsi="Arial"/>
          <w:sz w:val="18"/>
          <w:szCs w:val="18"/>
          <w:color w:val="auto"/>
        </w:rPr>
        <w:t>10.14.1*</w:t>
        <w:tab/>
        <w:t>First Amendment to Amended and Restated License and Collaboration Agreement by and between the Registrant and Aventis Pharmaceuticals Inc., dated May 1, 2013. (Incorporated by reference from the Form 10-Q for the Registrant, for the quarter ended June 30, 2013, filed August 6, 2013.)</w:t>
      </w:r>
    </w:p>
    <w:p>
      <w:pPr>
        <w:spacing w:after="0" w:line="1" w:lineRule="exact"/>
        <w:rPr>
          <w:sz w:val="20"/>
          <w:szCs w:val="20"/>
          <w:color w:val="auto"/>
        </w:rPr>
      </w:pPr>
    </w:p>
    <w:p>
      <w:pPr>
        <w:jc w:val="both"/>
        <w:ind w:left="340" w:hanging="809"/>
        <w:spacing w:after="0" w:line="281" w:lineRule="auto"/>
        <w:tabs>
          <w:tab w:leader="none" w:pos="320" w:val="left"/>
        </w:tabs>
        <w:rPr>
          <w:sz w:val="20"/>
          <w:szCs w:val="20"/>
          <w:color w:val="auto"/>
        </w:rPr>
      </w:pPr>
      <w:r>
        <w:rPr>
          <w:rFonts w:ascii="Arial" w:cs="Arial" w:eastAsia="Arial" w:hAnsi="Arial"/>
          <w:sz w:val="18"/>
          <w:szCs w:val="18"/>
          <w:color w:val="auto"/>
        </w:rPr>
        <w:t>10.14.2*</w:t>
      </w:r>
      <w:r>
        <w:rPr>
          <w:sz w:val="20"/>
          <w:szCs w:val="20"/>
          <w:color w:val="auto"/>
        </w:rPr>
        <w:tab/>
      </w:r>
      <w:r>
        <w:rPr>
          <w:rFonts w:ascii="Arial" w:cs="Arial" w:eastAsia="Arial" w:hAnsi="Arial"/>
          <w:sz w:val="16"/>
          <w:szCs w:val="16"/>
          <w:color w:val="auto"/>
        </w:rPr>
        <w:t>Amendment No. 2 to Amended and Restated License and Collaboration Agreement, dated July 27, 2015 and entered into effective as of July 1, 2015, by and between the Registrant and Sanofi Biotechnology SAS, as successor-in-interest to Aventis Pharmaceuticals, Inc. (Incorporated by reference from the Form 10-Q for the Registrant, for the quarter ended September 30, 2015, filed November 4, 2015.)</w:t>
      </w:r>
    </w:p>
    <w:p>
      <w:pPr>
        <w:spacing w:after="0" w:line="2" w:lineRule="exact"/>
        <w:rPr>
          <w:sz w:val="20"/>
          <w:szCs w:val="20"/>
          <w:color w:val="auto"/>
        </w:rPr>
      </w:pPr>
    </w:p>
    <w:p>
      <w:pPr>
        <w:jc w:val="both"/>
        <w:ind w:left="340" w:right="20" w:hanging="809"/>
        <w:spacing w:after="0" w:line="250" w:lineRule="auto"/>
        <w:rPr>
          <w:sz w:val="20"/>
          <w:szCs w:val="20"/>
          <w:color w:val="auto"/>
        </w:rPr>
      </w:pPr>
      <w:r>
        <w:rPr>
          <w:rFonts w:ascii="Arial" w:cs="Arial" w:eastAsia="Arial" w:hAnsi="Arial"/>
          <w:sz w:val="18"/>
          <w:szCs w:val="18"/>
          <w:color w:val="auto"/>
        </w:rPr>
        <w:t>10.14.3** Third Amendment to Amended and Restated License and Collaboration Agreement, dated as of April 5, 2020, and effective as of April 1, 2020, by and between the Registrant, Sanofi Biotechnology SAS, and Sanofi. (Incorporated by reference from the Form 10-Q for the Registrant, for the quarter ended June 30, 2020, filed August 5, 2020.)</w:t>
      </w:r>
    </w:p>
    <w:p>
      <w:pPr>
        <w:spacing w:after="0" w:line="1" w:lineRule="exact"/>
        <w:rPr>
          <w:sz w:val="20"/>
          <w:szCs w:val="20"/>
          <w:color w:val="auto"/>
        </w:rPr>
      </w:pPr>
    </w:p>
    <w:p>
      <w:pPr>
        <w:jc w:val="both"/>
        <w:ind w:left="340" w:hanging="809"/>
        <w:spacing w:after="0" w:line="250" w:lineRule="auto"/>
        <w:rPr>
          <w:sz w:val="20"/>
          <w:szCs w:val="20"/>
          <w:color w:val="auto"/>
        </w:rPr>
      </w:pPr>
      <w:r>
        <w:rPr>
          <w:rFonts w:ascii="Arial" w:cs="Arial" w:eastAsia="Arial" w:hAnsi="Arial"/>
          <w:sz w:val="18"/>
          <w:szCs w:val="18"/>
          <w:color w:val="auto"/>
        </w:rPr>
        <w:t>10.14.4** Fourth Amendment to Amended and Restated License and Collaboration Agreement, dated as of October 6, 2021, by and between the Registrant, Sanofi Biotechnology SAS, and Sanofi.</w:t>
      </w:r>
    </w:p>
    <w:p>
      <w:pPr>
        <w:spacing w:after="0" w:line="1" w:lineRule="exact"/>
        <w:rPr>
          <w:sz w:val="20"/>
          <w:szCs w:val="20"/>
          <w:color w:val="auto"/>
        </w:rPr>
      </w:pPr>
    </w:p>
    <w:p>
      <w:pPr>
        <w:jc w:val="both"/>
        <w:ind w:left="340" w:hanging="809"/>
        <w:spacing w:after="0" w:line="250" w:lineRule="auto"/>
        <w:tabs>
          <w:tab w:leader="none" w:pos="320" w:val="left"/>
        </w:tabs>
        <w:rPr>
          <w:sz w:val="20"/>
          <w:szCs w:val="20"/>
          <w:color w:val="auto"/>
        </w:rPr>
      </w:pPr>
      <w:r>
        <w:rPr>
          <w:rFonts w:ascii="Arial" w:cs="Arial" w:eastAsia="Arial" w:hAnsi="Arial"/>
          <w:sz w:val="18"/>
          <w:szCs w:val="18"/>
          <w:color w:val="auto"/>
        </w:rPr>
        <w:t>10.15**</w:t>
        <w:tab/>
        <w:t>Praluent Cross License &amp; Commercialization Agreement, dated as of April 5, 2020, and effective as of April 1, 2020, by and between the Registrant and Sanofi Biotechnology SAS. (Incorporated by reference from the Form 10-Q for the Registrant, for the quarter ended June 30, 2020, filed August 5, 2020.)</w:t>
      </w:r>
    </w:p>
    <w:p>
      <w:pPr>
        <w:spacing w:after="0" w:line="1" w:lineRule="exact"/>
        <w:rPr>
          <w:sz w:val="20"/>
          <w:szCs w:val="20"/>
          <w:color w:val="auto"/>
        </w:rPr>
      </w:pPr>
    </w:p>
    <w:p>
      <w:pPr>
        <w:jc w:val="both"/>
        <w:ind w:left="340" w:hanging="809"/>
        <w:spacing w:after="0" w:line="250" w:lineRule="auto"/>
        <w:tabs>
          <w:tab w:leader="none" w:pos="3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Amended and Restated Investor Agreement, dated as of January 11, 2014, by and among Sanofi, sanofi-aventis US LLC, Aventis Pharmaceuticals Inc., sanofi-aventis Amerique du Nord, and the Registrant. (Incorporated by reference from the Form 8-K for the Registrant, filed January 13, 2014.)</w:t>
      </w:r>
    </w:p>
    <w:p>
      <w:pPr>
        <w:spacing w:after="0" w:line="1" w:lineRule="exact"/>
        <w:rPr>
          <w:sz w:val="20"/>
          <w:szCs w:val="20"/>
          <w:color w:val="auto"/>
        </w:rPr>
      </w:pPr>
    </w:p>
    <w:p>
      <w:pPr>
        <w:jc w:val="both"/>
        <w:ind w:left="340" w:hanging="809"/>
        <w:spacing w:after="0" w:line="265" w:lineRule="auto"/>
        <w:tabs>
          <w:tab w:leader="none" w:pos="32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7"/>
          <w:szCs w:val="17"/>
          <w:color w:val="auto"/>
        </w:rPr>
        <w:t>Amendment to the Amended and Restated Investor Agreement, dated as of May 25, 2020, by and among the Registrant, Sanofi, Sanofi-Aventis US LLC, and Aventisub LLC. (Incorporated by reference from the Form 8-K for the Registrant, filed May 29, 2020.)</w:t>
      </w:r>
    </w:p>
    <w:p>
      <w:pPr>
        <w:jc w:val="both"/>
        <w:ind w:left="340" w:right="20" w:hanging="809"/>
        <w:spacing w:after="0" w:line="250" w:lineRule="auto"/>
        <w:tabs>
          <w:tab w:leader="none" w:pos="3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Letter Agreement by and between the Registrant and Aventis Pharmaceuticals Inc., dated May 2, 2013. (Incorporated by reference from the Form 10-Q for the Registrant, for the quarter ended June 30, 2013, filed August 6, 2013.)</w:t>
      </w:r>
    </w:p>
    <w:p>
      <w:pPr>
        <w:spacing w:after="0" w:line="1" w:lineRule="exact"/>
        <w:rPr>
          <w:sz w:val="20"/>
          <w:szCs w:val="20"/>
          <w:color w:val="auto"/>
        </w:rPr>
      </w:pPr>
    </w:p>
    <w:p>
      <w:pPr>
        <w:jc w:val="both"/>
        <w:ind w:left="340" w:hanging="809"/>
        <w:spacing w:after="0" w:line="265" w:lineRule="auto"/>
        <w:tabs>
          <w:tab w:leader="none" w:pos="3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Credit Agreement, dated as of December 14, 2018, by and among the Registrant, as a borrower and guarantor; certain direct subsidiaries of the Registrant, as the initial subsidiary borrowers; JPMorgan Chase Bank, N.A., as administrative agent; Bank of America, N.A. and U.S. Bank National Association, as co-syndication agents; Barclays Bank PLC, Citibank, N.A., Fifth Third Bank, and MUFG Bank, Ltd., as co-documentation agents; JPMorgan Chase Bank, N.A., Bank of America, N.A., and U.S. Bank National Association, as the issuing banks; JPMorgan Chase Bank, N.A., as the swingline lender; and the other lenders party thereto from time to time. (Incorporated by reference from the Form 8-K for the Registrant, filed December 17, 2018.)</w:t>
      </w:r>
    </w:p>
    <w:p>
      <w:pPr>
        <w:spacing w:after="0" w:line="1" w:lineRule="exact"/>
        <w:rPr>
          <w:sz w:val="20"/>
          <w:szCs w:val="20"/>
          <w:color w:val="auto"/>
        </w:rPr>
      </w:pPr>
    </w:p>
    <w:p>
      <w:pPr>
        <w:jc w:val="both"/>
        <w:ind w:left="340" w:hanging="809"/>
        <w:spacing w:after="0" w:line="250" w:lineRule="auto"/>
        <w:tabs>
          <w:tab w:leader="none" w:pos="320" w:val="left"/>
        </w:tabs>
        <w:rPr>
          <w:sz w:val="20"/>
          <w:szCs w:val="20"/>
          <w:color w:val="auto"/>
        </w:rPr>
      </w:pPr>
      <w:r>
        <w:rPr>
          <w:rFonts w:ascii="Arial" w:cs="Arial" w:eastAsia="Arial" w:hAnsi="Arial"/>
          <w:sz w:val="18"/>
          <w:szCs w:val="18"/>
          <w:color w:val="auto"/>
        </w:rPr>
        <w:t>10.18.1</w:t>
        <w:tab/>
        <w:t>Amendment No. 1 to Credit Agreement, dated as of November 11, 2021, by and among the Registrant, as a borrower and guarantor; certain direct subsidiaries of the Registrant, as subsidiary borrowers; JPMorgan Chase Bank, N.A., as administrative agent; and the lenders party thereto.</w:t>
      </w:r>
    </w:p>
    <w:p>
      <w:pPr>
        <w:spacing w:after="0" w:line="1" w:lineRule="exact"/>
        <w:rPr>
          <w:sz w:val="20"/>
          <w:szCs w:val="20"/>
          <w:color w:val="auto"/>
        </w:rPr>
      </w:pPr>
    </w:p>
    <w:p>
      <w:pPr>
        <w:jc w:val="both"/>
        <w:ind w:left="340" w:hanging="809"/>
        <w:spacing w:after="0" w:line="250" w:lineRule="auto"/>
        <w:tabs>
          <w:tab w:leader="none" w:pos="3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Amended and Restated Immuno-oncology Discovery and Development Agreement, executed on January 2, 2019 and effective as of December 31, 2018, by and between the Registrant and Sanofi Biotechnology SAS. (Incorporated by reference from the Form 10-K for the Registrant, for the year ended December 31, 2018, filed February 7, 2019).</w:t>
      </w:r>
    </w:p>
    <w:p>
      <w:pPr>
        <w:spacing w:after="0" w:line="1" w:lineRule="exact"/>
        <w:rPr>
          <w:sz w:val="20"/>
          <w:szCs w:val="20"/>
          <w:color w:val="auto"/>
        </w:rPr>
      </w:pPr>
    </w:p>
    <w:p>
      <w:pPr>
        <w:jc w:val="both"/>
        <w:ind w:left="340" w:hanging="809"/>
        <w:spacing w:after="0" w:line="255" w:lineRule="auto"/>
        <w:tabs>
          <w:tab w:leader="none" w:pos="3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Immuno-oncology License and Collaboration Agreement, dated July 27, 2015 and entered into effective as of July 1, 2015, by and between the Registrant and Sanofi Biotechnology SAS. (Incorporated by reference from the Form 10-Q for the Registrant, for the quarter ended September 30, 2015, filed November 4, 2015.)</w:t>
      </w:r>
    </w:p>
    <w:p>
      <w:pPr>
        <w:spacing w:after="0" w:line="1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409" w:right="339" w:bottom="1440" w:gutter="0" w:footer="0" w:header="0"/>
        </w:sectPr>
      </w:pPr>
    </w:p>
    <w:bookmarkStart w:id="104" w:name="page105"/>
    <w:bookmarkEnd w:id="104"/>
    <w:p>
      <w:pPr>
        <w:jc w:val="both"/>
        <w:ind w:left="800" w:hanging="809"/>
        <w:spacing w:after="0" w:line="258" w:lineRule="auto"/>
        <w:rPr>
          <w:sz w:val="20"/>
          <w:szCs w:val="20"/>
          <w:color w:val="auto"/>
        </w:rPr>
      </w:pPr>
      <w:r>
        <w:rPr>
          <w:rFonts w:ascii="Arial" w:cs="Arial" w:eastAsia="Arial" w:hAnsi="Arial"/>
          <w:sz w:val="18"/>
          <w:szCs w:val="18"/>
          <w:color w:val="auto"/>
        </w:rPr>
        <w:t>10.20.1** First Amendment to Immuno-oncology License and Collaboration Agreement, dated as of October 6, 2021, by and between the Registrant and Sanofi Biotechnology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5623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5623560"/>
                    </a:xfrm>
                    <a:prstGeom prst="rect">
                      <a:avLst/>
                    </a:prstGeom>
                    <a:noFill/>
                  </pic:spPr>
                </pic:pic>
              </a:graphicData>
            </a:graphic>
          </wp:anchor>
        </w:drawing>
      </w: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Collaboration Agreement, dated as of September 29, 2015, by and between Regeneron Ireland and Mitsubishi Tanabe Pharma Corporation. (Incorporated by reference from the Form 10-Q for the Registrant, for the quarter ended September 30, 2015, filed November 4, 2015.)</w:t>
      </w:r>
    </w:p>
    <w:p>
      <w:pPr>
        <w:spacing w:after="0" w:line="1" w:lineRule="exact"/>
        <w:rPr>
          <w:sz w:val="20"/>
          <w:szCs w:val="20"/>
          <w:color w:val="auto"/>
        </w:rPr>
      </w:pPr>
    </w:p>
    <w:p>
      <w:pPr>
        <w:jc w:val="both"/>
        <w:ind w:left="800" w:right="20" w:hanging="809"/>
        <w:spacing w:after="0" w:line="281" w:lineRule="auto"/>
        <w:tabs>
          <w:tab w:leader="none" w:pos="7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ANG2 License and Collaboration Agreement, dated as of March 23, 2016, by and between Bayer HealthCare LLC and the Registrant. (Incorporated by reference from the Form 10-Q for the Registrant, for the quarter ended March 31, 2016, filed May 5, 2016.)</w:t>
      </w:r>
    </w:p>
    <w:p>
      <w:pPr>
        <w:spacing w:after="0" w:line="1"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Collaboration Agreement, dated as of September 17, 2016, by and between Teva Pharmaceuticals International GmbH and Regeneron Ireland. (Incorporated by reference from the Form 10-Q for the Registrant, for the quarter ended September 30, 2016, filed November 4, 2016.)</w:t>
      </w:r>
    </w:p>
    <w:p>
      <w:pPr>
        <w:spacing w:after="0" w:line="1"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Purchase Agreement, dated as of December 30, 2016, by and among BMR-Landmark at Eastview LLC and BMR-Landmark at Eastview IV LLC and the Registrant. (Incorporated by reference from the Form 10-K for the Registrant, for the year ended December 31, 2016, filed February 9, 2017.)</w:t>
      </w:r>
    </w:p>
    <w:p>
      <w:pPr>
        <w:spacing w:after="0" w:line="1"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Amended and Restated Participation Agreement, dated as of May 2, 2019, by and among Old Saw Mill Holdings LLC, as lessee; Bank of America, N.A., as administrative agent; BA Leasing BSC, LLC, as lessor; and the lenders party thereto from time to time. (Incorporated by reference from the Form 8-K for the Registrant, filed May 3, 2019.)</w:t>
      </w:r>
    </w:p>
    <w:p>
      <w:pPr>
        <w:spacing w:after="0" w:line="1" w:lineRule="exact"/>
        <w:rPr>
          <w:sz w:val="20"/>
          <w:szCs w:val="20"/>
          <w:color w:val="auto"/>
        </w:rPr>
      </w:pPr>
    </w:p>
    <w:p>
      <w:pPr>
        <w:jc w:val="both"/>
        <w:ind w:left="800" w:hanging="809"/>
        <w:spacing w:after="0" w:line="265" w:lineRule="auto"/>
        <w:tabs>
          <w:tab w:leader="none" w:pos="780" w:val="left"/>
        </w:tabs>
        <w:rPr>
          <w:sz w:val="20"/>
          <w:szCs w:val="20"/>
          <w:color w:val="auto"/>
        </w:rPr>
      </w:pPr>
      <w:r>
        <w:rPr>
          <w:rFonts w:ascii="Arial" w:cs="Arial" w:eastAsia="Arial" w:hAnsi="Arial"/>
          <w:sz w:val="18"/>
          <w:szCs w:val="18"/>
          <w:color w:val="auto"/>
        </w:rPr>
        <w:t>10.25.1</w:t>
      </w:r>
      <w:r>
        <w:rPr>
          <w:sz w:val="20"/>
          <w:szCs w:val="20"/>
          <w:color w:val="auto"/>
        </w:rPr>
        <w:tab/>
      </w:r>
      <w:r>
        <w:rPr>
          <w:rFonts w:ascii="Arial" w:cs="Arial" w:eastAsia="Arial" w:hAnsi="Arial"/>
          <w:sz w:val="17"/>
          <w:szCs w:val="17"/>
          <w:color w:val="auto"/>
        </w:rPr>
        <w:t>First Amendment to Amended and Restated Participation Agreement, dated as of October 6, 2021, by and among Old Saw Mill Holdings LLC, as lessee; the Registrant, as parent guarantor; certain subsidiaries of the Registrant, as subsidiary guarantors; BA Leasing BSC, LLC, as lessor; Bank of America, N.A., as administrative agent; and the lenders party thereto.</w:t>
      </w:r>
    </w:p>
    <w:p>
      <w:pPr>
        <w:jc w:val="both"/>
        <w:ind w:left="800" w:hanging="809"/>
        <w:spacing w:after="0" w:line="265" w:lineRule="auto"/>
        <w:tabs>
          <w:tab w:leader="none" w:pos="7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7"/>
          <w:szCs w:val="17"/>
          <w:color w:val="auto"/>
        </w:rPr>
        <w:t>Amended and Restated Lease and Remedies Agreement, dated as of May 2, 2019, between Old Saw Mill Holdings LLC, as lessee, and BA Leasing BSC, LLC, as lessor. (Incorporated by reference from the Form 8-K for the Registrant, filed May 3, 2019.)</w:t>
      </w: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Amended and Restated Guaranty, dated as of May 2, 2019, made by Regeneron Pharmaceuticals, Inc., Regeneron Healthcare Solutions, Inc., and Regeneron Genetics Center LLC, as guarantors. (Incorporated by reference from the Form 8-K for the Registrant, filed May 3, 2019.)</w:t>
      </w:r>
    </w:p>
    <w:p>
      <w:pPr>
        <w:spacing w:after="0" w:line="1"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Letter Agreement, dated as of January 7, 2018, by and among the Registrant, Sanofi, sanofi-aventis US LLC, Aventis Pharmaceuticals Inc., sanofi-aventis Amérique du Nord, and Sanofi Biotechnology SAS. (Incorporated by reference from the Form 10-Q for the Registrant, for the quarter ended March 31, 2018, filed May 3, 2018.)</w:t>
      </w:r>
    </w:p>
    <w:p>
      <w:pPr>
        <w:spacing w:after="0" w:line="1" w:lineRule="exact"/>
        <w:rPr>
          <w:sz w:val="20"/>
          <w:szCs w:val="20"/>
          <w:color w:val="auto"/>
        </w:rPr>
      </w:pPr>
    </w:p>
    <w:p>
      <w:pPr>
        <w:jc w:val="both"/>
        <w:ind w:left="800" w:hanging="809"/>
        <w:spacing w:after="0" w:line="265" w:lineRule="auto"/>
        <w:tabs>
          <w:tab w:leader="none" w:pos="78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7"/>
          <w:szCs w:val="17"/>
          <w:color w:val="auto"/>
        </w:rPr>
        <w:t>Master Agreement, dated as of April 8, 2019, by and between the Registrant and Alnylam Pharmaceuticals, Inc. (Incorporated by reference from the Form 10-Q for the Registrant, for the quarter ended June 30, 2019, filed August 6, 2019.)</w:t>
      </w:r>
    </w:p>
    <w:p>
      <w:pPr>
        <w:spacing w:after="0"/>
        <w:rPr>
          <w:sz w:val="20"/>
          <w:szCs w:val="20"/>
          <w:color w:val="auto"/>
        </w:rPr>
      </w:pPr>
      <w:r>
        <w:rPr>
          <w:rFonts w:ascii="Arial" w:cs="Arial" w:eastAsia="Arial" w:hAnsi="Arial"/>
          <w:sz w:val="18"/>
          <w:szCs w:val="18"/>
          <w:color w:val="auto"/>
        </w:rPr>
        <w:t>10.29.1** Form of Co-Co Collaboration Agreement (Exhibit B to Master Agreement contained in Exhibit 10.29).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10.29.2** Form of License Agreement (Exhibit C to Master Agreement contained in Exhibit 10.29).</w:t>
      </w:r>
    </w:p>
    <w:p>
      <w:pPr>
        <w:spacing w:after="0" w:line="9" w:lineRule="exact"/>
        <w:rPr>
          <w:sz w:val="20"/>
          <w:szCs w:val="20"/>
          <w:color w:val="auto"/>
        </w:rPr>
      </w:pPr>
    </w:p>
    <w:p>
      <w:pPr>
        <w:jc w:val="both"/>
        <w:ind w:left="800" w:right="20" w:hanging="809"/>
        <w:spacing w:after="0" w:line="265" w:lineRule="auto"/>
        <w:tabs>
          <w:tab w:leader="none" w:pos="7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7"/>
          <w:szCs w:val="17"/>
          <w:color w:val="auto"/>
        </w:rPr>
        <w:t>Investor Agreement, dated as of April 8, 2019, by and between the Registrant and Alnylam Pharmaceuticals, Inc. (Incorporated by reference from the Form 10-Q for the Registrant, for the quarter ended June 30, 2019, filed August 6, 2019.)</w:t>
      </w:r>
    </w:p>
    <w:p>
      <w:pPr>
        <w:jc w:val="both"/>
        <w:ind w:left="800" w:hanging="809"/>
        <w:spacing w:after="0" w:line="265" w:lineRule="auto"/>
        <w:tabs>
          <w:tab w:leader="none" w:pos="7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7"/>
          <w:szCs w:val="17"/>
          <w:color w:val="auto"/>
        </w:rPr>
        <w:t>Stock Purchase Agreement, dated as of April 8, 2019, by and between the Registrant and Alnylam Pharmaceuticals, Inc. (Incorporated by reference from the Form 10-Q for the Registrant, for the quarter ended June 30, 2019, filed August 6, 2019.)</w:t>
      </w:r>
    </w:p>
    <w:p>
      <w:pPr>
        <w:jc w:val="both"/>
        <w:ind w:left="800" w:hanging="809"/>
        <w:spacing w:after="0" w:line="250" w:lineRule="auto"/>
        <w:tabs>
          <w:tab w:leader="none" w:pos="7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Stock Repurchase Agreement, dated as of May 25, 2020, by and between the Registrant and Sanofi. (Incorporated by reference from the Form 8-K for the Registrant, filed May 29, 2020.)</w:t>
      </w:r>
    </w:p>
    <w:p>
      <w:pPr>
        <w:spacing w:after="0" w:line="1" w:lineRule="exact"/>
        <w:rPr>
          <w:sz w:val="20"/>
          <w:szCs w:val="20"/>
          <w:color w:val="auto"/>
        </w:rPr>
      </w:pPr>
    </w:p>
    <w:p>
      <w:pPr>
        <w:jc w:val="both"/>
        <w:ind w:left="800" w:hanging="809"/>
        <w:spacing w:after="0" w:line="265" w:lineRule="auto"/>
        <w:tabs>
          <w:tab w:leader="none" w:pos="7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7"/>
          <w:szCs w:val="17"/>
          <w:color w:val="auto"/>
        </w:rPr>
        <w:t>Base Agreement, dated as of July 6, 2020, by and between the Registrant and Advanced Technology International. (Incorporated by reference from the Form 10-Q for the Registrant, for the quarter ended September 30, 2020, filed November 5, 2020.)</w:t>
      </w:r>
    </w:p>
    <w:p>
      <w:pPr>
        <w:jc w:val="both"/>
        <w:ind w:left="800" w:hanging="809"/>
        <w:spacing w:after="0" w:line="290" w:lineRule="auto"/>
        <w:tabs>
          <w:tab w:leader="none" w:pos="78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7"/>
          <w:szCs w:val="17"/>
          <w:color w:val="auto"/>
        </w:rPr>
        <w:t>Project Agreement, dated as of July 6, 2020, by and between the Registrant and Advanced Technology International. (Incorporated by reference from the Form 10-K for the Registrant, for the year ended December 31, 2020, filed February 8, 2021.)</w:t>
      </w:r>
    </w:p>
    <w:p>
      <w:pPr>
        <w:spacing w:after="0" w:line="13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151765</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409"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1420" w:type="dxa"/>
            <w:vAlign w:val="bottom"/>
          </w:tcPr>
          <w:p>
            <w:pPr>
              <w:ind w:left="660"/>
              <w:spacing w:after="0"/>
              <w:rPr>
                <w:sz w:val="20"/>
                <w:szCs w:val="20"/>
                <w:color w:val="auto"/>
              </w:rPr>
            </w:pPr>
            <w:r>
              <w:rPr>
                <w:rFonts w:ascii="Arial" w:cs="Arial" w:eastAsia="Arial" w:hAnsi="Arial"/>
                <w:sz w:val="18"/>
                <w:szCs w:val="18"/>
                <w:color w:val="auto"/>
              </w:rPr>
              <w:t>10.34.1</w:t>
            </w:r>
          </w:p>
        </w:tc>
        <w:tc>
          <w:tcPr>
            <w:tcW w:w="9820" w:type="dxa"/>
            <w:vAlign w:val="bottom"/>
          </w:tcPr>
          <w:p>
            <w:pPr>
              <w:ind w:left="40"/>
              <w:spacing w:after="0"/>
              <w:rPr>
                <w:sz w:val="20"/>
                <w:szCs w:val="20"/>
                <w:color w:val="auto"/>
              </w:rPr>
            </w:pPr>
            <w:r>
              <w:rPr>
                <w:rFonts w:ascii="Arial" w:cs="Arial" w:eastAsia="Arial" w:hAnsi="Arial"/>
                <w:sz w:val="18"/>
                <w:szCs w:val="18"/>
                <w:color w:val="auto"/>
                <w:w w:val="93"/>
              </w:rPr>
              <w:t>Modification No. 01 to Project Agreement, dated as of October 13, 2020, by and between the Registrant and Advanced Technology</w:t>
            </w:r>
          </w:p>
        </w:tc>
      </w:tr>
      <w:tr>
        <w:trPr>
          <w:trHeight w:val="216"/>
        </w:trPr>
        <w:tc>
          <w:tcPr>
            <w:tcW w:w="1420" w:type="dxa"/>
            <w:vAlign w:val="bottom"/>
          </w:tcPr>
          <w:p>
            <w:pPr>
              <w:spacing w:after="0"/>
              <w:rPr>
                <w:sz w:val="18"/>
                <w:szCs w:val="18"/>
                <w:color w:val="auto"/>
              </w:rPr>
            </w:pPr>
          </w:p>
        </w:tc>
        <w:tc>
          <w:tcPr>
            <w:tcW w:w="9820" w:type="dxa"/>
            <w:vAlign w:val="bottom"/>
          </w:tcPr>
          <w:p>
            <w:pPr>
              <w:ind w:left="40"/>
              <w:spacing w:after="0"/>
              <w:rPr>
                <w:sz w:val="20"/>
                <w:szCs w:val="20"/>
                <w:color w:val="auto"/>
              </w:rPr>
            </w:pPr>
            <w:r>
              <w:rPr>
                <w:rFonts w:ascii="Arial" w:cs="Arial" w:eastAsia="Arial" w:hAnsi="Arial"/>
                <w:sz w:val="18"/>
                <w:szCs w:val="18"/>
                <w:color w:val="auto"/>
                <w:w w:val="91"/>
              </w:rPr>
              <w:t>International. (Incorporated by reference from the Form 10-K for the Registrant, for the year ended December 31, 2020, filed February</w:t>
            </w:r>
          </w:p>
        </w:tc>
      </w:tr>
      <w:tr>
        <w:trPr>
          <w:trHeight w:val="230"/>
        </w:trPr>
        <w:tc>
          <w:tcPr>
            <w:tcW w:w="1420" w:type="dxa"/>
            <w:vAlign w:val="bottom"/>
          </w:tcPr>
          <w:p>
            <w:pPr>
              <w:spacing w:after="0"/>
              <w:rPr>
                <w:sz w:val="20"/>
                <w:szCs w:val="20"/>
                <w:color w:val="auto"/>
              </w:rPr>
            </w:pPr>
          </w:p>
        </w:tc>
        <w:tc>
          <w:tcPr>
            <w:tcW w:w="9820" w:type="dxa"/>
            <w:vAlign w:val="bottom"/>
          </w:tcPr>
          <w:p>
            <w:pPr>
              <w:ind w:left="40"/>
              <w:spacing w:after="0"/>
              <w:rPr>
                <w:sz w:val="20"/>
                <w:szCs w:val="20"/>
                <w:color w:val="auto"/>
              </w:rPr>
            </w:pPr>
            <w:r>
              <w:rPr>
                <w:rFonts w:ascii="Arial" w:cs="Arial" w:eastAsia="Arial" w:hAnsi="Arial"/>
                <w:sz w:val="18"/>
                <w:szCs w:val="18"/>
                <w:color w:val="auto"/>
              </w:rPr>
              <w:t>8, 2021.)</w:t>
            </w:r>
          </w:p>
        </w:tc>
      </w:tr>
      <w:tr>
        <w:trPr>
          <w:trHeight w:val="202"/>
        </w:trPr>
        <w:tc>
          <w:tcPr>
            <w:tcW w:w="1420" w:type="dxa"/>
            <w:vAlign w:val="bottom"/>
            <w:shd w:val="clear" w:color="auto" w:fill="CDEAFA"/>
          </w:tcPr>
          <w:p>
            <w:pPr>
              <w:ind w:left="660"/>
              <w:spacing w:after="0" w:line="201" w:lineRule="exact"/>
              <w:rPr>
                <w:sz w:val="20"/>
                <w:szCs w:val="20"/>
                <w:color w:val="auto"/>
              </w:rPr>
            </w:pPr>
            <w:r>
              <w:rPr>
                <w:rFonts w:ascii="Arial" w:cs="Arial" w:eastAsia="Arial" w:hAnsi="Arial"/>
                <w:sz w:val="18"/>
                <w:szCs w:val="18"/>
                <w:color w:val="auto"/>
                <w:w w:val="99"/>
              </w:rPr>
              <w:t>10.34.2**</w:t>
            </w:r>
          </w:p>
        </w:tc>
        <w:tc>
          <w:tcPr>
            <w:tcW w:w="9820" w:type="dxa"/>
            <w:vAlign w:val="bottom"/>
            <w:shd w:val="clear" w:color="auto" w:fill="CDEAFA"/>
          </w:tcPr>
          <w:p>
            <w:pPr>
              <w:ind w:left="40"/>
              <w:spacing w:after="0" w:line="201" w:lineRule="exact"/>
              <w:rPr>
                <w:sz w:val="20"/>
                <w:szCs w:val="20"/>
                <w:color w:val="auto"/>
              </w:rPr>
            </w:pPr>
            <w:r>
              <w:rPr>
                <w:rFonts w:ascii="Arial" w:cs="Arial" w:eastAsia="Arial" w:hAnsi="Arial"/>
                <w:sz w:val="18"/>
                <w:szCs w:val="18"/>
                <w:color w:val="auto"/>
                <w:w w:val="91"/>
              </w:rPr>
              <w:t>Modification No. 02 to Project Agreement, dated as of November 17, 2020, by and between the Registrant and Advanced Technology</w:t>
            </w:r>
          </w:p>
        </w:tc>
      </w:tr>
      <w:tr>
        <w:trPr>
          <w:trHeight w:val="216"/>
        </w:trPr>
        <w:tc>
          <w:tcPr>
            <w:tcW w:w="1420" w:type="dxa"/>
            <w:vAlign w:val="bottom"/>
            <w:shd w:val="clear" w:color="auto" w:fill="CDEAFA"/>
          </w:tcPr>
          <w:p>
            <w:pPr>
              <w:spacing w:after="0"/>
              <w:rPr>
                <w:sz w:val="18"/>
                <w:szCs w:val="18"/>
                <w:color w:val="auto"/>
              </w:rPr>
            </w:pPr>
          </w:p>
        </w:tc>
        <w:tc>
          <w:tcPr>
            <w:tcW w:w="9820" w:type="dxa"/>
            <w:vAlign w:val="bottom"/>
            <w:shd w:val="clear" w:color="auto" w:fill="CDEAFA"/>
          </w:tcPr>
          <w:p>
            <w:pPr>
              <w:ind w:left="40"/>
              <w:spacing w:after="0"/>
              <w:rPr>
                <w:sz w:val="20"/>
                <w:szCs w:val="20"/>
                <w:color w:val="auto"/>
              </w:rPr>
            </w:pPr>
            <w:r>
              <w:rPr>
                <w:rFonts w:ascii="Arial" w:cs="Arial" w:eastAsia="Arial" w:hAnsi="Arial"/>
                <w:sz w:val="18"/>
                <w:szCs w:val="18"/>
                <w:color w:val="auto"/>
                <w:w w:val="91"/>
              </w:rPr>
              <w:t>International. (Incorporated by reference from the Form 10-K for the Registrant, for the year ended December 31, 2020, filed February</w:t>
            </w:r>
          </w:p>
        </w:tc>
      </w:tr>
      <w:tr>
        <w:trPr>
          <w:trHeight w:val="230"/>
        </w:trPr>
        <w:tc>
          <w:tcPr>
            <w:tcW w:w="1420" w:type="dxa"/>
            <w:vAlign w:val="bottom"/>
            <w:shd w:val="clear" w:color="auto" w:fill="CDEAFA"/>
          </w:tcPr>
          <w:p>
            <w:pPr>
              <w:spacing w:after="0"/>
              <w:rPr>
                <w:sz w:val="20"/>
                <w:szCs w:val="20"/>
                <w:color w:val="auto"/>
              </w:rPr>
            </w:pPr>
          </w:p>
        </w:tc>
        <w:tc>
          <w:tcPr>
            <w:tcW w:w="9820" w:type="dxa"/>
            <w:vAlign w:val="bottom"/>
            <w:shd w:val="clear" w:color="auto" w:fill="CDEAFA"/>
          </w:tcPr>
          <w:p>
            <w:pPr>
              <w:ind w:left="40"/>
              <w:spacing w:after="0"/>
              <w:rPr>
                <w:sz w:val="20"/>
                <w:szCs w:val="20"/>
                <w:color w:val="auto"/>
              </w:rPr>
            </w:pPr>
            <w:r>
              <w:rPr>
                <w:rFonts w:ascii="Arial" w:cs="Arial" w:eastAsia="Arial" w:hAnsi="Arial"/>
                <w:sz w:val="18"/>
                <w:szCs w:val="18"/>
                <w:color w:val="auto"/>
              </w:rPr>
              <w:t>8, 2021.)</w:t>
            </w:r>
          </w:p>
        </w:tc>
      </w:tr>
      <w:tr>
        <w:trPr>
          <w:trHeight w:val="202"/>
        </w:trPr>
        <w:tc>
          <w:tcPr>
            <w:tcW w:w="1420" w:type="dxa"/>
            <w:vAlign w:val="bottom"/>
          </w:tcPr>
          <w:p>
            <w:pPr>
              <w:ind w:left="660"/>
              <w:spacing w:after="0" w:line="201" w:lineRule="exact"/>
              <w:rPr>
                <w:sz w:val="20"/>
                <w:szCs w:val="20"/>
                <w:color w:val="auto"/>
              </w:rPr>
            </w:pPr>
            <w:r>
              <w:rPr>
                <w:rFonts w:ascii="Arial" w:cs="Arial" w:eastAsia="Arial" w:hAnsi="Arial"/>
                <w:sz w:val="18"/>
                <w:szCs w:val="18"/>
                <w:color w:val="auto"/>
              </w:rPr>
              <w:t>10.35**</w:t>
            </w:r>
          </w:p>
        </w:tc>
        <w:tc>
          <w:tcPr>
            <w:tcW w:w="9820" w:type="dxa"/>
            <w:vAlign w:val="bottom"/>
          </w:tcPr>
          <w:p>
            <w:pPr>
              <w:ind w:left="40"/>
              <w:spacing w:after="0" w:line="201" w:lineRule="exact"/>
              <w:rPr>
                <w:sz w:val="20"/>
                <w:szCs w:val="20"/>
                <w:color w:val="auto"/>
              </w:rPr>
            </w:pPr>
            <w:r>
              <w:rPr>
                <w:rFonts w:ascii="Arial" w:cs="Arial" w:eastAsia="Arial" w:hAnsi="Arial"/>
                <w:sz w:val="18"/>
                <w:szCs w:val="18"/>
                <w:color w:val="auto"/>
                <w:w w:val="95"/>
              </w:rPr>
              <w:t>License Agreement, dated as of August 18, 2020, by and among the Registrant, F. Hoffman- La Roche Ltd, and Genentech, Inc.</w:t>
            </w:r>
          </w:p>
        </w:tc>
      </w:tr>
      <w:tr>
        <w:trPr>
          <w:trHeight w:val="230"/>
        </w:trPr>
        <w:tc>
          <w:tcPr>
            <w:tcW w:w="1420" w:type="dxa"/>
            <w:vAlign w:val="bottom"/>
          </w:tcPr>
          <w:p>
            <w:pPr>
              <w:spacing w:after="0"/>
              <w:rPr>
                <w:sz w:val="20"/>
                <w:szCs w:val="20"/>
                <w:color w:val="auto"/>
              </w:rPr>
            </w:pPr>
          </w:p>
        </w:tc>
        <w:tc>
          <w:tcPr>
            <w:tcW w:w="9820" w:type="dxa"/>
            <w:vAlign w:val="bottom"/>
          </w:tcPr>
          <w:p>
            <w:pPr>
              <w:ind w:left="40"/>
              <w:spacing w:after="0"/>
              <w:rPr>
                <w:sz w:val="20"/>
                <w:szCs w:val="20"/>
                <w:color w:val="auto"/>
              </w:rPr>
            </w:pPr>
            <w:r>
              <w:rPr>
                <w:rFonts w:ascii="Arial" w:cs="Arial" w:eastAsia="Arial" w:hAnsi="Arial"/>
                <w:sz w:val="18"/>
                <w:szCs w:val="18"/>
                <w:color w:val="auto"/>
                <w:w w:val="91"/>
              </w:rPr>
              <w:t>(Incorporated by reference from the Form 10-Q for the Registrant, for the quarter ended September 30, 2020, filed November 5, 2020.)</w:t>
            </w:r>
          </w:p>
        </w:tc>
      </w:tr>
      <w:tr>
        <w:trPr>
          <w:trHeight w:val="202"/>
        </w:trPr>
        <w:tc>
          <w:tcPr>
            <w:tcW w:w="1420" w:type="dxa"/>
            <w:vAlign w:val="bottom"/>
            <w:shd w:val="clear" w:color="auto" w:fill="CDEAFA"/>
          </w:tcPr>
          <w:p>
            <w:pPr>
              <w:ind w:left="660"/>
              <w:spacing w:after="0" w:line="201" w:lineRule="exact"/>
              <w:rPr>
                <w:sz w:val="20"/>
                <w:szCs w:val="20"/>
                <w:color w:val="auto"/>
              </w:rPr>
            </w:pPr>
            <w:r>
              <w:rPr>
                <w:rFonts w:ascii="Arial" w:cs="Arial" w:eastAsia="Arial" w:hAnsi="Arial"/>
                <w:sz w:val="18"/>
                <w:szCs w:val="18"/>
                <w:color w:val="auto"/>
              </w:rPr>
              <w:t>10.36**</w:t>
            </w:r>
          </w:p>
        </w:tc>
        <w:tc>
          <w:tcPr>
            <w:tcW w:w="9820" w:type="dxa"/>
            <w:vAlign w:val="bottom"/>
            <w:shd w:val="clear" w:color="auto" w:fill="CDEAFA"/>
          </w:tcPr>
          <w:p>
            <w:pPr>
              <w:ind w:left="40"/>
              <w:spacing w:after="0" w:line="201" w:lineRule="exact"/>
              <w:rPr>
                <w:sz w:val="20"/>
                <w:szCs w:val="20"/>
                <w:color w:val="auto"/>
              </w:rPr>
            </w:pPr>
            <w:r>
              <w:rPr>
                <w:rFonts w:ascii="Arial" w:cs="Arial" w:eastAsia="Arial" w:hAnsi="Arial"/>
                <w:sz w:val="18"/>
                <w:szCs w:val="18"/>
                <w:color w:val="auto"/>
                <w:w w:val="94"/>
              </w:rPr>
              <w:t>Supply Agreement, dated as of January 12, 2021, by and between the Registrant and the U.S. Army Contracting Command, New</w:t>
            </w:r>
          </w:p>
        </w:tc>
      </w:tr>
      <w:tr>
        <w:trPr>
          <w:trHeight w:val="230"/>
        </w:trPr>
        <w:tc>
          <w:tcPr>
            <w:tcW w:w="1420" w:type="dxa"/>
            <w:vAlign w:val="bottom"/>
            <w:shd w:val="clear" w:color="auto" w:fill="CDEAFA"/>
          </w:tcPr>
          <w:p>
            <w:pPr>
              <w:spacing w:after="0"/>
              <w:rPr>
                <w:sz w:val="20"/>
                <w:szCs w:val="20"/>
                <w:color w:val="auto"/>
              </w:rPr>
            </w:pPr>
          </w:p>
        </w:tc>
        <w:tc>
          <w:tcPr>
            <w:tcW w:w="9820" w:type="dxa"/>
            <w:vAlign w:val="bottom"/>
            <w:shd w:val="clear" w:color="auto" w:fill="CDEAFA"/>
          </w:tcPr>
          <w:p>
            <w:pPr>
              <w:ind w:left="40"/>
              <w:spacing w:after="0"/>
              <w:rPr>
                <w:sz w:val="20"/>
                <w:szCs w:val="20"/>
                <w:color w:val="auto"/>
              </w:rPr>
            </w:pPr>
            <w:r>
              <w:rPr>
                <w:rFonts w:ascii="Arial" w:cs="Arial" w:eastAsia="Arial" w:hAnsi="Arial"/>
                <w:sz w:val="18"/>
                <w:szCs w:val="18"/>
                <w:color w:val="auto"/>
                <w:w w:val="93"/>
              </w:rPr>
              <w:t>Jersey. (Incorporated by reference from the Form 10-Q for the Registrant, for the quarter ended March 31, 2021, filed May 6, 2021.)</w:t>
            </w:r>
          </w:p>
        </w:tc>
      </w:tr>
      <w:tr>
        <w:trPr>
          <w:trHeight w:val="202"/>
        </w:trPr>
        <w:tc>
          <w:tcPr>
            <w:tcW w:w="1420" w:type="dxa"/>
            <w:vAlign w:val="bottom"/>
          </w:tcPr>
          <w:p>
            <w:pPr>
              <w:ind w:left="660"/>
              <w:spacing w:after="0" w:line="201" w:lineRule="exact"/>
              <w:rPr>
                <w:sz w:val="20"/>
                <w:szCs w:val="20"/>
                <w:color w:val="auto"/>
              </w:rPr>
            </w:pPr>
            <w:r>
              <w:rPr>
                <w:rFonts w:ascii="Arial" w:cs="Arial" w:eastAsia="Arial" w:hAnsi="Arial"/>
                <w:sz w:val="18"/>
                <w:szCs w:val="18"/>
                <w:color w:val="auto"/>
                <w:w w:val="99"/>
              </w:rPr>
              <w:t>10.36.1**</w:t>
            </w:r>
          </w:p>
        </w:tc>
        <w:tc>
          <w:tcPr>
            <w:tcW w:w="9820" w:type="dxa"/>
            <w:vAlign w:val="bottom"/>
          </w:tcPr>
          <w:p>
            <w:pPr>
              <w:ind w:left="40"/>
              <w:spacing w:after="0" w:line="201" w:lineRule="exact"/>
              <w:rPr>
                <w:sz w:val="20"/>
                <w:szCs w:val="20"/>
                <w:color w:val="auto"/>
              </w:rPr>
            </w:pPr>
            <w:r>
              <w:rPr>
                <w:rFonts w:ascii="Arial" w:cs="Arial" w:eastAsia="Arial" w:hAnsi="Arial"/>
                <w:sz w:val="18"/>
                <w:szCs w:val="18"/>
                <w:color w:val="auto"/>
                <w:w w:val="92"/>
              </w:rPr>
              <w:t>Modification P00004 to Supply Agreement, dated as of July 26, 2021, by and between the Registrant and the U.S. Army Contracting</w:t>
            </w:r>
          </w:p>
        </w:tc>
      </w:tr>
      <w:tr>
        <w:trPr>
          <w:trHeight w:val="216"/>
        </w:trPr>
        <w:tc>
          <w:tcPr>
            <w:tcW w:w="1420" w:type="dxa"/>
            <w:vAlign w:val="bottom"/>
          </w:tcPr>
          <w:p>
            <w:pPr>
              <w:spacing w:after="0"/>
              <w:rPr>
                <w:sz w:val="18"/>
                <w:szCs w:val="18"/>
                <w:color w:val="auto"/>
              </w:rPr>
            </w:pPr>
          </w:p>
        </w:tc>
        <w:tc>
          <w:tcPr>
            <w:tcW w:w="9820" w:type="dxa"/>
            <w:vAlign w:val="bottom"/>
          </w:tcPr>
          <w:p>
            <w:pPr>
              <w:ind w:left="40"/>
              <w:spacing w:after="0"/>
              <w:rPr>
                <w:sz w:val="20"/>
                <w:szCs w:val="20"/>
                <w:color w:val="auto"/>
              </w:rPr>
            </w:pPr>
            <w:r>
              <w:rPr>
                <w:rFonts w:ascii="Arial" w:cs="Arial" w:eastAsia="Arial" w:hAnsi="Arial"/>
                <w:sz w:val="18"/>
                <w:szCs w:val="18"/>
                <w:color w:val="auto"/>
                <w:w w:val="91"/>
              </w:rPr>
              <w:t>Command, New Jersey. (Incorporated by reference from the Form 10-Q for the Registrant, for the quarter ended September 30, 2021,</w:t>
            </w:r>
          </w:p>
        </w:tc>
      </w:tr>
      <w:tr>
        <w:trPr>
          <w:trHeight w:val="230"/>
        </w:trPr>
        <w:tc>
          <w:tcPr>
            <w:tcW w:w="1420" w:type="dxa"/>
            <w:vAlign w:val="bottom"/>
          </w:tcPr>
          <w:p>
            <w:pPr>
              <w:spacing w:after="0"/>
              <w:rPr>
                <w:sz w:val="20"/>
                <w:szCs w:val="20"/>
                <w:color w:val="auto"/>
              </w:rPr>
            </w:pPr>
          </w:p>
        </w:tc>
        <w:tc>
          <w:tcPr>
            <w:tcW w:w="9820" w:type="dxa"/>
            <w:vAlign w:val="bottom"/>
          </w:tcPr>
          <w:p>
            <w:pPr>
              <w:ind w:left="40"/>
              <w:spacing w:after="0"/>
              <w:rPr>
                <w:sz w:val="20"/>
                <w:szCs w:val="20"/>
                <w:color w:val="auto"/>
              </w:rPr>
            </w:pPr>
            <w:r>
              <w:rPr>
                <w:rFonts w:ascii="Arial" w:cs="Arial" w:eastAsia="Arial" w:hAnsi="Arial"/>
                <w:sz w:val="18"/>
                <w:szCs w:val="18"/>
                <w:color w:val="auto"/>
              </w:rPr>
              <w:t>filed November 4, 2021.)</w:t>
            </w:r>
          </w:p>
        </w:tc>
      </w:tr>
      <w:tr>
        <w:trPr>
          <w:trHeight w:val="202"/>
        </w:trPr>
        <w:tc>
          <w:tcPr>
            <w:tcW w:w="1420" w:type="dxa"/>
            <w:vAlign w:val="bottom"/>
            <w:shd w:val="clear" w:color="auto" w:fill="CDEAFA"/>
          </w:tcPr>
          <w:p>
            <w:pPr>
              <w:ind w:left="660"/>
              <w:spacing w:after="0" w:line="201" w:lineRule="exact"/>
              <w:rPr>
                <w:sz w:val="20"/>
                <w:szCs w:val="20"/>
                <w:color w:val="auto"/>
              </w:rPr>
            </w:pPr>
            <w:r>
              <w:rPr>
                <w:rFonts w:ascii="Arial" w:cs="Arial" w:eastAsia="Arial" w:hAnsi="Arial"/>
                <w:sz w:val="18"/>
                <w:szCs w:val="18"/>
                <w:color w:val="auto"/>
                <w:w w:val="99"/>
              </w:rPr>
              <w:t>10.36.2**</w:t>
            </w:r>
          </w:p>
        </w:tc>
        <w:tc>
          <w:tcPr>
            <w:tcW w:w="9820" w:type="dxa"/>
            <w:vAlign w:val="bottom"/>
            <w:shd w:val="clear" w:color="auto" w:fill="CDEAFA"/>
          </w:tcPr>
          <w:p>
            <w:pPr>
              <w:ind w:left="40"/>
              <w:spacing w:after="0" w:line="201" w:lineRule="exact"/>
              <w:rPr>
                <w:sz w:val="20"/>
                <w:szCs w:val="20"/>
                <w:color w:val="auto"/>
              </w:rPr>
            </w:pPr>
            <w:r>
              <w:rPr>
                <w:rFonts w:ascii="Arial" w:cs="Arial" w:eastAsia="Arial" w:hAnsi="Arial"/>
                <w:sz w:val="18"/>
                <w:szCs w:val="18"/>
                <w:color w:val="auto"/>
                <w:w w:val="96"/>
              </w:rPr>
              <w:t>Modification P00005 to Supply Agreement, dated as of September 14, 2021, by and between the Registrant and the U.S. Army</w:t>
            </w:r>
          </w:p>
        </w:tc>
      </w:tr>
      <w:tr>
        <w:trPr>
          <w:trHeight w:val="216"/>
        </w:trPr>
        <w:tc>
          <w:tcPr>
            <w:tcW w:w="1420" w:type="dxa"/>
            <w:vAlign w:val="bottom"/>
            <w:shd w:val="clear" w:color="auto" w:fill="CDEAFA"/>
          </w:tcPr>
          <w:p>
            <w:pPr>
              <w:spacing w:after="0"/>
              <w:rPr>
                <w:sz w:val="18"/>
                <w:szCs w:val="18"/>
                <w:color w:val="auto"/>
              </w:rPr>
            </w:pPr>
          </w:p>
        </w:tc>
        <w:tc>
          <w:tcPr>
            <w:tcW w:w="9820" w:type="dxa"/>
            <w:vAlign w:val="bottom"/>
            <w:shd w:val="clear" w:color="auto" w:fill="CDEAFA"/>
          </w:tcPr>
          <w:p>
            <w:pPr>
              <w:ind w:left="40"/>
              <w:spacing w:after="0"/>
              <w:rPr>
                <w:sz w:val="20"/>
                <w:szCs w:val="20"/>
                <w:color w:val="auto"/>
              </w:rPr>
            </w:pPr>
            <w:r>
              <w:rPr>
                <w:rFonts w:ascii="Arial" w:cs="Arial" w:eastAsia="Arial" w:hAnsi="Arial"/>
                <w:sz w:val="18"/>
                <w:szCs w:val="18"/>
                <w:color w:val="auto"/>
                <w:w w:val="98"/>
              </w:rPr>
              <w:t>Contracting Command, New Jersey. (Incorporated by reference from the Form 10-Q for the Registrant, for the quarter ended</w:t>
            </w:r>
          </w:p>
        </w:tc>
      </w:tr>
      <w:tr>
        <w:trPr>
          <w:trHeight w:val="230"/>
        </w:trPr>
        <w:tc>
          <w:tcPr>
            <w:tcW w:w="1420" w:type="dxa"/>
            <w:vAlign w:val="bottom"/>
            <w:shd w:val="clear" w:color="auto" w:fill="CDEAFA"/>
          </w:tcPr>
          <w:p>
            <w:pPr>
              <w:spacing w:after="0"/>
              <w:rPr>
                <w:sz w:val="20"/>
                <w:szCs w:val="20"/>
                <w:color w:val="auto"/>
              </w:rPr>
            </w:pPr>
          </w:p>
        </w:tc>
        <w:tc>
          <w:tcPr>
            <w:tcW w:w="9820" w:type="dxa"/>
            <w:vAlign w:val="bottom"/>
            <w:shd w:val="clear" w:color="auto" w:fill="CDEAFA"/>
          </w:tcPr>
          <w:p>
            <w:pPr>
              <w:ind w:left="40"/>
              <w:spacing w:after="0"/>
              <w:rPr>
                <w:sz w:val="20"/>
                <w:szCs w:val="20"/>
                <w:color w:val="auto"/>
              </w:rPr>
            </w:pPr>
            <w:r>
              <w:rPr>
                <w:rFonts w:ascii="Arial" w:cs="Arial" w:eastAsia="Arial" w:hAnsi="Arial"/>
                <w:sz w:val="18"/>
                <w:szCs w:val="18"/>
                <w:color w:val="auto"/>
              </w:rPr>
              <w:t>September 30, 2021, filed November 4, 2021.)</w:t>
            </w:r>
          </w:p>
        </w:tc>
      </w:tr>
      <w:tr>
        <w:trPr>
          <w:trHeight w:val="216"/>
        </w:trPr>
        <w:tc>
          <w:tcPr>
            <w:tcW w:w="1420" w:type="dxa"/>
            <w:vAlign w:val="bottom"/>
          </w:tcPr>
          <w:p>
            <w:pPr>
              <w:ind w:left="660"/>
              <w:spacing w:after="0"/>
              <w:rPr>
                <w:sz w:val="20"/>
                <w:szCs w:val="20"/>
                <w:color w:val="auto"/>
              </w:rPr>
            </w:pPr>
            <w:r>
              <w:rPr>
                <w:rFonts w:ascii="Arial" w:cs="Arial" w:eastAsia="Arial" w:hAnsi="Arial"/>
                <w:sz w:val="18"/>
                <w:szCs w:val="18"/>
                <w:color w:val="auto"/>
              </w:rPr>
              <w:t>21.1</w:t>
            </w:r>
          </w:p>
        </w:tc>
        <w:tc>
          <w:tcPr>
            <w:tcW w:w="9820" w:type="dxa"/>
            <w:vAlign w:val="bottom"/>
          </w:tcPr>
          <w:p>
            <w:pPr>
              <w:ind w:left="4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1420" w:type="dxa"/>
            <w:vAlign w:val="bottom"/>
            <w:shd w:val="clear" w:color="auto" w:fill="CDEAFA"/>
          </w:tcPr>
          <w:p>
            <w:pPr>
              <w:ind w:left="660"/>
              <w:spacing w:after="0"/>
              <w:rPr>
                <w:sz w:val="20"/>
                <w:szCs w:val="20"/>
                <w:color w:val="auto"/>
              </w:rPr>
            </w:pPr>
            <w:r>
              <w:rPr>
                <w:rFonts w:ascii="Arial" w:cs="Arial" w:eastAsia="Arial" w:hAnsi="Arial"/>
                <w:sz w:val="18"/>
                <w:szCs w:val="18"/>
                <w:color w:val="auto"/>
              </w:rPr>
              <w:t>23.1</w:t>
            </w:r>
          </w:p>
        </w:tc>
        <w:tc>
          <w:tcPr>
            <w:tcW w:w="9820" w:type="dxa"/>
            <w:vAlign w:val="bottom"/>
            <w:shd w:val="clear" w:color="auto" w:fill="CDEAFA"/>
          </w:tcPr>
          <w:p>
            <w:pPr>
              <w:ind w:left="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16"/>
        </w:trPr>
        <w:tc>
          <w:tcPr>
            <w:tcW w:w="1420" w:type="dxa"/>
            <w:vAlign w:val="bottom"/>
          </w:tcPr>
          <w:p>
            <w:pPr>
              <w:ind w:left="660"/>
              <w:spacing w:after="0"/>
              <w:rPr>
                <w:sz w:val="20"/>
                <w:szCs w:val="20"/>
                <w:color w:val="auto"/>
              </w:rPr>
            </w:pPr>
            <w:r>
              <w:rPr>
                <w:rFonts w:ascii="Arial" w:cs="Arial" w:eastAsia="Arial" w:hAnsi="Arial"/>
                <w:sz w:val="18"/>
                <w:szCs w:val="18"/>
                <w:color w:val="auto"/>
              </w:rPr>
              <w:t>24.1</w:t>
            </w:r>
          </w:p>
        </w:tc>
        <w:tc>
          <w:tcPr>
            <w:tcW w:w="982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of this Annual Report on Form 10-K).</w:t>
            </w:r>
          </w:p>
        </w:tc>
      </w:tr>
      <w:tr>
        <w:trPr>
          <w:trHeight w:val="216"/>
        </w:trPr>
        <w:tc>
          <w:tcPr>
            <w:tcW w:w="1420" w:type="dxa"/>
            <w:vAlign w:val="bottom"/>
            <w:shd w:val="clear" w:color="auto" w:fill="CDEAFA"/>
          </w:tcPr>
          <w:p>
            <w:pPr>
              <w:ind w:left="660"/>
              <w:spacing w:after="0"/>
              <w:rPr>
                <w:sz w:val="20"/>
                <w:szCs w:val="20"/>
                <w:color w:val="auto"/>
              </w:rPr>
            </w:pPr>
            <w:r>
              <w:rPr>
                <w:rFonts w:ascii="Arial" w:cs="Arial" w:eastAsia="Arial" w:hAnsi="Arial"/>
                <w:sz w:val="18"/>
                <w:szCs w:val="18"/>
                <w:color w:val="auto"/>
              </w:rPr>
              <w:t>31.1</w:t>
            </w:r>
          </w:p>
        </w:tc>
        <w:tc>
          <w:tcPr>
            <w:tcW w:w="9820" w:type="dxa"/>
            <w:vAlign w:val="bottom"/>
            <w:shd w:val="clear" w:color="auto" w:fill="CDEAFA"/>
          </w:tcPr>
          <w:p>
            <w:pPr>
              <w:ind w:left="40"/>
              <w:spacing w:after="0"/>
              <w:rPr>
                <w:sz w:val="20"/>
                <w:szCs w:val="20"/>
                <w:color w:val="auto"/>
              </w:rPr>
            </w:pPr>
            <w:r>
              <w:rPr>
                <w:rFonts w:ascii="Arial" w:cs="Arial" w:eastAsia="Arial" w:hAnsi="Arial"/>
                <w:sz w:val="18"/>
                <w:szCs w:val="18"/>
                <w:color w:val="auto"/>
              </w:rPr>
              <w:t>Certification of Principal Executive Officer pursuant to Rule 13a-14(a) under the Securities Exchange Act of 1934.</w:t>
            </w:r>
          </w:p>
        </w:tc>
      </w:tr>
      <w:tr>
        <w:trPr>
          <w:trHeight w:val="216"/>
        </w:trPr>
        <w:tc>
          <w:tcPr>
            <w:tcW w:w="1420" w:type="dxa"/>
            <w:vAlign w:val="bottom"/>
          </w:tcPr>
          <w:p>
            <w:pPr>
              <w:ind w:left="660"/>
              <w:spacing w:after="0"/>
              <w:rPr>
                <w:sz w:val="20"/>
                <w:szCs w:val="20"/>
                <w:color w:val="auto"/>
              </w:rPr>
            </w:pPr>
            <w:r>
              <w:rPr>
                <w:rFonts w:ascii="Arial" w:cs="Arial" w:eastAsia="Arial" w:hAnsi="Arial"/>
                <w:sz w:val="18"/>
                <w:szCs w:val="18"/>
                <w:color w:val="auto"/>
              </w:rPr>
              <w:t>31.2</w:t>
            </w:r>
          </w:p>
        </w:tc>
        <w:tc>
          <w:tcPr>
            <w:tcW w:w="9820" w:type="dxa"/>
            <w:vAlign w:val="bottom"/>
          </w:tcPr>
          <w:p>
            <w:pPr>
              <w:ind w:left="40"/>
              <w:spacing w:after="0"/>
              <w:rPr>
                <w:sz w:val="20"/>
                <w:szCs w:val="20"/>
                <w:color w:val="auto"/>
              </w:rPr>
            </w:pPr>
            <w:r>
              <w:rPr>
                <w:rFonts w:ascii="Arial" w:cs="Arial" w:eastAsia="Arial" w:hAnsi="Arial"/>
                <w:sz w:val="18"/>
                <w:szCs w:val="18"/>
                <w:color w:val="auto"/>
              </w:rPr>
              <w:t>Certification of Principal Financial Officer pursuant to Rule 13a-14(a) under the Securities Exchange Act of 1934.</w:t>
            </w:r>
          </w:p>
        </w:tc>
      </w:tr>
      <w:tr>
        <w:trPr>
          <w:trHeight w:val="216"/>
        </w:trPr>
        <w:tc>
          <w:tcPr>
            <w:tcW w:w="1420" w:type="dxa"/>
            <w:vAlign w:val="bottom"/>
            <w:shd w:val="clear" w:color="auto" w:fill="CDEAFA"/>
          </w:tcPr>
          <w:p>
            <w:pPr>
              <w:ind w:left="660"/>
              <w:spacing w:after="0"/>
              <w:rPr>
                <w:sz w:val="20"/>
                <w:szCs w:val="20"/>
                <w:color w:val="auto"/>
              </w:rPr>
            </w:pPr>
            <w:r>
              <w:rPr>
                <w:rFonts w:ascii="Arial" w:cs="Arial" w:eastAsia="Arial" w:hAnsi="Arial"/>
                <w:sz w:val="18"/>
                <w:szCs w:val="18"/>
                <w:color w:val="auto"/>
              </w:rPr>
              <w:t>32</w:t>
            </w:r>
          </w:p>
        </w:tc>
        <w:tc>
          <w:tcPr>
            <w:tcW w:w="9820" w:type="dxa"/>
            <w:vAlign w:val="bottom"/>
            <w:shd w:val="clear" w:color="auto" w:fill="CDEAFA"/>
          </w:tcPr>
          <w:p>
            <w:pPr>
              <w:ind w:left="40"/>
              <w:spacing w:after="0"/>
              <w:rPr>
                <w:sz w:val="20"/>
                <w:szCs w:val="20"/>
                <w:color w:val="auto"/>
              </w:rPr>
            </w:pPr>
            <w:r>
              <w:rPr>
                <w:rFonts w:ascii="Arial" w:cs="Arial" w:eastAsia="Arial" w:hAnsi="Arial"/>
                <w:sz w:val="18"/>
                <w:szCs w:val="18"/>
                <w:color w:val="auto"/>
              </w:rPr>
              <w:t>Certification of Principal Executive Officer and Principal Financial Officer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3977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977640"/>
                    </a:xfrm>
                    <a:prstGeom prst="rect">
                      <a:avLst/>
                    </a:prstGeom>
                    <a:noFill/>
                  </pic:spPr>
                </pic:pic>
              </a:graphicData>
            </a:graphic>
          </wp:anchor>
        </w:drawing>
      </w:r>
    </w:p>
    <w:p>
      <w:pPr>
        <w:jc w:val="both"/>
        <w:ind w:left="1460" w:hanging="804"/>
        <w:spacing w:after="0" w:line="281" w:lineRule="auto"/>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formatted in Inline Extensible Business Reporting Language (“Inline XBRL”): (i) the Registrant’s Consolidated Balance Sheets as of December 31, 2021 and 2020; (ii) the Registrant’s Consolidated Statements of Operations and Comprehensive Income for the years ended December 31, 2021, 2020, and 2019; (iii) the Registrant’s Consolidated Statements of Stockholders’ Equity for the years ended December 31, 2021, 2020, and 2019; (iv) the Registrant’s</w:t>
      </w:r>
    </w:p>
    <w:p>
      <w:pPr>
        <w:spacing w:after="0" w:line="2" w:lineRule="exact"/>
        <w:rPr>
          <w:sz w:val="20"/>
          <w:szCs w:val="20"/>
          <w:color w:val="auto"/>
        </w:rPr>
      </w:pPr>
    </w:p>
    <w:p>
      <w:pPr>
        <w:ind w:left="1460"/>
        <w:spacing w:after="0" w:line="250" w:lineRule="auto"/>
        <w:rPr>
          <w:sz w:val="20"/>
          <w:szCs w:val="20"/>
          <w:color w:val="auto"/>
        </w:rPr>
      </w:pPr>
      <w:r>
        <w:rPr>
          <w:rFonts w:ascii="Arial" w:cs="Arial" w:eastAsia="Arial" w:hAnsi="Arial"/>
          <w:sz w:val="18"/>
          <w:szCs w:val="18"/>
          <w:color w:val="auto"/>
        </w:rPr>
        <w:t>Consolidated Statements of Cash Flows for the years ended December 31, 2021, 2020, and 2019; and (v) the notes to the Registrant’s Consolidated Financial Statements.</w:t>
      </w:r>
    </w:p>
    <w:p>
      <w:pPr>
        <w:spacing w:after="0" w:line="1" w:lineRule="exact"/>
        <w:rPr>
          <w:sz w:val="20"/>
          <w:szCs w:val="20"/>
          <w:color w:val="auto"/>
        </w:rPr>
      </w:pPr>
    </w:p>
    <w:p>
      <w:pPr>
        <w:ind w:left="1460" w:hanging="804"/>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1580" w:hanging="310"/>
        <w:spacing w:after="0" w:line="266" w:lineRule="auto"/>
        <w:rPr>
          <w:rFonts w:ascii="Arial" w:cs="Arial" w:eastAsia="Arial" w:hAnsi="Arial"/>
          <w:sz w:val="18"/>
          <w:szCs w:val="18"/>
          <w:color w:val="auto"/>
        </w:rPr>
      </w:pPr>
      <w:r>
        <w:rPr>
          <w:rFonts w:ascii="Arial" w:cs="Arial" w:eastAsia="Arial" w:hAnsi="Arial"/>
          <w:sz w:val="16"/>
          <w:szCs w:val="16"/>
          <w:color w:val="auto"/>
        </w:rPr>
        <w:t>* Portions of this document have been omitted and filed separately with the Commission pursuant to requests for confidential treatment pursuant to Rule 24b-2</w:t>
      </w:r>
    </w:p>
    <w:p>
      <w:pPr>
        <w:spacing w:after="0" w:line="1" w:lineRule="exact"/>
        <w:rPr>
          <w:rFonts w:ascii="Arial" w:cs="Arial" w:eastAsia="Arial" w:hAnsi="Arial"/>
          <w:sz w:val="18"/>
          <w:szCs w:val="18"/>
          <w:color w:val="auto"/>
        </w:rPr>
      </w:pPr>
    </w:p>
    <w:p>
      <w:pPr>
        <w:ind w:left="1580" w:hanging="384"/>
        <w:spacing w:after="0"/>
        <w:tabs>
          <w:tab w:leader="none" w:pos="15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Certain confidential portions of this exhibit were omitted in accordance with Item 601(b)(10)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-506730</wp:posOffset>
            </wp:positionV>
            <wp:extent cx="4286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ind w:left="1580" w:hanging="313"/>
        <w:spacing w:after="0"/>
        <w:tabs>
          <w:tab w:leader="none" w:pos="1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06" w:name="page107"/>
    <w:bookmarkEnd w:id="106"/>
    <w:p>
      <w:pPr>
        <w:jc w:val="center"/>
        <w:ind w:right="-3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REGENERON PHARMACEUTICALS, INC.</w:t>
      </w:r>
    </w:p>
    <w:p>
      <w:pPr>
        <w:spacing w:after="0" w:line="225" w:lineRule="exact"/>
        <w:rPr>
          <w:sz w:val="20"/>
          <w:szCs w:val="20"/>
          <w:color w:val="auto"/>
        </w:rPr>
      </w:pPr>
    </w:p>
    <w:p>
      <w:pPr>
        <w:spacing w:after="0"/>
        <w:tabs>
          <w:tab w:leader="none" w:pos="780" w:val="left"/>
          <w:tab w:leader="none" w:pos="4160" w:val="left"/>
          <w:tab w:leader="none" w:pos="4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LEONARD S. SCHLEIFER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40"/>
          </w:cols>
          <w:pgMar w:left="320" w:top="405" w:right="6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Leonard S. Schleifer, President and Chief Executive Officer, and Robert E. Landry, Executive Vice President, Finance and Chief Financial Officer,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1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President, Chief Executive Officer, and</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LEONARD S. SCHLEIFER</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Director (Principal Executive Officer)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Leonard S. Schleifer, M.D., Ph.D.</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68"/>
        </w:trPr>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Executive Vice President, Finance and</w:t>
            </w:r>
          </w:p>
        </w:tc>
        <w:tc>
          <w:tcPr>
            <w:tcW w:w="1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6"/>
        </w:trPr>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Chief Financial Officer (Principal</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ROBERT E. LANDRY</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Financial Officer)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Robert E. Landry</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68"/>
        </w:trPr>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Senior Vice President, Controller</w:t>
            </w:r>
          </w:p>
        </w:tc>
        <w:tc>
          <w:tcPr>
            <w:tcW w:w="1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0"/>
        </w:trPr>
        <w:tc>
          <w:tcPr>
            <w:tcW w:w="580" w:type="dxa"/>
            <w:vAlign w:val="bottom"/>
          </w:tcPr>
          <w:p>
            <w:pPr>
              <w:spacing w:after="0"/>
              <w:rPr>
                <w:sz w:val="20"/>
                <w:szCs w:val="20"/>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CHRISTOPHER R. FENIMORE</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(Principal Accounting Officer)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Christopher R. Fenimore</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68"/>
        </w:trPr>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President, Chief Scientific Officer, and</w:t>
            </w:r>
          </w:p>
        </w:tc>
        <w:tc>
          <w:tcPr>
            <w:tcW w:w="1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0"/>
        </w:trPr>
        <w:tc>
          <w:tcPr>
            <w:tcW w:w="580" w:type="dxa"/>
            <w:vAlign w:val="bottom"/>
          </w:tcPr>
          <w:p>
            <w:pPr>
              <w:spacing w:after="0"/>
              <w:rPr>
                <w:sz w:val="20"/>
                <w:szCs w:val="20"/>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GEORGE D. YANCOPOULOS</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Director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George D. Yancopoulos, M.D., Ph.D.</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7"/>
        </w:trPr>
        <w:tc>
          <w:tcPr>
            <w:tcW w:w="580" w:type="dxa"/>
            <w:vAlign w:val="bottom"/>
          </w:tcPr>
          <w:p>
            <w:pPr>
              <w:spacing w:after="0"/>
              <w:rPr>
                <w:sz w:val="24"/>
                <w:szCs w:val="24"/>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P. ROY VAGELOS</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Chair of the Board of Directors</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P. Roy Vagelos, M.D.</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7"/>
        </w:trPr>
        <w:tc>
          <w:tcPr>
            <w:tcW w:w="580" w:type="dxa"/>
            <w:vAlign w:val="bottom"/>
          </w:tcPr>
          <w:p>
            <w:pPr>
              <w:spacing w:after="0"/>
              <w:rPr>
                <w:sz w:val="24"/>
                <w:szCs w:val="24"/>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BONNIE L. BASSLER</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Director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Bonnie L. Bassler, Ph.D.</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7"/>
        </w:trPr>
        <w:tc>
          <w:tcPr>
            <w:tcW w:w="580" w:type="dxa"/>
            <w:vAlign w:val="bottom"/>
          </w:tcPr>
          <w:p>
            <w:pPr>
              <w:spacing w:after="0"/>
              <w:rPr>
                <w:sz w:val="24"/>
                <w:szCs w:val="24"/>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MICHAEL S. BROWN</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Director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Michael S. Brown, M.D.</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7"/>
        </w:trPr>
        <w:tc>
          <w:tcPr>
            <w:tcW w:w="580" w:type="dxa"/>
            <w:vAlign w:val="bottom"/>
          </w:tcPr>
          <w:p>
            <w:pPr>
              <w:spacing w:after="0"/>
              <w:rPr>
                <w:sz w:val="24"/>
                <w:szCs w:val="24"/>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N. ANTHONY COLES</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Director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N. Anthony Coles, M.D.</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7"/>
        </w:trPr>
        <w:tc>
          <w:tcPr>
            <w:tcW w:w="580" w:type="dxa"/>
            <w:vAlign w:val="bottom"/>
          </w:tcPr>
          <w:p>
            <w:pPr>
              <w:spacing w:after="0"/>
              <w:rPr>
                <w:sz w:val="24"/>
                <w:szCs w:val="24"/>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JOSEPH L. GOLDSTEIN</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Director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Joseph L. Goldstein, M.D.</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7"/>
        </w:trPr>
        <w:tc>
          <w:tcPr>
            <w:tcW w:w="580" w:type="dxa"/>
            <w:vAlign w:val="bottom"/>
          </w:tcPr>
          <w:p>
            <w:pPr>
              <w:spacing w:after="0"/>
              <w:rPr>
                <w:sz w:val="24"/>
                <w:szCs w:val="24"/>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CHRISTINE A. POON</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Director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Christine A. Poon</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7"/>
        </w:trPr>
        <w:tc>
          <w:tcPr>
            <w:tcW w:w="580" w:type="dxa"/>
            <w:vAlign w:val="bottom"/>
          </w:tcPr>
          <w:p>
            <w:pPr>
              <w:spacing w:after="0"/>
              <w:rPr>
                <w:sz w:val="24"/>
                <w:szCs w:val="24"/>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ARTHUR F. RYAN</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Director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Arthur F. Ryan</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7"/>
        </w:trPr>
        <w:tc>
          <w:tcPr>
            <w:tcW w:w="580" w:type="dxa"/>
            <w:vAlign w:val="bottom"/>
          </w:tcPr>
          <w:p>
            <w:pPr>
              <w:spacing w:after="0"/>
              <w:rPr>
                <w:sz w:val="24"/>
                <w:szCs w:val="24"/>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GEORGE L. SING</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Director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George L. Sing</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7"/>
        </w:trPr>
        <w:tc>
          <w:tcPr>
            <w:tcW w:w="580" w:type="dxa"/>
            <w:vAlign w:val="bottom"/>
          </w:tcPr>
          <w:p>
            <w:pPr>
              <w:spacing w:after="0"/>
              <w:rPr>
                <w:sz w:val="24"/>
                <w:szCs w:val="24"/>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MARC TESSIER-LAVIGNE</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Director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Marc Tessier-Lavigne, Ph.D.</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7"/>
        </w:trPr>
        <w:tc>
          <w:tcPr>
            <w:tcW w:w="580" w:type="dxa"/>
            <w:vAlign w:val="bottom"/>
          </w:tcPr>
          <w:p>
            <w:pPr>
              <w:spacing w:after="0"/>
              <w:rPr>
                <w:sz w:val="24"/>
                <w:szCs w:val="24"/>
                <w:color w:val="auto"/>
              </w:rPr>
            </w:pPr>
          </w:p>
        </w:tc>
        <w:tc>
          <w:tcPr>
            <w:tcW w:w="3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/s/ HUDA Y. ZOGHBI</w:t>
            </w:r>
          </w:p>
        </w:tc>
        <w:tc>
          <w:tcPr>
            <w:tcW w:w="3920" w:type="dxa"/>
            <w:vAlign w:val="bottom"/>
            <w:gridSpan w:val="3"/>
          </w:tcPr>
          <w:p>
            <w:pPr>
              <w:ind w:left="300"/>
              <w:spacing w:after="0"/>
              <w:rPr>
                <w:sz w:val="20"/>
                <w:szCs w:val="20"/>
                <w:color w:val="auto"/>
              </w:rPr>
            </w:pPr>
            <w:r>
              <w:rPr>
                <w:rFonts w:ascii="Arial" w:cs="Arial" w:eastAsia="Arial" w:hAnsi="Arial"/>
                <w:sz w:val="18"/>
                <w:szCs w:val="18"/>
                <w:i w:val="1"/>
                <w:iCs w:val="1"/>
                <w:color w:val="auto"/>
              </w:rPr>
              <w:t>Director</w:t>
            </w:r>
          </w:p>
        </w:tc>
        <w:tc>
          <w:tcPr>
            <w:tcW w:w="32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February 7, 2022</w:t>
            </w:r>
          </w:p>
        </w:tc>
      </w:tr>
      <w:tr>
        <w:trPr>
          <w:trHeight w:val="224"/>
        </w:trPr>
        <w:tc>
          <w:tcPr>
            <w:tcW w:w="580" w:type="dxa"/>
            <w:vAlign w:val="bottom"/>
          </w:tcPr>
          <w:p>
            <w:pPr>
              <w:spacing w:after="0"/>
              <w:rPr>
                <w:sz w:val="19"/>
                <w:szCs w:val="19"/>
                <w:color w:val="auto"/>
              </w:rPr>
            </w:pPr>
          </w:p>
        </w:tc>
        <w:tc>
          <w:tcPr>
            <w:tcW w:w="3540" w:type="dxa"/>
            <w:vAlign w:val="bottom"/>
            <w:gridSpan w:val="3"/>
          </w:tcPr>
          <w:p>
            <w:pPr>
              <w:ind w:left="320"/>
              <w:spacing w:after="0"/>
              <w:rPr>
                <w:sz w:val="20"/>
                <w:szCs w:val="20"/>
                <w:color w:val="auto"/>
              </w:rPr>
            </w:pPr>
            <w:r>
              <w:rPr>
                <w:rFonts w:ascii="Arial" w:cs="Arial" w:eastAsia="Arial" w:hAnsi="Arial"/>
                <w:sz w:val="18"/>
                <w:szCs w:val="18"/>
                <w:color w:val="auto"/>
              </w:rPr>
              <w:t>Huda Y. Zoghbi, M.D.</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91"/>
        </w:trPr>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00" w:type="dxa"/>
            <w:vAlign w:val="bottom"/>
          </w:tcPr>
          <w:p>
            <w:pPr>
              <w:ind w:left="136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580" w:type="dxa"/>
            <w:vAlign w:val="bottom"/>
            <w:tcBorders>
              <w:bottom w:val="single" w:sz="8" w:color="C0C0C0"/>
            </w:tcBorders>
          </w:tcPr>
          <w:p>
            <w:pPr>
              <w:spacing w:after="0"/>
              <w:rPr>
                <w:sz w:val="21"/>
                <w:szCs w:val="21"/>
                <w:color w:val="auto"/>
              </w:rPr>
            </w:pPr>
          </w:p>
        </w:tc>
        <w:tc>
          <w:tcPr>
            <w:tcW w:w="1400" w:type="dxa"/>
            <w:vAlign w:val="bottom"/>
            <w:tcBorders>
              <w:bottom w:val="single" w:sz="8" w:color="C0C0C0"/>
            </w:tcBorders>
          </w:tcPr>
          <w:p>
            <w:pPr>
              <w:spacing w:after="0"/>
              <w:rPr>
                <w:sz w:val="21"/>
                <w:szCs w:val="21"/>
                <w:color w:val="auto"/>
              </w:rPr>
            </w:pPr>
          </w:p>
        </w:tc>
        <w:tc>
          <w:tcPr>
            <w:tcW w:w="740" w:type="dxa"/>
            <w:vAlign w:val="bottom"/>
            <w:tcBorders>
              <w:bottom w:val="single" w:sz="8" w:color="C0C0C0"/>
            </w:tcBorders>
          </w:tcPr>
          <w:p>
            <w:pPr>
              <w:spacing w:after="0"/>
              <w:rPr>
                <w:sz w:val="21"/>
                <w:szCs w:val="21"/>
                <w:color w:val="auto"/>
              </w:rPr>
            </w:pPr>
          </w:p>
        </w:tc>
        <w:tc>
          <w:tcPr>
            <w:tcW w:w="1400" w:type="dxa"/>
            <w:vAlign w:val="bottom"/>
            <w:tcBorders>
              <w:bottom w:val="single" w:sz="8" w:color="C0C0C0"/>
            </w:tcBorders>
          </w:tcPr>
          <w:p>
            <w:pPr>
              <w:spacing w:after="0"/>
              <w:rPr>
                <w:sz w:val="21"/>
                <w:szCs w:val="21"/>
                <w:color w:val="auto"/>
              </w:rPr>
            </w:pPr>
          </w:p>
        </w:tc>
        <w:tc>
          <w:tcPr>
            <w:tcW w:w="19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68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6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5"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480" w:type="dxa"/>
            <w:vAlign w:val="bottom"/>
            <w:gridSpan w:val="2"/>
          </w:tcPr>
          <w:p>
            <w:pPr>
              <w:spacing w:after="0"/>
              <w:rPr>
                <w:sz w:val="17"/>
                <w:szCs w:val="17"/>
                <w:color w:val="auto"/>
              </w:rPr>
            </w:pPr>
          </w:p>
        </w:tc>
      </w:tr>
      <w:tr>
        <w:trPr>
          <w:trHeight w:val="196"/>
        </w:trPr>
        <w:tc>
          <w:tcPr>
            <w:tcW w:w="3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gridSpan w:val="4"/>
          </w:tcPr>
          <w:p>
            <w:pPr>
              <w:jc w:val="center"/>
              <w:ind w:right="320"/>
              <w:spacing w:after="0" w:line="196" w:lineRule="exact"/>
              <w:rPr>
                <w:sz w:val="20"/>
                <w:szCs w:val="20"/>
                <w:color w:val="auto"/>
              </w:rPr>
            </w:pPr>
            <w:r>
              <w:rPr>
                <w:rFonts w:ascii="Arial" w:cs="Arial" w:eastAsia="Arial" w:hAnsi="Arial"/>
                <w:sz w:val="18"/>
                <w:szCs w:val="18"/>
                <w:b w:val="1"/>
                <w:bCs w:val="1"/>
                <w:color w:val="auto"/>
                <w:w w:val="89"/>
              </w:rPr>
              <w:t>Numbers</w:t>
            </w:r>
          </w:p>
        </w:tc>
      </w:tr>
      <w:tr>
        <w:trPr>
          <w:trHeight w:val="196"/>
        </w:trPr>
        <w:tc>
          <w:tcPr>
            <w:tcW w:w="55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10">
              <w:r>
                <w:rPr>
                  <w:rFonts w:ascii="Arial" w:cs="Arial" w:eastAsia="Arial" w:hAnsi="Arial"/>
                  <w:sz w:val="18"/>
                  <w:szCs w:val="18"/>
                  <w:color w:val="0000EE"/>
                  <w:w w:val="92"/>
                </w:rPr>
                <w:t>Report of Independent Registered Public Accounting Firm (PCAOB ID 238)</w:t>
              </w:r>
            </w:hyperlink>
          </w:p>
        </w:tc>
        <w:tc>
          <w:tcPr>
            <w:tcW w:w="40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2"/>
          </w:tcPr>
          <w:p>
            <w:pPr>
              <w:jc w:val="center"/>
              <w:ind w:right="160"/>
              <w:spacing w:after="0" w:line="196" w:lineRule="exact"/>
              <w:rPr>
                <w:sz w:val="20"/>
                <w:szCs w:val="20"/>
                <w:color w:val="auto"/>
              </w:rPr>
            </w:pPr>
            <w:r>
              <w:rPr>
                <w:rFonts w:ascii="Arial" w:cs="Arial" w:eastAsia="Arial" w:hAnsi="Arial"/>
                <w:sz w:val="18"/>
                <w:szCs w:val="18"/>
                <w:color w:val="auto"/>
                <w:w w:val="96"/>
              </w:rPr>
              <w:t>F-2</w:t>
            </w:r>
          </w:p>
        </w:tc>
        <w:tc>
          <w:tcPr>
            <w:tcW w:w="320" w:type="dxa"/>
            <w:vAlign w:val="bottom"/>
          </w:tcPr>
          <w:p>
            <w:pPr>
              <w:spacing w:after="0"/>
              <w:rPr>
                <w:sz w:val="17"/>
                <w:szCs w:val="17"/>
                <w:color w:val="auto"/>
              </w:rPr>
            </w:pPr>
          </w:p>
        </w:tc>
      </w:tr>
      <w:tr>
        <w:trPr>
          <w:trHeight w:val="196"/>
        </w:trPr>
        <w:tc>
          <w:tcPr>
            <w:tcW w:w="4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Consolidated Balance Sheets as of December 31, 2021 and 2020</w:t>
              </w:r>
            </w:hyperlink>
          </w:p>
        </w:tc>
        <w:tc>
          <w:tcPr>
            <w:tcW w:w="494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jc w:val="center"/>
              <w:ind w:right="480"/>
              <w:spacing w:after="0" w:line="196" w:lineRule="exact"/>
              <w:rPr>
                <w:sz w:val="20"/>
                <w:szCs w:val="20"/>
                <w:color w:val="auto"/>
              </w:rPr>
            </w:pPr>
            <w:r>
              <w:rPr>
                <w:rFonts w:ascii="Arial" w:cs="Arial" w:eastAsia="Arial" w:hAnsi="Arial"/>
                <w:sz w:val="18"/>
                <w:szCs w:val="18"/>
                <w:color w:val="auto"/>
                <w:w w:val="96"/>
              </w:rPr>
              <w:t>F-4</w:t>
            </w:r>
          </w:p>
        </w:tc>
      </w:tr>
      <w:tr>
        <w:trPr>
          <w:trHeight w:val="196"/>
        </w:trPr>
        <w:tc>
          <w:tcPr>
            <w:tcW w:w="90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Consolidated Statements of Operations and Comprehensive Income for the Years Ended December 31, 2021, 2020, and 2019</w:t>
              </w:r>
            </w:hyperlink>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jc w:val="center"/>
              <w:ind w:right="480"/>
              <w:spacing w:after="0" w:line="196" w:lineRule="exact"/>
              <w:rPr>
                <w:sz w:val="20"/>
                <w:szCs w:val="20"/>
                <w:color w:val="auto"/>
              </w:rPr>
            </w:pPr>
            <w:r>
              <w:rPr>
                <w:rFonts w:ascii="Arial" w:cs="Arial" w:eastAsia="Arial" w:hAnsi="Arial"/>
                <w:sz w:val="18"/>
                <w:szCs w:val="18"/>
                <w:color w:val="auto"/>
                <w:w w:val="96"/>
              </w:rPr>
              <w:t>F-5</w:t>
            </w:r>
          </w:p>
        </w:tc>
      </w:tr>
      <w:tr>
        <w:trPr>
          <w:trHeight w:val="196"/>
        </w:trPr>
        <w:tc>
          <w:tcPr>
            <w:tcW w:w="77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Consolidated Statements of Stockholders’ Equity for the Years Ended December 31, 2021, 2020, and 2019</w:t>
              </w:r>
            </w:hyperlink>
          </w:p>
        </w:tc>
        <w:tc>
          <w:tcPr>
            <w:tcW w:w="19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jc w:val="center"/>
              <w:ind w:right="480"/>
              <w:spacing w:after="0" w:line="196" w:lineRule="exact"/>
              <w:rPr>
                <w:sz w:val="20"/>
                <w:szCs w:val="20"/>
                <w:color w:val="auto"/>
              </w:rPr>
            </w:pPr>
            <w:r>
              <w:rPr>
                <w:rFonts w:ascii="Arial" w:cs="Arial" w:eastAsia="Arial" w:hAnsi="Arial"/>
                <w:sz w:val="18"/>
                <w:szCs w:val="18"/>
                <w:color w:val="auto"/>
                <w:w w:val="96"/>
              </w:rPr>
              <w:t>F-6</w:t>
            </w:r>
          </w:p>
        </w:tc>
      </w:tr>
      <w:tr>
        <w:trPr>
          <w:trHeight w:val="196"/>
        </w:trPr>
        <w:tc>
          <w:tcPr>
            <w:tcW w:w="70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Consolidated Statements of Cash Flows for the Years Ended December 31, 2021, 2020, and 2019</w:t>
              </w:r>
            </w:hyperlink>
          </w:p>
        </w:tc>
        <w:tc>
          <w:tcPr>
            <w:tcW w:w="25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jc w:val="center"/>
              <w:ind w:right="480"/>
              <w:spacing w:after="0" w:line="196" w:lineRule="exact"/>
              <w:rPr>
                <w:sz w:val="20"/>
                <w:szCs w:val="20"/>
                <w:color w:val="auto"/>
              </w:rPr>
            </w:pPr>
            <w:r>
              <w:rPr>
                <w:rFonts w:ascii="Arial" w:cs="Arial" w:eastAsia="Arial" w:hAnsi="Arial"/>
                <w:sz w:val="18"/>
                <w:szCs w:val="18"/>
                <w:color w:val="auto"/>
                <w:w w:val="96"/>
              </w:rPr>
              <w:t>F-8</w:t>
            </w:r>
          </w:p>
        </w:tc>
      </w:tr>
      <w:tr>
        <w:trPr>
          <w:trHeight w:val="196"/>
        </w:trPr>
        <w:tc>
          <w:tcPr>
            <w:tcW w:w="9600" w:type="dxa"/>
            <w:vAlign w:val="bottom"/>
            <w:gridSpan w:val="7"/>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Notes to Consolidated Financial Statements</w:t>
              </w:r>
            </w:hyperlink>
          </w:p>
        </w:tc>
        <w:tc>
          <w:tcPr>
            <w:tcW w:w="1640" w:type="dxa"/>
            <w:vAlign w:val="bottom"/>
            <w:gridSpan w:val="5"/>
          </w:tcPr>
          <w:p>
            <w:pPr>
              <w:jc w:val="center"/>
              <w:ind w:left="210"/>
              <w:spacing w:after="0" w:line="196" w:lineRule="exact"/>
              <w:rPr>
                <w:sz w:val="20"/>
                <w:szCs w:val="20"/>
                <w:color w:val="auto"/>
              </w:rPr>
            </w:pPr>
            <w:r>
              <w:rPr>
                <w:rFonts w:ascii="Arial" w:cs="Arial" w:eastAsia="Arial" w:hAnsi="Arial"/>
                <w:sz w:val="18"/>
                <w:szCs w:val="18"/>
                <w:color w:val="auto"/>
                <w:w w:val="92"/>
              </w:rPr>
              <w:t>F-9 to F-42</w:t>
            </w:r>
          </w:p>
        </w:tc>
      </w:tr>
      <w:tr>
        <w:trPr>
          <w:trHeight w:val="426"/>
        </w:trPr>
        <w:tc>
          <w:tcPr>
            <w:tcW w:w="316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4940" w:type="dxa"/>
            <w:vAlign w:val="bottom"/>
            <w:gridSpan w:val="5"/>
          </w:tcPr>
          <w:p>
            <w:pPr>
              <w:ind w:left="840"/>
              <w:spacing w:after="0"/>
              <w:rPr>
                <w:sz w:val="20"/>
                <w:szCs w:val="20"/>
                <w:color w:val="auto"/>
              </w:rPr>
            </w:pPr>
            <w:r>
              <w:rPr>
                <w:rFonts w:ascii="Arial" w:cs="Arial" w:eastAsia="Arial" w:hAnsi="Arial"/>
                <w:sz w:val="18"/>
                <w:szCs w:val="18"/>
                <w:color w:val="auto"/>
              </w:rPr>
              <w:t>F-1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0"/>
        </w:trPr>
        <w:tc>
          <w:tcPr>
            <w:tcW w:w="316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680" w:type="dxa"/>
            <w:vAlign w:val="bottom"/>
            <w:tcBorders>
              <w:bottom w:val="single" w:sz="8" w:color="C0C0C0"/>
            </w:tcBorders>
          </w:tcPr>
          <w:p>
            <w:pPr>
              <w:spacing w:after="0"/>
              <w:rPr>
                <w:sz w:val="21"/>
                <w:szCs w:val="21"/>
                <w:color w:val="auto"/>
              </w:rPr>
            </w:pPr>
          </w:p>
        </w:tc>
        <w:tc>
          <w:tcPr>
            <w:tcW w:w="132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5" w:right="339" w:bottom="1440" w:gutter="0" w:footer="0" w:header="0"/>
        </w:sectPr>
      </w:pPr>
    </w:p>
    <w:bookmarkStart w:id="109" w:name="page110"/>
    <w:bookmarkEnd w:id="109"/>
    <w:p>
      <w:pPr>
        <w:ind w:left="31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Regeneron Pharmaceuticals, Inc. and its subsidiaries (the “Company”) as of December 31, 2021 and 2020, and the related consolidated statements of operations and comprehensive income,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(COSO).</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10" w:name="page111"/>
    <w:bookmarkEnd w:id="110"/>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Other Operating Income related to Research and Development Up-front and Milestone Payments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described in Note 1 to the consolidated financial statements, other operating income related to collaboration arrangements where the Company satisfies obligations during the development phase over time is typically recognized using an input method on the basis of research and development costs incurred relative to the total expected costs which determines the extent of progress towards completion of the obligation. Other operating income for non-refundable up-front payments and development milestones for which management used an input method, was $42.5 million for the year ended December 31, 2021. As of December 31, 2021, $322.5 million was included in other liabilities representing the amount of previously deferred non-refundable up-front and development milestones expected to be recognized in other operating income over time. Management has disclosed that there is variability in the scope of activities and length of time necessary to develop a drug product, potential delays in development programs, changes to development plans and budgets as programs progress, and uncertainty in the ultimate requirements to obtain governmental approval for commercialization related to these estimates.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the accounting for other operating income related to research and development up-front and milestone payments is a critical audit matter are the significant judgment by management when determining the estimate of total expected research and development costs to complete the obligation, which in turn led to a high degree of auditor judgment, subjectivity and effort in performing procedures and evaluating evidence to assess the reasonableness of the estimates of the costs to complete.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accounting for other operating income related to research and development up-front and milestone payments, including controls over the determination of the estimate of total expected research and development costs to complete the obligation. These procedures also included, among others, evaluating and testing management’s process for determining the estimate of total expected research and development costs at completion for a sample of contracts, which included evaluating the reasonableness of actual costs incurred and estimated costs to complete. Evaluating the reasonableness of estimated costs to complete involved assessing management’s ability to reasonably estimate costs to complete the obligation by (i) obtaining supporting evidence for expected development activities; (ii) evaluating the identification of circumstances that may warrant a modification to estimated costs to complete; and (iii) agreeing estimates of total budgeted costs to contracts or other agreements with collaboration partners.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Marketable securities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firstLine="180"/>
        <w:spacing w:after="0" w:line="292" w:lineRule="auto"/>
        <w:rPr>
          <w:sz w:val="20"/>
          <w:szCs w:val="20"/>
          <w:color w:val="auto"/>
        </w:rPr>
      </w:pPr>
      <w:r>
        <w:rPr>
          <w:rFonts w:ascii="Arial" w:cs="Arial" w:eastAsia="Arial" w:hAnsi="Arial"/>
          <w:sz w:val="18"/>
          <w:szCs w:val="18"/>
          <w:color w:val="auto"/>
        </w:rPr>
        <w:t>Prepaid expenses and other current assets Total current assets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Marketable securities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tax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noncurrent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38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860"/>
        <w:spacing w:after="0"/>
        <w:rPr>
          <w:sz w:val="20"/>
          <w:szCs w:val="20"/>
          <w:color w:val="auto"/>
        </w:rPr>
      </w:pPr>
      <w:r>
        <w:rPr>
          <w:rFonts w:ascii="Arial" w:cs="Arial" w:eastAsia="Arial" w:hAnsi="Arial"/>
          <w:sz w:val="18"/>
          <w:szCs w:val="18"/>
          <w:b w:val="1"/>
          <w:bCs w:val="1"/>
          <w:i w:val="1"/>
          <w:iCs w:val="1"/>
          <w:color w:val="auto"/>
        </w:rPr>
        <w:t>(In millions, except share data)</w:t>
      </w:r>
    </w:p>
    <w:p>
      <w:pPr>
        <w:spacing w:after="0" w:line="20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1520" w:type="dxa"/>
        <w:tblCellMar>
          <w:top w:w="0" w:type="dxa"/>
          <w:left w:w="0" w:type="dxa"/>
          <w:bottom w:w="0" w:type="dxa"/>
          <w:right w:w="0" w:type="dxa"/>
        </w:tblCellMar>
      </w:tblPr>
      <w:tr>
        <w:trPr>
          <w:trHeight w:val="223"/>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2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3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2,885.6</w:t>
            </w:r>
          </w:p>
        </w:tc>
        <w:tc>
          <w:tcPr>
            <w:tcW w:w="3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2,193.7</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2,809.1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1,393.3</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6,036.5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4,114.7</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1,951.3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1,916.6</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332.4</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4"/>
        </w:trPr>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14,014.9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9,779.1</w:t>
            </w:r>
          </w:p>
        </w:tc>
        <w:tc>
          <w:tcPr>
            <w:tcW w:w="0" w:type="dxa"/>
            <w:vAlign w:val="bottom"/>
          </w:tcPr>
          <w:p>
            <w:pPr>
              <w:spacing w:after="0"/>
              <w:rPr>
                <w:sz w:val="1"/>
                <w:szCs w:val="1"/>
                <w:color w:val="auto"/>
              </w:rPr>
            </w:pPr>
          </w:p>
        </w:tc>
      </w:tr>
      <w:tr>
        <w:trPr>
          <w:trHeight w:val="403"/>
        </w:trPr>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6,838.0</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3,482.2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3,221.6</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876.9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222.8</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50"/>
        </w:trPr>
        <w:tc>
          <w:tcPr>
            <w:tcW w:w="3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25,434.8</w:t>
            </w:r>
          </w:p>
        </w:tc>
        <w:tc>
          <w:tcPr>
            <w:tcW w:w="3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-2005330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-1731010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-1456690</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-1182370</wp:posOffset>
            </wp:positionV>
            <wp:extent cx="71323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-753745</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-479425</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-196850</wp:posOffset>
            </wp:positionV>
            <wp:extent cx="713232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180" w:space="680"/>
            <w:col w:w="7380"/>
          </w:cols>
          <w:pgMar w:left="320" w:top="405" w:right="339" w:bottom="1440" w:gutter="0" w:footer="0" w:header="0"/>
        </w:sectPr>
      </w:pPr>
    </w:p>
    <w:tbl>
      <w:tblPr>
        <w:tblLayout w:type="fixed"/>
        <w:tblInd w:w="0" w:type="dxa"/>
        <w:tblCellMar>
          <w:top w:w="0" w:type="dxa"/>
          <w:left w:w="0" w:type="dxa"/>
          <w:bottom w:w="0" w:type="dxa"/>
          <w:right w:w="0" w:type="dxa"/>
        </w:tblCellMar>
      </w:tblPr>
      <w:tr>
        <w:trPr>
          <w:trHeight w:val="234"/>
        </w:trPr>
        <w:tc>
          <w:tcPr>
            <w:tcW w:w="8220" w:type="dxa"/>
            <w:vAlign w:val="bottom"/>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8220" w:type="dxa"/>
            <w:vAlign w:val="bottom"/>
            <w:shd w:val="clear" w:color="auto" w:fill="CDEAFA"/>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DEAFA"/>
          </w:tcPr>
          <w:p>
            <w:pPr>
              <w:spacing w:after="0"/>
              <w:rPr>
                <w:sz w:val="18"/>
                <w:szCs w:val="18"/>
                <w:color w:val="auto"/>
              </w:rPr>
            </w:pPr>
          </w:p>
        </w:tc>
        <w:tc>
          <w:tcPr>
            <w:tcW w:w="100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1000" w:type="dxa"/>
            <w:vAlign w:val="bottom"/>
            <w:shd w:val="clear" w:color="auto" w:fill="CDEAFA"/>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564.0</w:t>
            </w:r>
          </w:p>
        </w:tc>
        <w:tc>
          <w:tcPr>
            <w:tcW w:w="3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475.5</w:t>
            </w:r>
          </w:p>
        </w:tc>
      </w:tr>
      <w:tr>
        <w:trPr>
          <w:trHeight w:val="216"/>
        </w:trPr>
        <w:tc>
          <w:tcPr>
            <w:tcW w:w="82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DEAFA"/>
          </w:tcPr>
          <w:p>
            <w:pPr>
              <w:spacing w:after="0"/>
              <w:rPr>
                <w:sz w:val="18"/>
                <w:szCs w:val="18"/>
                <w:color w:val="auto"/>
              </w:rPr>
            </w:pPr>
          </w:p>
        </w:tc>
        <w:tc>
          <w:tcPr>
            <w:tcW w:w="10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2,206.8</w:t>
            </w:r>
          </w:p>
        </w:tc>
        <w:tc>
          <w:tcPr>
            <w:tcW w:w="32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10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1,644.2</w:t>
            </w: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Finance lease liabilities</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719.7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shd w:val="clear" w:color="auto" w:fill="CDEAFA"/>
          </w:tcPr>
          <w:p>
            <w:pPr>
              <w:spacing w:after="0"/>
              <w:rPr>
                <w:sz w:val="19"/>
                <w:szCs w:val="19"/>
                <w:color w:val="auto"/>
              </w:rPr>
            </w:pPr>
          </w:p>
        </w:tc>
        <w:tc>
          <w:tcPr>
            <w:tcW w:w="10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442.0</w:t>
            </w:r>
          </w:p>
        </w:tc>
        <w:tc>
          <w:tcPr>
            <w:tcW w:w="320" w:type="dxa"/>
            <w:vAlign w:val="bottom"/>
            <w:shd w:val="clear" w:color="auto" w:fill="CDEAFA"/>
          </w:tcPr>
          <w:p>
            <w:pPr>
              <w:spacing w:after="0"/>
              <w:rPr>
                <w:sz w:val="19"/>
                <w:szCs w:val="19"/>
                <w:color w:val="auto"/>
              </w:rPr>
            </w:pPr>
          </w:p>
        </w:tc>
        <w:tc>
          <w:tcPr>
            <w:tcW w:w="340" w:type="dxa"/>
            <w:vAlign w:val="bottom"/>
            <w:tcBorders>
              <w:bottom w:val="single" w:sz="8" w:color="auto"/>
            </w:tcBorders>
            <w:shd w:val="clear" w:color="auto" w:fill="CDEAFA"/>
          </w:tcPr>
          <w:p>
            <w:pPr>
              <w:spacing w:after="0"/>
              <w:rPr>
                <w:sz w:val="19"/>
                <w:szCs w:val="19"/>
                <w:color w:val="auto"/>
              </w:rPr>
            </w:pPr>
          </w:p>
        </w:tc>
        <w:tc>
          <w:tcPr>
            <w:tcW w:w="10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577.7</w:t>
            </w:r>
          </w:p>
        </w:tc>
      </w:tr>
      <w:tr>
        <w:trPr>
          <w:trHeight w:val="224"/>
        </w:trPr>
        <w:tc>
          <w:tcPr>
            <w:tcW w:w="82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3,932.5</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2,697.4</w:t>
            </w:r>
          </w:p>
        </w:tc>
      </w:tr>
      <w:tr>
        <w:trPr>
          <w:trHeight w:val="202"/>
        </w:trPr>
        <w:tc>
          <w:tcPr>
            <w:tcW w:w="8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82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DEAFA"/>
          </w:tcPr>
          <w:p>
            <w:pPr>
              <w:spacing w:after="0"/>
              <w:rPr>
                <w:sz w:val="18"/>
                <w:szCs w:val="18"/>
                <w:color w:val="auto"/>
              </w:rPr>
            </w:pPr>
          </w:p>
        </w:tc>
        <w:tc>
          <w:tcPr>
            <w:tcW w:w="10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1,980.0</w:t>
            </w:r>
          </w:p>
        </w:tc>
        <w:tc>
          <w:tcPr>
            <w:tcW w:w="32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10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1,978.5</w:t>
            </w: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Finance lease liabilities</w:t>
            </w:r>
          </w:p>
        </w:tc>
        <w:tc>
          <w:tcPr>
            <w:tcW w:w="36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717.2</w:t>
            </w:r>
          </w:p>
        </w:tc>
      </w:tr>
      <w:tr>
        <w:trPr>
          <w:trHeight w:val="216"/>
        </w:trPr>
        <w:tc>
          <w:tcPr>
            <w:tcW w:w="82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DEAFA"/>
          </w:tcPr>
          <w:p>
            <w:pPr>
              <w:spacing w:after="0"/>
              <w:rPr>
                <w:sz w:val="18"/>
                <w:szCs w:val="18"/>
                <w:color w:val="auto"/>
              </w:rPr>
            </w:pPr>
          </w:p>
        </w:tc>
        <w:tc>
          <w:tcPr>
            <w:tcW w:w="10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73.3</w:t>
            </w:r>
          </w:p>
        </w:tc>
        <w:tc>
          <w:tcPr>
            <w:tcW w:w="32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10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57.8</w:t>
            </w:r>
          </w:p>
        </w:tc>
      </w:tr>
      <w:tr>
        <w:trPr>
          <w:trHeight w:val="229"/>
        </w:trPr>
        <w:tc>
          <w:tcPr>
            <w:tcW w:w="8220" w:type="dxa"/>
            <w:vAlign w:val="bottom"/>
            <w:tcBorders>
              <w:bottom w:val="single" w:sz="8" w:color="CDEAFA"/>
            </w:tcBorders>
          </w:tcPr>
          <w:p>
            <w:pPr>
              <w:ind w:left="18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680.2</w:t>
            </w:r>
          </w:p>
        </w:tc>
        <w:tc>
          <w:tcPr>
            <w:tcW w:w="320" w:type="dxa"/>
            <w:vAlign w:val="bottom"/>
            <w:tcBorders>
              <w:bottom w:val="single" w:sz="8" w:color="CDEAFA"/>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687.1</w:t>
            </w:r>
          </w:p>
        </w:tc>
      </w:tr>
      <w:tr>
        <w:trPr>
          <w:trHeight w:val="223"/>
        </w:trPr>
        <w:tc>
          <w:tcPr>
            <w:tcW w:w="8220" w:type="dxa"/>
            <w:vAlign w:val="bottom"/>
            <w:shd w:val="clear" w:color="auto" w:fill="CDEAFA"/>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DEAFA"/>
          </w:tcPr>
          <w:p>
            <w:pPr>
              <w:spacing w:after="0"/>
              <w:rPr>
                <w:sz w:val="19"/>
                <w:szCs w:val="19"/>
                <w:color w:val="auto"/>
              </w:rPr>
            </w:pPr>
          </w:p>
        </w:tc>
        <w:tc>
          <w:tcPr>
            <w:tcW w:w="10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6,666.0</w:t>
            </w:r>
          </w:p>
        </w:tc>
        <w:tc>
          <w:tcPr>
            <w:tcW w:w="320" w:type="dxa"/>
            <w:vAlign w:val="bottom"/>
            <w:shd w:val="clear" w:color="auto" w:fill="CDEAFA"/>
          </w:tcPr>
          <w:p>
            <w:pPr>
              <w:spacing w:after="0"/>
              <w:rPr>
                <w:sz w:val="19"/>
                <w:szCs w:val="19"/>
                <w:color w:val="auto"/>
              </w:rPr>
            </w:pPr>
          </w:p>
        </w:tc>
        <w:tc>
          <w:tcPr>
            <w:tcW w:w="340" w:type="dxa"/>
            <w:vAlign w:val="bottom"/>
            <w:tcBorders>
              <w:bottom w:val="single" w:sz="8" w:color="auto"/>
            </w:tcBorders>
            <w:shd w:val="clear" w:color="auto" w:fill="CDEAFA"/>
          </w:tcPr>
          <w:p>
            <w:pPr>
              <w:spacing w:after="0"/>
              <w:rPr>
                <w:sz w:val="19"/>
                <w:szCs w:val="19"/>
                <w:color w:val="auto"/>
              </w:rPr>
            </w:pPr>
          </w:p>
        </w:tc>
        <w:tc>
          <w:tcPr>
            <w:tcW w:w="10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6,138.0</w:t>
            </w:r>
          </w:p>
        </w:tc>
      </w:tr>
      <w:tr>
        <w:trPr>
          <w:trHeight w:val="425"/>
        </w:trPr>
        <w:tc>
          <w:tcPr>
            <w:tcW w:w="82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8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20" w:type="dxa"/>
            <w:vAlign w:val="bottom"/>
            <w:shd w:val="clear" w:color="auto" w:fill="CDEAFA"/>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DEAFA"/>
          </w:tcPr>
          <w:p>
            <w:pPr>
              <w:spacing w:after="0"/>
              <w:rPr>
                <w:sz w:val="18"/>
                <w:szCs w:val="18"/>
                <w:color w:val="auto"/>
              </w:rPr>
            </w:pPr>
          </w:p>
        </w:tc>
        <w:tc>
          <w:tcPr>
            <w:tcW w:w="100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1000" w:type="dxa"/>
            <w:vAlign w:val="bottom"/>
            <w:shd w:val="clear" w:color="auto" w:fill="CDEAFA"/>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36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220" w:type="dxa"/>
            <w:vAlign w:val="bottom"/>
            <w:shd w:val="clear" w:color="auto" w:fill="CDEAFA"/>
          </w:tcPr>
          <w:p>
            <w:pPr>
              <w:ind w:left="180"/>
              <w:spacing w:after="0" w:line="201" w:lineRule="exact"/>
              <w:rPr>
                <w:sz w:val="20"/>
                <w:szCs w:val="20"/>
                <w:color w:val="auto"/>
              </w:rPr>
            </w:pPr>
            <w:r>
              <w:rPr>
                <w:rFonts w:ascii="Arial" w:cs="Arial" w:eastAsia="Arial" w:hAnsi="Arial"/>
                <w:sz w:val="18"/>
                <w:szCs w:val="18"/>
                <w:color w:val="auto"/>
                <w:w w:val="93"/>
              </w:rPr>
              <w:t>Class A Stock, convertible, $.001 par value; 40,000,000 shares authorized; shares issued and outstanding -</w:t>
            </w:r>
          </w:p>
        </w:tc>
        <w:tc>
          <w:tcPr>
            <w:tcW w:w="360" w:type="dxa"/>
            <w:vAlign w:val="bottom"/>
            <w:shd w:val="clear" w:color="auto" w:fill="CDEAFA"/>
          </w:tcPr>
          <w:p>
            <w:pPr>
              <w:spacing w:after="0"/>
              <w:rPr>
                <w:sz w:val="17"/>
                <w:szCs w:val="17"/>
                <w:color w:val="auto"/>
              </w:rPr>
            </w:pPr>
          </w:p>
        </w:tc>
        <w:tc>
          <w:tcPr>
            <w:tcW w:w="1000" w:type="dxa"/>
            <w:vAlign w:val="bottom"/>
            <w:shd w:val="clear" w:color="auto" w:fill="CDEAFA"/>
          </w:tcPr>
          <w:p>
            <w:pPr>
              <w:spacing w:after="0"/>
              <w:rPr>
                <w:sz w:val="17"/>
                <w:szCs w:val="17"/>
                <w:color w:val="auto"/>
              </w:rPr>
            </w:pPr>
          </w:p>
        </w:tc>
        <w:tc>
          <w:tcPr>
            <w:tcW w:w="320" w:type="dxa"/>
            <w:vAlign w:val="bottom"/>
            <w:shd w:val="clear" w:color="auto" w:fill="CDEAFA"/>
          </w:tcPr>
          <w:p>
            <w:pPr>
              <w:spacing w:after="0"/>
              <w:rPr>
                <w:sz w:val="17"/>
                <w:szCs w:val="17"/>
                <w:color w:val="auto"/>
              </w:rPr>
            </w:pPr>
          </w:p>
        </w:tc>
        <w:tc>
          <w:tcPr>
            <w:tcW w:w="340" w:type="dxa"/>
            <w:vAlign w:val="bottom"/>
            <w:shd w:val="clear" w:color="auto" w:fill="CDEAFA"/>
          </w:tcPr>
          <w:p>
            <w:pPr>
              <w:spacing w:after="0"/>
              <w:rPr>
                <w:sz w:val="17"/>
                <w:szCs w:val="17"/>
                <w:color w:val="auto"/>
              </w:rPr>
            </w:pPr>
          </w:p>
        </w:tc>
        <w:tc>
          <w:tcPr>
            <w:tcW w:w="1000" w:type="dxa"/>
            <w:vAlign w:val="bottom"/>
            <w:shd w:val="clear" w:color="auto" w:fill="CDEAFA"/>
          </w:tcPr>
          <w:p>
            <w:pPr>
              <w:spacing w:after="0"/>
              <w:rPr>
                <w:sz w:val="17"/>
                <w:szCs w:val="17"/>
                <w:color w:val="auto"/>
              </w:rPr>
            </w:pPr>
          </w:p>
        </w:tc>
      </w:tr>
      <w:tr>
        <w:trPr>
          <w:trHeight w:val="230"/>
        </w:trPr>
        <w:tc>
          <w:tcPr>
            <w:tcW w:w="8220" w:type="dxa"/>
            <w:vAlign w:val="bottom"/>
            <w:shd w:val="clear" w:color="auto" w:fill="CDEAFA"/>
          </w:tcPr>
          <w:p>
            <w:pPr>
              <w:ind w:left="360"/>
              <w:spacing w:after="0"/>
              <w:rPr>
                <w:sz w:val="20"/>
                <w:szCs w:val="20"/>
                <w:color w:val="auto"/>
              </w:rPr>
            </w:pPr>
            <w:r>
              <w:rPr>
                <w:rFonts w:ascii="Arial" w:cs="Arial" w:eastAsia="Arial" w:hAnsi="Arial"/>
                <w:sz w:val="18"/>
                <w:szCs w:val="18"/>
                <w:color w:val="auto"/>
              </w:rPr>
              <w:t>1,823,283 in 2021 and 1,848,970 in 2020</w:t>
            </w:r>
          </w:p>
        </w:tc>
        <w:tc>
          <w:tcPr>
            <w:tcW w:w="360" w:type="dxa"/>
            <w:vAlign w:val="bottom"/>
            <w:shd w:val="clear" w:color="auto" w:fill="CDEAFA"/>
          </w:tcPr>
          <w:p>
            <w:pPr>
              <w:spacing w:after="0"/>
              <w:rPr>
                <w:sz w:val="20"/>
                <w:szCs w:val="20"/>
                <w:color w:val="auto"/>
              </w:rPr>
            </w:pPr>
          </w:p>
        </w:tc>
        <w:tc>
          <w:tcPr>
            <w:tcW w:w="1320" w:type="dxa"/>
            <w:vAlign w:val="bottom"/>
            <w:gridSpan w:val="2"/>
            <w:shd w:val="clear" w:color="auto" w:fill="CDEAFA"/>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DEAFA"/>
          </w:tcPr>
          <w:p>
            <w:pPr>
              <w:spacing w:after="0"/>
              <w:rPr>
                <w:sz w:val="20"/>
                <w:szCs w:val="20"/>
                <w:color w:val="auto"/>
              </w:rPr>
            </w:pPr>
          </w:p>
        </w:tc>
        <w:tc>
          <w:tcPr>
            <w:tcW w:w="10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22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$.001 par value; 320,000,000 shares authorized; shares issued - 126,244,444 in 2021 and</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121,533,460 in 2020</w:t>
            </w:r>
          </w:p>
        </w:tc>
        <w:tc>
          <w:tcPr>
            <w:tcW w:w="3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16"/>
        </w:trPr>
        <w:tc>
          <w:tcPr>
            <w:tcW w:w="82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DEAFA"/>
          </w:tcPr>
          <w:p>
            <w:pPr>
              <w:spacing w:after="0"/>
              <w:rPr>
                <w:sz w:val="18"/>
                <w:szCs w:val="18"/>
                <w:color w:val="auto"/>
              </w:rPr>
            </w:pPr>
          </w:p>
        </w:tc>
        <w:tc>
          <w:tcPr>
            <w:tcW w:w="10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8,087.5</w:t>
            </w:r>
          </w:p>
        </w:tc>
        <w:tc>
          <w:tcPr>
            <w:tcW w:w="32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10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6,716.2</w:t>
            </w: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18,968.3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10,893.0</w:t>
            </w:r>
          </w:p>
        </w:tc>
      </w:tr>
      <w:tr>
        <w:trPr>
          <w:trHeight w:val="216"/>
        </w:trPr>
        <w:tc>
          <w:tcPr>
            <w:tcW w:w="82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360" w:type="dxa"/>
            <w:vAlign w:val="bottom"/>
            <w:shd w:val="clear" w:color="auto" w:fill="CDEAFA"/>
          </w:tcPr>
          <w:p>
            <w:pPr>
              <w:spacing w:after="0"/>
              <w:rPr>
                <w:sz w:val="18"/>
                <w:szCs w:val="18"/>
                <w:color w:val="auto"/>
              </w:rPr>
            </w:pPr>
          </w:p>
        </w:tc>
        <w:tc>
          <w:tcPr>
            <w:tcW w:w="10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10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29.3</w:t>
            </w:r>
          </w:p>
        </w:tc>
      </w:tr>
      <w:tr>
        <w:trPr>
          <w:trHeight w:val="230"/>
        </w:trPr>
        <w:tc>
          <w:tcPr>
            <w:tcW w:w="8220" w:type="dxa"/>
            <w:vAlign w:val="bottom"/>
            <w:tcBorders>
              <w:bottom w:val="single" w:sz="8" w:color="CDEAFA"/>
            </w:tcBorders>
          </w:tcPr>
          <w:p>
            <w:pPr>
              <w:ind w:left="180"/>
              <w:spacing w:after="0"/>
              <w:rPr>
                <w:sz w:val="20"/>
                <w:szCs w:val="20"/>
                <w:color w:val="auto"/>
              </w:rPr>
            </w:pPr>
            <w:r>
              <w:rPr>
                <w:rFonts w:ascii="Arial" w:cs="Arial" w:eastAsia="Arial" w:hAnsi="Arial"/>
                <w:sz w:val="18"/>
                <w:szCs w:val="18"/>
                <w:color w:val="auto"/>
              </w:rPr>
              <w:t>Treasury Stock, at cost; 19,392,961 shares in 2021 and 16,431,520 shares in 2020</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(8,260.9)</w:t>
            </w:r>
          </w:p>
        </w:tc>
        <w:tc>
          <w:tcPr>
            <w:tcW w:w="320" w:type="dxa"/>
            <w:vAlign w:val="bottom"/>
            <w:tcBorders>
              <w:bottom w:val="single" w:sz="8" w:color="CDEAFA"/>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(6,613.3)</w:t>
            </w:r>
          </w:p>
        </w:tc>
      </w:tr>
      <w:tr>
        <w:trPr>
          <w:trHeight w:val="223"/>
        </w:trPr>
        <w:tc>
          <w:tcPr>
            <w:tcW w:w="8220" w:type="dxa"/>
            <w:vAlign w:val="bottom"/>
            <w:shd w:val="clear" w:color="auto" w:fill="CDEAFA"/>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DEAFA"/>
          </w:tcPr>
          <w:p>
            <w:pPr>
              <w:spacing w:after="0"/>
              <w:rPr>
                <w:sz w:val="19"/>
                <w:szCs w:val="19"/>
                <w:color w:val="auto"/>
              </w:rPr>
            </w:pPr>
          </w:p>
        </w:tc>
        <w:tc>
          <w:tcPr>
            <w:tcW w:w="10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18,768.8</w:t>
            </w:r>
          </w:p>
        </w:tc>
        <w:tc>
          <w:tcPr>
            <w:tcW w:w="320" w:type="dxa"/>
            <w:vAlign w:val="bottom"/>
            <w:shd w:val="clear" w:color="auto" w:fill="CDEAFA"/>
          </w:tcPr>
          <w:p>
            <w:pPr>
              <w:spacing w:after="0"/>
              <w:rPr>
                <w:sz w:val="19"/>
                <w:szCs w:val="19"/>
                <w:color w:val="auto"/>
              </w:rPr>
            </w:pPr>
          </w:p>
        </w:tc>
        <w:tc>
          <w:tcPr>
            <w:tcW w:w="340" w:type="dxa"/>
            <w:vAlign w:val="bottom"/>
            <w:tcBorders>
              <w:bottom w:val="single" w:sz="8" w:color="auto"/>
            </w:tcBorders>
            <w:shd w:val="clear" w:color="auto" w:fill="CDEAFA"/>
          </w:tcPr>
          <w:p>
            <w:pPr>
              <w:spacing w:after="0"/>
              <w:rPr>
                <w:sz w:val="19"/>
                <w:szCs w:val="19"/>
                <w:color w:val="auto"/>
              </w:rPr>
            </w:pPr>
          </w:p>
        </w:tc>
        <w:tc>
          <w:tcPr>
            <w:tcW w:w="100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11,025.3</w:t>
            </w:r>
          </w:p>
        </w:tc>
      </w:tr>
      <w:tr>
        <w:trPr>
          <w:trHeight w:val="250"/>
        </w:trPr>
        <w:tc>
          <w:tcPr>
            <w:tcW w:w="82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25,434.8</w:t>
            </w:r>
          </w:p>
        </w:tc>
        <w:tc>
          <w:tcPr>
            <w:tcW w:w="3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17,163.3</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5120" w:type="dxa"/>
            <w:vAlign w:val="bottom"/>
            <w:tcBorders>
              <w:bottom w:val="single" w:sz="8" w:color="CDEAFA"/>
            </w:tcBorders>
          </w:tcPr>
          <w:p>
            <w:pPr>
              <w:spacing w:after="0"/>
              <w:rPr>
                <w:sz w:val="19"/>
                <w:szCs w:val="19"/>
                <w:color w:val="auto"/>
              </w:rPr>
            </w:pPr>
          </w:p>
        </w:tc>
        <w:tc>
          <w:tcPr>
            <w:tcW w:w="140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5120" w:type="dxa"/>
            <w:vAlign w:val="bottom"/>
            <w:shd w:val="clear" w:color="auto" w:fill="CDEAFA"/>
          </w:tcPr>
          <w:p>
            <w:pPr>
              <w:spacing w:after="0"/>
              <w:rPr>
                <w:sz w:val="20"/>
                <w:szCs w:val="20"/>
                <w:color w:val="auto"/>
              </w:rPr>
            </w:pPr>
            <w:r>
              <w:rPr>
                <w:rFonts w:ascii="Arial" w:cs="Arial" w:eastAsia="Arial" w:hAnsi="Arial"/>
                <w:sz w:val="18"/>
                <w:szCs w:val="18"/>
                <w:b w:val="1"/>
                <w:bCs w:val="1"/>
                <w:color w:val="auto"/>
              </w:rPr>
              <w:t>Statements of Operations</w:t>
            </w:r>
          </w:p>
        </w:tc>
        <w:tc>
          <w:tcPr>
            <w:tcW w:w="140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1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Net product sales</w:t>
            </w:r>
          </w:p>
        </w:tc>
        <w:tc>
          <w:tcPr>
            <w:tcW w:w="170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12,117.2</w:t>
            </w:r>
          </w:p>
        </w:tc>
        <w:tc>
          <w:tcPr>
            <w:tcW w:w="680" w:type="dxa"/>
            <w:vAlign w:val="bottom"/>
            <w:gridSpan w:val="3"/>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5,567.6</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4,834.4</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Sanofi collaboration revenue</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1,902.2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1,186.4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403.6</w:t>
            </w:r>
          </w:p>
        </w:tc>
      </w:tr>
      <w:tr>
        <w:trPr>
          <w:trHeight w:val="216"/>
        </w:trPr>
        <w:tc>
          <w:tcPr>
            <w:tcW w:w="51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Other collaboration revenue</w:t>
            </w:r>
          </w:p>
        </w:tc>
        <w:tc>
          <w:tcPr>
            <w:tcW w:w="140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1,771.1</w:t>
            </w: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1,186.1</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1,145.6</w:t>
            </w:r>
          </w:p>
        </w:tc>
      </w:tr>
      <w:tr>
        <w:trPr>
          <w:trHeight w:val="229"/>
        </w:trPr>
        <w:tc>
          <w:tcPr>
            <w:tcW w:w="5120" w:type="dxa"/>
            <w:vAlign w:val="bottom"/>
            <w:tcBorders>
              <w:bottom w:val="single" w:sz="8" w:color="CDEAFA"/>
            </w:tcBorders>
          </w:tcPr>
          <w:p>
            <w:pPr>
              <w:ind w:left="180"/>
              <w:spacing w:after="0"/>
              <w:rPr>
                <w:sz w:val="20"/>
                <w:szCs w:val="20"/>
                <w:color w:val="auto"/>
              </w:rPr>
            </w:pPr>
            <w:r>
              <w:rPr>
                <w:rFonts w:ascii="Arial" w:cs="Arial" w:eastAsia="Arial" w:hAnsi="Arial"/>
                <w:sz w:val="18"/>
                <w:szCs w:val="18"/>
                <w:color w:val="auto"/>
              </w:rPr>
              <w:t>Other revenue</w:t>
            </w:r>
          </w:p>
        </w:tc>
        <w:tc>
          <w:tcPr>
            <w:tcW w:w="140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557.0</w:t>
            </w:r>
          </w:p>
        </w:tc>
        <w:tc>
          <w:tcPr>
            <w:tcW w:w="32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174.0</w:t>
            </w:r>
          </w:p>
        </w:tc>
      </w:tr>
      <w:tr>
        <w:trPr>
          <w:trHeight w:val="223"/>
        </w:trPr>
        <w:tc>
          <w:tcPr>
            <w:tcW w:w="5120" w:type="dxa"/>
            <w:vAlign w:val="bottom"/>
            <w:shd w:val="clear" w:color="auto" w:fill="CDEAFA"/>
          </w:tcPr>
          <w:p>
            <w:pPr>
              <w:spacing w:after="0"/>
              <w:rPr>
                <w:sz w:val="19"/>
                <w:szCs w:val="19"/>
                <w:color w:val="auto"/>
              </w:rPr>
            </w:pPr>
          </w:p>
        </w:tc>
        <w:tc>
          <w:tcPr>
            <w:tcW w:w="140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16,071.7</w:t>
            </w:r>
          </w:p>
        </w:tc>
        <w:tc>
          <w:tcPr>
            <w:tcW w:w="40" w:type="dxa"/>
            <w:vAlign w:val="bottom"/>
            <w:tcBorders>
              <w:bottom w:val="single" w:sz="8" w:color="auto"/>
            </w:tcBorders>
            <w:shd w:val="clear" w:color="auto" w:fill="CDEAFA"/>
          </w:tcPr>
          <w:p>
            <w:pPr>
              <w:spacing w:after="0"/>
              <w:rPr>
                <w:sz w:val="19"/>
                <w:szCs w:val="19"/>
                <w:color w:val="auto"/>
              </w:rPr>
            </w:pPr>
          </w:p>
        </w:tc>
        <w:tc>
          <w:tcPr>
            <w:tcW w:w="34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8,497.1</w:t>
            </w:r>
          </w:p>
        </w:tc>
        <w:tc>
          <w:tcPr>
            <w:tcW w:w="32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6,557.6</w:t>
            </w:r>
          </w:p>
        </w:tc>
      </w:tr>
      <w:tr>
        <w:trPr>
          <w:trHeight w:val="425"/>
        </w:trPr>
        <w:tc>
          <w:tcPr>
            <w:tcW w:w="5120" w:type="dxa"/>
            <w:vAlign w:val="bottom"/>
          </w:tcPr>
          <w:p>
            <w:pPr>
              <w:spacing w:after="0"/>
              <w:rPr>
                <w:sz w:val="20"/>
                <w:szCs w:val="20"/>
                <w:color w:val="auto"/>
              </w:rPr>
            </w:pPr>
            <w:r>
              <w:rPr>
                <w:rFonts w:ascii="Arial" w:cs="Arial" w:eastAsia="Arial" w:hAnsi="Arial"/>
                <w:sz w:val="18"/>
                <w:szCs w:val="18"/>
                <w:color w:val="auto"/>
              </w:rPr>
              <w:t>Expenses:</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51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2,908.1</w:t>
            </w: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2,735.0</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2,450.0</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1,824.9</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1,346.0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1,341.9</w:t>
            </w:r>
          </w:p>
        </w:tc>
      </w:tr>
      <w:tr>
        <w:trPr>
          <w:trHeight w:val="216"/>
        </w:trPr>
        <w:tc>
          <w:tcPr>
            <w:tcW w:w="51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Cost of goods sold</w:t>
            </w:r>
          </w:p>
        </w:tc>
        <w:tc>
          <w:tcPr>
            <w:tcW w:w="140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1,773.1</w:t>
            </w: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491.9</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362.3</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Cost of collaboration and contract manufacturing</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664.4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628.0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402.8</w:t>
            </w:r>
          </w:p>
        </w:tc>
      </w:tr>
      <w:tr>
        <w:trPr>
          <w:trHeight w:val="229"/>
        </w:trPr>
        <w:tc>
          <w:tcPr>
            <w:tcW w:w="51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Other operating (income) expense, net</w:t>
            </w:r>
          </w:p>
        </w:tc>
        <w:tc>
          <w:tcPr>
            <w:tcW w:w="140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(45.6)</w:t>
            </w:r>
          </w:p>
        </w:tc>
        <w:tc>
          <w:tcPr>
            <w:tcW w:w="40" w:type="dxa"/>
            <w:vAlign w:val="bottom"/>
            <w:tcBorders>
              <w:bottom w:val="single" w:sz="8" w:color="auto"/>
            </w:tcBorders>
            <w:shd w:val="clear" w:color="auto" w:fill="CDEAFA"/>
          </w:tcPr>
          <w:p>
            <w:pPr>
              <w:spacing w:after="0"/>
              <w:rPr>
                <w:sz w:val="19"/>
                <w:szCs w:val="19"/>
                <w:color w:val="auto"/>
              </w:rPr>
            </w:pPr>
          </w:p>
        </w:tc>
        <w:tc>
          <w:tcPr>
            <w:tcW w:w="34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(280.4)</w:t>
            </w:r>
          </w:p>
        </w:tc>
        <w:tc>
          <w:tcPr>
            <w:tcW w:w="32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(209.2)</w:t>
            </w:r>
          </w:p>
        </w:tc>
      </w:tr>
      <w:tr>
        <w:trPr>
          <w:trHeight w:val="223"/>
        </w:trPr>
        <w:tc>
          <w:tcPr>
            <w:tcW w:w="5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7,124.9</w:t>
            </w:r>
          </w:p>
        </w:tc>
        <w:tc>
          <w:tcPr>
            <w:tcW w:w="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4,920.5</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4,347.8</w:t>
            </w:r>
          </w:p>
        </w:tc>
      </w:tr>
      <w:tr>
        <w:trPr>
          <w:trHeight w:val="209"/>
        </w:trPr>
        <w:tc>
          <w:tcPr>
            <w:tcW w:w="5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120" w:type="dxa"/>
            <w:vAlign w:val="bottom"/>
            <w:shd w:val="clear" w:color="auto" w:fill="CDEAFA"/>
          </w:tcPr>
          <w:p>
            <w:pPr>
              <w:spacing w:after="0"/>
              <w:rPr>
                <w:sz w:val="20"/>
                <w:szCs w:val="20"/>
                <w:color w:val="auto"/>
              </w:rPr>
            </w:pPr>
            <w:r>
              <w:rPr>
                <w:rFonts w:ascii="Arial" w:cs="Arial" w:eastAsia="Arial" w:hAnsi="Arial"/>
                <w:sz w:val="18"/>
                <w:szCs w:val="18"/>
                <w:color w:val="auto"/>
              </w:rPr>
              <w:t>Income from operations</w:t>
            </w:r>
          </w:p>
        </w:tc>
        <w:tc>
          <w:tcPr>
            <w:tcW w:w="140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8,946.8</w:t>
            </w:r>
          </w:p>
        </w:tc>
        <w:tc>
          <w:tcPr>
            <w:tcW w:w="40" w:type="dxa"/>
            <w:vAlign w:val="bottom"/>
            <w:tcBorders>
              <w:bottom w:val="single" w:sz="8" w:color="auto"/>
            </w:tcBorders>
            <w:shd w:val="clear" w:color="auto" w:fill="CDEAFA"/>
          </w:tcPr>
          <w:p>
            <w:pPr>
              <w:spacing w:after="0"/>
              <w:rPr>
                <w:sz w:val="19"/>
                <w:szCs w:val="19"/>
                <w:color w:val="auto"/>
              </w:rPr>
            </w:pPr>
          </w:p>
        </w:tc>
        <w:tc>
          <w:tcPr>
            <w:tcW w:w="34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3,576.6</w:t>
            </w:r>
          </w:p>
        </w:tc>
        <w:tc>
          <w:tcPr>
            <w:tcW w:w="32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2,209.8</w:t>
            </w:r>
          </w:p>
        </w:tc>
      </w:tr>
    </w:tbl>
    <w:p>
      <w:pPr>
        <w:spacing w:after="0" w:line="200" w:lineRule="exact"/>
        <w:rPr>
          <w:sz w:val="20"/>
          <w:szCs w:val="20"/>
          <w:color w:val="auto"/>
        </w:rPr>
      </w:pPr>
    </w:p>
    <w:p>
      <w:pPr>
        <w:sectPr>
          <w:pgSz w:w="11900" w:h="16838" w:orient="portrait"/>
          <w:cols w:equalWidth="0" w:num="1">
            <w:col w:w="11240"/>
          </w:cols>
          <w:pgMar w:left="320" w:top="40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Income before income taxes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436.3</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290.7</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249.5</w:t>
            </w:r>
          </w:p>
        </w:tc>
      </w:tr>
      <w:tr>
        <w:trPr>
          <w:trHeight w:val="244"/>
        </w:trPr>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379.0</w:t>
            </w:r>
          </w:p>
        </w:tc>
        <w:tc>
          <w:tcPr>
            <w:tcW w:w="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233.8</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219.3</w:t>
            </w:r>
          </w:p>
        </w:tc>
      </w:tr>
      <w:tr>
        <w:trPr>
          <w:trHeight w:val="426"/>
        </w:trPr>
        <w:tc>
          <w:tcPr>
            <w:tcW w:w="4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9,325.8</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3,810.4</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2,429.1</w:t>
            </w:r>
          </w:p>
        </w:tc>
      </w:tr>
      <w:tr>
        <w:trPr>
          <w:trHeight w:val="445"/>
        </w:trPr>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1,250.5</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297.2</w:t>
            </w:r>
          </w:p>
        </w:tc>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313.3</w:t>
            </w:r>
          </w:p>
        </w:tc>
      </w:tr>
      <w:tr>
        <w:trPr>
          <w:trHeight w:val="466"/>
        </w:trPr>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8,075.3</w:t>
            </w:r>
          </w:p>
        </w:tc>
        <w:tc>
          <w:tcPr>
            <w:tcW w:w="340" w:type="dxa"/>
            <w:vAlign w:val="bottom"/>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3,513.2</w:t>
            </w:r>
          </w:p>
        </w:tc>
        <w:tc>
          <w:tcPr>
            <w:tcW w:w="320" w:type="dxa"/>
            <w:vAlign w:val="bottom"/>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2,115.8</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-1336675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-1053465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-479425</wp:posOffset>
            </wp:positionV>
            <wp:extent cx="71323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720"/>
          </w:cols>
          <w:pgMar w:left="320" w:top="405"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shd w:val="clear" w:color="auto" w:fill="CDEAFA"/>
          </w:tcPr>
          <w:p>
            <w:pPr>
              <w:spacing w:after="0"/>
              <w:rPr>
                <w:sz w:val="20"/>
                <w:szCs w:val="20"/>
                <w:color w:val="auto"/>
              </w:rPr>
            </w:pPr>
            <w:r>
              <w:rPr>
                <w:rFonts w:ascii="Arial" w:cs="Arial" w:eastAsia="Arial" w:hAnsi="Arial"/>
                <w:sz w:val="18"/>
                <w:szCs w:val="18"/>
                <w:color w:val="auto"/>
              </w:rPr>
              <w:t>Net income per share - basic</w:t>
            </w:r>
          </w:p>
        </w:tc>
        <w:tc>
          <w:tcPr>
            <w:tcW w:w="198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76.40</w:t>
            </w:r>
          </w:p>
        </w:tc>
        <w:tc>
          <w:tcPr>
            <w:tcW w:w="340" w:type="dxa"/>
            <w:vAlign w:val="bottom"/>
            <w:shd w:val="clear" w:color="auto" w:fill="CDEAFA"/>
          </w:tcPr>
          <w:p>
            <w:pPr>
              <w:spacing w:after="0"/>
              <w:rPr>
                <w:sz w:val="18"/>
                <w:szCs w:val="18"/>
                <w:color w:val="auto"/>
              </w:rPr>
            </w:pPr>
          </w:p>
        </w:tc>
        <w:tc>
          <w:tcPr>
            <w:tcW w:w="400" w:type="dxa"/>
            <w:vAlign w:val="bottom"/>
            <w:shd w:val="clear" w:color="auto" w:fill="CDEAFA"/>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32.65</w:t>
            </w:r>
          </w:p>
        </w:tc>
        <w:tc>
          <w:tcPr>
            <w:tcW w:w="320" w:type="dxa"/>
            <w:vAlign w:val="bottom"/>
            <w:shd w:val="clear" w:color="auto" w:fill="CDEAFA"/>
          </w:tcPr>
          <w:p>
            <w:pPr>
              <w:spacing w:after="0"/>
              <w:rPr>
                <w:sz w:val="18"/>
                <w:szCs w:val="18"/>
                <w:color w:val="auto"/>
              </w:rPr>
            </w:pPr>
          </w:p>
        </w:tc>
        <w:tc>
          <w:tcPr>
            <w:tcW w:w="400" w:type="dxa"/>
            <w:vAlign w:val="bottom"/>
            <w:shd w:val="clear" w:color="auto" w:fill="CDEAFA"/>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19.38</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71.97</w:t>
            </w:r>
          </w:p>
        </w:tc>
        <w:tc>
          <w:tcPr>
            <w:tcW w:w="3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30.52</w:t>
            </w:r>
          </w:p>
        </w:tc>
        <w:tc>
          <w:tcPr>
            <w:tcW w:w="3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18.46</w:t>
            </w:r>
          </w:p>
        </w:tc>
      </w:tr>
      <w:tr>
        <w:trPr>
          <w:trHeight w:val="202"/>
        </w:trPr>
        <w:tc>
          <w:tcPr>
            <w:tcW w:w="4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4960" w:type="dxa"/>
            <w:vAlign w:val="bottom"/>
            <w:shd w:val="clear" w:color="auto" w:fill="CDEAFA"/>
          </w:tcPr>
          <w:p>
            <w:pPr>
              <w:spacing w:after="0"/>
              <w:rPr>
                <w:sz w:val="20"/>
                <w:szCs w:val="20"/>
                <w:color w:val="auto"/>
              </w:rPr>
            </w:pPr>
            <w:r>
              <w:rPr>
                <w:rFonts w:ascii="Arial" w:cs="Arial" w:eastAsia="Arial" w:hAnsi="Arial"/>
                <w:sz w:val="18"/>
                <w:szCs w:val="18"/>
                <w:color w:val="auto"/>
              </w:rPr>
              <w:t>Weighted average shares outstanding - basic</w:t>
            </w:r>
          </w:p>
        </w:tc>
        <w:tc>
          <w:tcPr>
            <w:tcW w:w="1560" w:type="dxa"/>
            <w:vAlign w:val="bottom"/>
            <w:shd w:val="clear" w:color="auto" w:fill="CDEAFA"/>
          </w:tcPr>
          <w:p>
            <w:pPr>
              <w:spacing w:after="0"/>
              <w:rPr>
                <w:sz w:val="18"/>
                <w:szCs w:val="18"/>
                <w:color w:val="auto"/>
              </w:rPr>
            </w:pPr>
          </w:p>
        </w:tc>
        <w:tc>
          <w:tcPr>
            <w:tcW w:w="420" w:type="dxa"/>
            <w:vAlign w:val="bottom"/>
            <w:shd w:val="clear" w:color="auto" w:fill="CDEAFA"/>
          </w:tcPr>
          <w:p>
            <w:pPr>
              <w:spacing w:after="0"/>
              <w:rPr>
                <w:sz w:val="18"/>
                <w:szCs w:val="18"/>
                <w:color w:val="auto"/>
              </w:rPr>
            </w:pPr>
          </w:p>
        </w:tc>
        <w:tc>
          <w:tcPr>
            <w:tcW w:w="96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105.7</w:t>
            </w:r>
          </w:p>
        </w:tc>
        <w:tc>
          <w:tcPr>
            <w:tcW w:w="340" w:type="dxa"/>
            <w:vAlign w:val="bottom"/>
            <w:shd w:val="clear" w:color="auto" w:fill="CDEAFA"/>
          </w:tcPr>
          <w:p>
            <w:pPr>
              <w:spacing w:after="0"/>
              <w:rPr>
                <w:sz w:val="18"/>
                <w:szCs w:val="18"/>
                <w:color w:val="auto"/>
              </w:rPr>
            </w:pPr>
          </w:p>
        </w:tc>
        <w:tc>
          <w:tcPr>
            <w:tcW w:w="400" w:type="dxa"/>
            <w:vAlign w:val="bottom"/>
            <w:shd w:val="clear" w:color="auto" w:fill="CDEAFA"/>
          </w:tcPr>
          <w:p>
            <w:pPr>
              <w:spacing w:after="0"/>
              <w:rPr>
                <w:sz w:val="18"/>
                <w:szCs w:val="18"/>
                <w:color w:val="auto"/>
              </w:rPr>
            </w:pPr>
          </w:p>
        </w:tc>
        <w:tc>
          <w:tcPr>
            <w:tcW w:w="9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107.6</w:t>
            </w:r>
          </w:p>
        </w:tc>
        <w:tc>
          <w:tcPr>
            <w:tcW w:w="320" w:type="dxa"/>
            <w:vAlign w:val="bottom"/>
            <w:shd w:val="clear" w:color="auto" w:fill="CDEAFA"/>
          </w:tcPr>
          <w:p>
            <w:pPr>
              <w:spacing w:after="0"/>
              <w:rPr>
                <w:sz w:val="18"/>
                <w:szCs w:val="18"/>
                <w:color w:val="auto"/>
              </w:rPr>
            </w:pPr>
          </w:p>
        </w:tc>
        <w:tc>
          <w:tcPr>
            <w:tcW w:w="400" w:type="dxa"/>
            <w:vAlign w:val="bottom"/>
            <w:shd w:val="clear" w:color="auto" w:fill="CDEAFA"/>
          </w:tcPr>
          <w:p>
            <w:pPr>
              <w:spacing w:after="0"/>
              <w:rPr>
                <w:sz w:val="18"/>
                <w:szCs w:val="18"/>
                <w:color w:val="auto"/>
              </w:rPr>
            </w:pPr>
          </w:p>
        </w:tc>
        <w:tc>
          <w:tcPr>
            <w:tcW w:w="9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109.2</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1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112.2</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114.6</w:t>
            </w:r>
          </w:p>
        </w:tc>
      </w:tr>
      <w:tr>
        <w:trPr>
          <w:trHeight w:val="202"/>
        </w:trPr>
        <w:tc>
          <w:tcPr>
            <w:tcW w:w="4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4960" w:type="dxa"/>
            <w:vAlign w:val="bottom"/>
            <w:shd w:val="clear" w:color="auto" w:fill="CDEAFA"/>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1560" w:type="dxa"/>
            <w:vAlign w:val="bottom"/>
            <w:shd w:val="clear" w:color="auto" w:fill="CDEAFA"/>
          </w:tcPr>
          <w:p>
            <w:pPr>
              <w:spacing w:after="0"/>
              <w:rPr>
                <w:sz w:val="18"/>
                <w:szCs w:val="18"/>
                <w:color w:val="auto"/>
              </w:rPr>
            </w:pPr>
          </w:p>
        </w:tc>
        <w:tc>
          <w:tcPr>
            <w:tcW w:w="420" w:type="dxa"/>
            <w:vAlign w:val="bottom"/>
            <w:shd w:val="clear" w:color="auto" w:fill="CDEAFA"/>
          </w:tcPr>
          <w:p>
            <w:pPr>
              <w:spacing w:after="0"/>
              <w:rPr>
                <w:sz w:val="18"/>
                <w:szCs w:val="18"/>
                <w:color w:val="auto"/>
              </w:rPr>
            </w:pPr>
          </w:p>
        </w:tc>
        <w:tc>
          <w:tcPr>
            <w:tcW w:w="96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400" w:type="dxa"/>
            <w:vAlign w:val="bottom"/>
            <w:shd w:val="clear" w:color="auto" w:fill="CDEAFA"/>
          </w:tcPr>
          <w:p>
            <w:pPr>
              <w:spacing w:after="0"/>
              <w:rPr>
                <w:sz w:val="18"/>
                <w:szCs w:val="18"/>
                <w:color w:val="auto"/>
              </w:rPr>
            </w:pPr>
          </w:p>
        </w:tc>
        <w:tc>
          <w:tcPr>
            <w:tcW w:w="94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400" w:type="dxa"/>
            <w:vAlign w:val="bottom"/>
            <w:shd w:val="clear" w:color="auto" w:fill="CDEAFA"/>
          </w:tcPr>
          <w:p>
            <w:pPr>
              <w:spacing w:after="0"/>
              <w:rPr>
                <w:sz w:val="18"/>
                <w:szCs w:val="18"/>
                <w:color w:val="auto"/>
              </w:rPr>
            </w:pPr>
          </w:p>
        </w:tc>
        <w:tc>
          <w:tcPr>
            <w:tcW w:w="940" w:type="dxa"/>
            <w:vAlign w:val="bottom"/>
            <w:shd w:val="clear" w:color="auto" w:fill="CDEAFA"/>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8,075.3</w:t>
            </w:r>
          </w:p>
        </w:tc>
        <w:tc>
          <w:tcPr>
            <w:tcW w:w="3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3,513.2</w:t>
            </w:r>
          </w:p>
        </w:tc>
        <w:tc>
          <w:tcPr>
            <w:tcW w:w="3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2,115.8</w:t>
            </w:r>
          </w:p>
        </w:tc>
      </w:tr>
      <w:tr>
        <w:trPr>
          <w:trHeight w:val="216"/>
        </w:trPr>
        <w:tc>
          <w:tcPr>
            <w:tcW w:w="4960" w:type="dxa"/>
            <w:vAlign w:val="bottom"/>
            <w:shd w:val="clear" w:color="auto" w:fill="CDEAFA"/>
          </w:tcPr>
          <w:p>
            <w:pPr>
              <w:spacing w:after="0"/>
              <w:rPr>
                <w:sz w:val="20"/>
                <w:szCs w:val="20"/>
                <w:color w:val="auto"/>
              </w:rPr>
            </w:pPr>
            <w:r>
              <w:rPr>
                <w:rFonts w:ascii="Arial" w:cs="Arial" w:eastAsia="Arial" w:hAnsi="Arial"/>
                <w:sz w:val="18"/>
                <w:szCs w:val="18"/>
                <w:color w:val="auto"/>
              </w:rPr>
              <w:t>Other comprehensive income (loss), net of tax:</w:t>
            </w:r>
          </w:p>
        </w:tc>
        <w:tc>
          <w:tcPr>
            <w:tcW w:w="1560" w:type="dxa"/>
            <w:vAlign w:val="bottom"/>
            <w:shd w:val="clear" w:color="auto" w:fill="CDEAFA"/>
          </w:tcPr>
          <w:p>
            <w:pPr>
              <w:spacing w:after="0"/>
              <w:rPr>
                <w:sz w:val="18"/>
                <w:szCs w:val="18"/>
                <w:color w:val="auto"/>
              </w:rPr>
            </w:pPr>
          </w:p>
        </w:tc>
        <w:tc>
          <w:tcPr>
            <w:tcW w:w="420" w:type="dxa"/>
            <w:vAlign w:val="bottom"/>
            <w:shd w:val="clear" w:color="auto" w:fill="CDEAFA"/>
          </w:tcPr>
          <w:p>
            <w:pPr>
              <w:spacing w:after="0"/>
              <w:rPr>
                <w:sz w:val="18"/>
                <w:szCs w:val="18"/>
                <w:color w:val="auto"/>
              </w:rPr>
            </w:pPr>
          </w:p>
        </w:tc>
        <w:tc>
          <w:tcPr>
            <w:tcW w:w="96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400" w:type="dxa"/>
            <w:vAlign w:val="bottom"/>
            <w:shd w:val="clear" w:color="auto" w:fill="CDEAFA"/>
          </w:tcPr>
          <w:p>
            <w:pPr>
              <w:spacing w:after="0"/>
              <w:rPr>
                <w:sz w:val="18"/>
                <w:szCs w:val="18"/>
                <w:color w:val="auto"/>
              </w:rPr>
            </w:pPr>
          </w:p>
        </w:tc>
        <w:tc>
          <w:tcPr>
            <w:tcW w:w="94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400" w:type="dxa"/>
            <w:vAlign w:val="bottom"/>
            <w:shd w:val="clear" w:color="auto" w:fill="CDEAFA"/>
          </w:tcPr>
          <w:p>
            <w:pPr>
              <w:spacing w:after="0"/>
              <w:rPr>
                <w:sz w:val="18"/>
                <w:szCs w:val="18"/>
                <w:color w:val="auto"/>
              </w:rPr>
            </w:pPr>
          </w:p>
        </w:tc>
        <w:tc>
          <w:tcPr>
            <w:tcW w:w="940" w:type="dxa"/>
            <w:vAlign w:val="bottom"/>
            <w:shd w:val="clear" w:color="auto" w:fill="CDEAFA"/>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Unrealized (loss) gain on debt securities</w:t>
            </w: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30"/>
        </w:trPr>
        <w:tc>
          <w:tcPr>
            <w:tcW w:w="4960" w:type="dxa"/>
            <w:vAlign w:val="bottom"/>
            <w:shd w:val="clear" w:color="auto" w:fill="CDEAFA"/>
          </w:tcPr>
          <w:p>
            <w:pPr>
              <w:ind w:left="180"/>
              <w:spacing w:after="0"/>
              <w:rPr>
                <w:sz w:val="20"/>
                <w:szCs w:val="20"/>
                <w:color w:val="auto"/>
              </w:rPr>
            </w:pPr>
            <w:r>
              <w:rPr>
                <w:rFonts w:ascii="Arial" w:cs="Arial" w:eastAsia="Arial" w:hAnsi="Arial"/>
                <w:sz w:val="18"/>
                <w:szCs w:val="18"/>
                <w:color w:val="auto"/>
              </w:rPr>
              <w:t>Unrealized gain (loss) on cash flow hedges</w:t>
            </w:r>
          </w:p>
        </w:tc>
        <w:tc>
          <w:tcPr>
            <w:tcW w:w="1560" w:type="dxa"/>
            <w:vAlign w:val="bottom"/>
            <w:shd w:val="clear" w:color="auto" w:fill="CDEAFA"/>
          </w:tcPr>
          <w:p>
            <w:pPr>
              <w:spacing w:after="0"/>
              <w:rPr>
                <w:sz w:val="19"/>
                <w:szCs w:val="19"/>
                <w:color w:val="auto"/>
              </w:rPr>
            </w:pPr>
          </w:p>
        </w:tc>
        <w:tc>
          <w:tcPr>
            <w:tcW w:w="420" w:type="dxa"/>
            <w:vAlign w:val="bottom"/>
            <w:tcBorders>
              <w:bottom w:val="single" w:sz="8" w:color="auto"/>
            </w:tcBorders>
            <w:shd w:val="clear" w:color="auto" w:fill="CDEAFA"/>
          </w:tcPr>
          <w:p>
            <w:pPr>
              <w:spacing w:after="0"/>
              <w:rPr>
                <w:sz w:val="19"/>
                <w:szCs w:val="19"/>
                <w:color w:val="auto"/>
              </w:rPr>
            </w:pPr>
          </w:p>
        </w:tc>
        <w:tc>
          <w:tcPr>
            <w:tcW w:w="96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DEAFA"/>
          </w:tcPr>
          <w:p>
            <w:pPr>
              <w:spacing w:after="0"/>
              <w:rPr>
                <w:sz w:val="19"/>
                <w:szCs w:val="19"/>
                <w:color w:val="auto"/>
              </w:rPr>
            </w:pPr>
          </w:p>
        </w:tc>
        <w:tc>
          <w:tcPr>
            <w:tcW w:w="400" w:type="dxa"/>
            <w:vAlign w:val="bottom"/>
            <w:tcBorders>
              <w:bottom w:val="single" w:sz="8" w:color="auto"/>
            </w:tcBorders>
            <w:shd w:val="clear" w:color="auto" w:fill="CDEAFA"/>
          </w:tcPr>
          <w:p>
            <w:pPr>
              <w:spacing w:after="0"/>
              <w:rPr>
                <w:sz w:val="19"/>
                <w:szCs w:val="19"/>
                <w:color w:val="auto"/>
              </w:rPr>
            </w:pPr>
          </w:p>
        </w:tc>
        <w:tc>
          <w:tcPr>
            <w:tcW w:w="9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DEAFA"/>
          </w:tcPr>
          <w:p>
            <w:pPr>
              <w:spacing w:after="0"/>
              <w:rPr>
                <w:sz w:val="19"/>
                <w:szCs w:val="19"/>
                <w:color w:val="auto"/>
              </w:rPr>
            </w:pPr>
          </w:p>
        </w:tc>
        <w:tc>
          <w:tcPr>
            <w:tcW w:w="400" w:type="dxa"/>
            <w:vAlign w:val="bottom"/>
            <w:tcBorders>
              <w:bottom w:val="single" w:sz="8" w:color="auto"/>
            </w:tcBorders>
            <w:shd w:val="clear" w:color="auto" w:fill="CDEAFA"/>
          </w:tcPr>
          <w:p>
            <w:pPr>
              <w:spacing w:after="0"/>
              <w:rPr>
                <w:sz w:val="19"/>
                <w:szCs w:val="19"/>
                <w:color w:val="auto"/>
              </w:rPr>
            </w:pPr>
          </w:p>
        </w:tc>
        <w:tc>
          <w:tcPr>
            <w:tcW w:w="9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Comprehensive income</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8,019.8</w:t>
            </w:r>
          </w:p>
        </w:tc>
        <w:tc>
          <w:tcPr>
            <w:tcW w:w="3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3,521.4</w:t>
            </w:r>
          </w:p>
        </w:tc>
        <w:tc>
          <w:tcPr>
            <w:tcW w:w="3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2,149.2</w:t>
            </w:r>
          </w:p>
        </w:tc>
      </w:tr>
      <w:tr>
        <w:trPr>
          <w:trHeight w:val="20"/>
        </w:trPr>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13" w:name="page114"/>
    <w:bookmarkEnd w:id="113"/>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Additional</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2100" w:type="dxa"/>
            <w:vAlign w:val="bottom"/>
          </w:tcPr>
          <w:p>
            <w:pPr>
              <w:spacing w:after="0"/>
              <w:rPr>
                <w:sz w:val="20"/>
                <w:szCs w:val="20"/>
                <w:color w:val="auto"/>
              </w:rPr>
            </w:pPr>
          </w:p>
        </w:tc>
        <w:tc>
          <w:tcPr>
            <w:tcW w:w="14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6"/>
              </w:rPr>
              <w:t>Class A Stock</w:t>
            </w: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Paid-in</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Retained</w:t>
            </w: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6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Treasury Stock</w:t>
            </w:r>
          </w:p>
        </w:tc>
        <w:tc>
          <w:tcPr>
            <w:tcW w:w="12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2100" w:type="dxa"/>
            <w:vAlign w:val="bottom"/>
          </w:tcPr>
          <w:p>
            <w:pPr>
              <w:spacing w:after="0"/>
              <w:rPr>
                <w:sz w:val="19"/>
                <w:szCs w:val="19"/>
                <w:color w:val="auto"/>
              </w:rPr>
            </w:pP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Amount</w:t>
            </w:r>
          </w:p>
        </w:tc>
        <w:tc>
          <w:tcPr>
            <w:tcW w:w="160" w:type="dxa"/>
            <w:vAlign w:val="bottom"/>
          </w:tcPr>
          <w:p>
            <w:pPr>
              <w:spacing w:after="0"/>
              <w:rPr>
                <w:sz w:val="19"/>
                <w:szCs w:val="19"/>
                <w:color w:val="auto"/>
              </w:rPr>
            </w:pPr>
          </w:p>
        </w:tc>
        <w:tc>
          <w:tcPr>
            <w:tcW w:w="7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Amount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Capital</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8"/>
              </w:rPr>
              <w:t>Earnings</w:t>
            </w:r>
          </w:p>
        </w:tc>
        <w:tc>
          <w:tcPr>
            <w:tcW w:w="160" w:type="dxa"/>
            <w:vAlign w:val="bottom"/>
          </w:tcPr>
          <w:p>
            <w:pPr>
              <w:spacing w:after="0"/>
              <w:rPr>
                <w:sz w:val="19"/>
                <w:szCs w:val="19"/>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Income (Loss)</w:t>
            </w: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9"/>
                <w:szCs w:val="19"/>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Equity</w:t>
            </w:r>
          </w:p>
        </w:tc>
      </w:tr>
      <w:tr>
        <w:trPr>
          <w:trHeight w:val="178"/>
        </w:trPr>
        <w:tc>
          <w:tcPr>
            <w:tcW w:w="2100" w:type="dxa"/>
            <w:vAlign w:val="bottom"/>
            <w:tcBorders>
              <w:top w:val="single" w:sz="8" w:color="CDEAFA"/>
            </w:tcBorders>
            <w:shd w:val="clear" w:color="auto" w:fill="CDEAFA"/>
          </w:tcPr>
          <w:p>
            <w:pPr>
              <w:spacing w:after="0" w:line="177" w:lineRule="exact"/>
              <w:rPr>
                <w:sz w:val="20"/>
                <w:szCs w:val="20"/>
                <w:color w:val="auto"/>
              </w:rPr>
            </w:pPr>
            <w:r>
              <w:rPr>
                <w:rFonts w:ascii="Arial" w:cs="Arial" w:eastAsia="Arial" w:hAnsi="Arial"/>
                <w:sz w:val="18"/>
                <w:szCs w:val="18"/>
                <w:b w:val="1"/>
                <w:bCs w:val="1"/>
                <w:color w:val="auto"/>
              </w:rPr>
              <w:t>Balance, December 31,</w:t>
            </w:r>
          </w:p>
        </w:tc>
        <w:tc>
          <w:tcPr>
            <w:tcW w:w="54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500" w:type="dxa"/>
            <w:vAlign w:val="bottom"/>
            <w:tcBorders>
              <w:top w:val="single" w:sz="8" w:color="auto"/>
            </w:tcBorders>
            <w:shd w:val="clear" w:color="auto" w:fill="CDEAFA"/>
          </w:tcPr>
          <w:p>
            <w:pPr>
              <w:spacing w:after="0"/>
              <w:rPr>
                <w:sz w:val="15"/>
                <w:szCs w:val="15"/>
                <w:color w:val="auto"/>
              </w:rPr>
            </w:pPr>
          </w:p>
        </w:tc>
        <w:tc>
          <w:tcPr>
            <w:tcW w:w="120" w:type="dxa"/>
            <w:vAlign w:val="bottom"/>
            <w:tcBorders>
              <w:top w:val="single" w:sz="8" w:color="auto"/>
            </w:tcBorders>
            <w:shd w:val="clear" w:color="auto" w:fill="CDEAFA"/>
          </w:tcPr>
          <w:p>
            <w:pPr>
              <w:spacing w:after="0"/>
              <w:rPr>
                <w:sz w:val="15"/>
                <w:szCs w:val="15"/>
                <w:color w:val="auto"/>
              </w:rPr>
            </w:pPr>
          </w:p>
        </w:tc>
        <w:tc>
          <w:tcPr>
            <w:tcW w:w="160" w:type="dxa"/>
            <w:vAlign w:val="bottom"/>
            <w:tcBorders>
              <w:top w:val="single" w:sz="8" w:color="CDEAFA"/>
            </w:tcBorders>
            <w:shd w:val="clear" w:color="auto" w:fill="CDEAFA"/>
          </w:tcPr>
          <w:p>
            <w:pPr>
              <w:spacing w:after="0"/>
              <w:rPr>
                <w:sz w:val="15"/>
                <w:szCs w:val="15"/>
                <w:color w:val="auto"/>
              </w:rPr>
            </w:pPr>
          </w:p>
        </w:tc>
        <w:tc>
          <w:tcPr>
            <w:tcW w:w="60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620" w:type="dxa"/>
            <w:vAlign w:val="bottom"/>
            <w:tcBorders>
              <w:top w:val="single" w:sz="8" w:color="auto"/>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88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840" w:type="dxa"/>
            <w:vAlign w:val="bottom"/>
            <w:tcBorders>
              <w:top w:val="single" w:sz="8" w:color="auto"/>
            </w:tcBorders>
            <w:shd w:val="clear" w:color="auto" w:fill="CDEAFA"/>
          </w:tcPr>
          <w:p>
            <w:pPr>
              <w:spacing w:after="0"/>
              <w:rPr>
                <w:sz w:val="15"/>
                <w:szCs w:val="15"/>
                <w:color w:val="auto"/>
              </w:rPr>
            </w:pPr>
          </w:p>
        </w:tc>
        <w:tc>
          <w:tcPr>
            <w:tcW w:w="160" w:type="dxa"/>
            <w:vAlign w:val="bottom"/>
            <w:tcBorders>
              <w:top w:val="single" w:sz="8" w:color="CDEAFA"/>
            </w:tcBorders>
            <w:shd w:val="clear" w:color="auto" w:fill="CDEAFA"/>
          </w:tcPr>
          <w:p>
            <w:pPr>
              <w:spacing w:after="0"/>
              <w:rPr>
                <w:sz w:val="15"/>
                <w:szCs w:val="15"/>
                <w:color w:val="auto"/>
              </w:rPr>
            </w:pPr>
          </w:p>
        </w:tc>
        <w:tc>
          <w:tcPr>
            <w:tcW w:w="220" w:type="dxa"/>
            <w:vAlign w:val="bottom"/>
            <w:tcBorders>
              <w:top w:val="single" w:sz="8" w:color="auto"/>
            </w:tcBorders>
            <w:shd w:val="clear" w:color="auto" w:fill="CDEAFA"/>
          </w:tcPr>
          <w:p>
            <w:pPr>
              <w:spacing w:after="0"/>
              <w:rPr>
                <w:sz w:val="15"/>
                <w:szCs w:val="15"/>
                <w:color w:val="auto"/>
              </w:rPr>
            </w:pPr>
          </w:p>
        </w:tc>
        <w:tc>
          <w:tcPr>
            <w:tcW w:w="940" w:type="dxa"/>
            <w:vAlign w:val="bottom"/>
            <w:tcBorders>
              <w:top w:val="single" w:sz="8" w:color="auto"/>
            </w:tcBorders>
            <w:shd w:val="clear" w:color="auto" w:fill="CDEAFA"/>
          </w:tcPr>
          <w:p>
            <w:pPr>
              <w:spacing w:after="0"/>
              <w:rPr>
                <w:sz w:val="15"/>
                <w:szCs w:val="15"/>
                <w:color w:val="auto"/>
              </w:rPr>
            </w:pPr>
          </w:p>
        </w:tc>
        <w:tc>
          <w:tcPr>
            <w:tcW w:w="160" w:type="dxa"/>
            <w:vAlign w:val="bottom"/>
            <w:tcBorders>
              <w:top w:val="single" w:sz="8" w:color="CDEAFA"/>
            </w:tcBorders>
            <w:shd w:val="clear" w:color="auto" w:fill="CDEAFA"/>
          </w:tcPr>
          <w:p>
            <w:pPr>
              <w:spacing w:after="0"/>
              <w:rPr>
                <w:sz w:val="15"/>
                <w:szCs w:val="15"/>
                <w:color w:val="auto"/>
              </w:rPr>
            </w:pPr>
          </w:p>
        </w:tc>
        <w:tc>
          <w:tcPr>
            <w:tcW w:w="68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82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1040" w:type="dxa"/>
            <w:vAlign w:val="bottom"/>
            <w:tcBorders>
              <w:top w:val="single" w:sz="8" w:color="auto"/>
            </w:tcBorders>
            <w:shd w:val="clear" w:color="auto" w:fill="CDEAFA"/>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b w:val="1"/>
                <w:bCs w:val="1"/>
                <w:color w:val="auto"/>
              </w:rPr>
              <w:t>2018</w:t>
            </w:r>
          </w:p>
        </w:tc>
        <w:tc>
          <w:tcPr>
            <w:tcW w:w="5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DEAFA"/>
          </w:tcPr>
          <w:p>
            <w:pPr>
              <w:spacing w:after="0"/>
              <w:rPr>
                <w:sz w:val="20"/>
                <w:szCs w:val="20"/>
                <w:color w:val="auto"/>
              </w:rPr>
            </w:pPr>
          </w:p>
        </w:tc>
        <w:tc>
          <w:tcPr>
            <w:tcW w:w="780" w:type="dxa"/>
            <w:vAlign w:val="bottom"/>
            <w:gridSpan w:val="3"/>
            <w:shd w:val="clear" w:color="auto" w:fill="CDEAFA"/>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111.1</w:t>
            </w:r>
          </w:p>
        </w:tc>
        <w:tc>
          <w:tcPr>
            <w:tcW w:w="140" w:type="dxa"/>
            <w:vAlign w:val="bottom"/>
            <w:shd w:val="clear" w:color="auto" w:fill="CDEAFA"/>
          </w:tcPr>
          <w:p>
            <w:pPr>
              <w:spacing w:after="0"/>
              <w:rPr>
                <w:sz w:val="20"/>
                <w:szCs w:val="20"/>
                <w:color w:val="auto"/>
              </w:rPr>
            </w:pPr>
          </w:p>
        </w:tc>
        <w:tc>
          <w:tcPr>
            <w:tcW w:w="62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  0.1</w:t>
            </w:r>
          </w:p>
        </w:tc>
        <w:tc>
          <w:tcPr>
            <w:tcW w:w="80" w:type="dxa"/>
            <w:vAlign w:val="bottom"/>
            <w:shd w:val="clear" w:color="auto" w:fill="CDEAFA"/>
          </w:tcPr>
          <w:p>
            <w:pPr>
              <w:spacing w:after="0"/>
              <w:rPr>
                <w:sz w:val="20"/>
                <w:szCs w:val="20"/>
                <w:color w:val="auto"/>
              </w:rPr>
            </w:pPr>
          </w:p>
        </w:tc>
        <w:tc>
          <w:tcPr>
            <w:tcW w:w="960" w:type="dxa"/>
            <w:vAlign w:val="bottom"/>
            <w:gridSpan w:val="2"/>
            <w:shd w:val="clear" w:color="auto" w:fill="CDEAFA"/>
          </w:tcPr>
          <w:p>
            <w:pPr>
              <w:jc w:val="right"/>
              <w:ind w:right="90"/>
              <w:spacing w:after="0"/>
              <w:rPr>
                <w:sz w:val="20"/>
                <w:szCs w:val="20"/>
                <w:color w:val="auto"/>
              </w:rPr>
            </w:pPr>
            <w:r>
              <w:rPr>
                <w:rFonts w:ascii="Arial" w:cs="Arial" w:eastAsia="Arial" w:hAnsi="Arial"/>
                <w:sz w:val="18"/>
                <w:szCs w:val="18"/>
                <w:color w:val="auto"/>
              </w:rPr>
              <w:t>$ 3,911.6</w:t>
            </w:r>
          </w:p>
        </w:tc>
        <w:tc>
          <w:tcPr>
            <w:tcW w:w="140" w:type="dxa"/>
            <w:vAlign w:val="bottom"/>
            <w:shd w:val="clear" w:color="auto" w:fill="CDEAFA"/>
          </w:tcPr>
          <w:p>
            <w:pPr>
              <w:spacing w:after="0"/>
              <w:rPr>
                <w:sz w:val="20"/>
                <w:szCs w:val="20"/>
                <w:color w:val="auto"/>
              </w:rPr>
            </w:pP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w w:val="98"/>
              </w:rPr>
              <w:t>$ 5,254.3</w:t>
            </w:r>
          </w:p>
        </w:tc>
        <w:tc>
          <w:tcPr>
            <w:tcW w:w="380" w:type="dxa"/>
            <w:vAlign w:val="bottom"/>
            <w:gridSpan w:val="2"/>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DEAFA"/>
          </w:tcPr>
          <w:p>
            <w:pPr>
              <w:spacing w:after="0"/>
              <w:rPr>
                <w:sz w:val="20"/>
                <w:szCs w:val="20"/>
                <w:color w:val="auto"/>
              </w:rPr>
            </w:pP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DEAFA"/>
          </w:tcPr>
          <w:p>
            <w:pPr>
              <w:spacing w:after="0"/>
              <w:rPr>
                <w:sz w:val="20"/>
                <w:szCs w:val="20"/>
                <w:color w:val="auto"/>
              </w:rPr>
            </w:pPr>
          </w:p>
        </w:tc>
        <w:tc>
          <w:tcPr>
            <w:tcW w:w="8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w w:val="97"/>
              </w:rPr>
              <w:t>$ (396.4)</w:t>
            </w:r>
          </w:p>
        </w:tc>
        <w:tc>
          <w:tcPr>
            <w:tcW w:w="1180" w:type="dxa"/>
            <w:vAlign w:val="bottom"/>
            <w:gridSpan w:val="2"/>
            <w:shd w:val="clear" w:color="auto" w:fill="CDEAFA"/>
          </w:tcPr>
          <w:p>
            <w:pPr>
              <w:jc w:val="right"/>
              <w:ind w:right="10"/>
              <w:spacing w:after="0"/>
              <w:rPr>
                <w:sz w:val="20"/>
                <w:szCs w:val="20"/>
                <w:color w:val="auto"/>
              </w:rPr>
            </w:pPr>
            <w:r>
              <w:rPr>
                <w:rFonts w:ascii="Arial" w:cs="Arial" w:eastAsia="Arial" w:hAnsi="Arial"/>
                <w:sz w:val="18"/>
                <w:szCs w:val="18"/>
                <w:color w:val="auto"/>
              </w:rPr>
              <w:t>$   8,757.3</w:t>
            </w:r>
          </w:p>
        </w:tc>
        <w:tc>
          <w:tcPr>
            <w:tcW w:w="20" w:type="dxa"/>
            <w:vAlign w:val="bottom"/>
          </w:tcPr>
          <w:p>
            <w:pPr>
              <w:spacing w:after="0"/>
              <w:rPr>
                <w:sz w:val="20"/>
                <w:szCs w:val="20"/>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Stock for equity awards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w w:val="98"/>
              </w:rPr>
              <w:t>granted under long-term</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rPr>
              <w:t>incentive plans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213.2</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213.2</w:t>
            </w:r>
          </w:p>
        </w:tc>
        <w:tc>
          <w:tcPr>
            <w:tcW w:w="20" w:type="dxa"/>
            <w:vAlign w:val="bottom"/>
          </w:tcPr>
          <w:p>
            <w:pPr>
              <w:spacing w:after="0"/>
              <w:rPr>
                <w:sz w:val="20"/>
                <w:szCs w:val="20"/>
                <w:color w:val="auto"/>
              </w:rPr>
            </w:pPr>
          </w:p>
        </w:tc>
      </w:tr>
      <w:tr>
        <w:trPr>
          <w:trHeight w:val="202"/>
        </w:trPr>
        <w:tc>
          <w:tcPr>
            <w:tcW w:w="2100" w:type="dxa"/>
            <w:vAlign w:val="bottom"/>
            <w:shd w:val="clear" w:color="auto" w:fill="CDEAFA"/>
          </w:tcPr>
          <w:p>
            <w:pPr>
              <w:spacing w:after="0" w:line="201" w:lineRule="exact"/>
              <w:rPr>
                <w:sz w:val="20"/>
                <w:szCs w:val="20"/>
                <w:color w:val="auto"/>
              </w:rPr>
            </w:pPr>
            <w:r>
              <w:rPr>
                <w:rFonts w:ascii="Arial" w:cs="Arial" w:eastAsia="Arial" w:hAnsi="Arial"/>
                <w:sz w:val="18"/>
                <w:szCs w:val="18"/>
                <w:color w:val="auto"/>
              </w:rPr>
              <w:t>Common Stock tendered</w:t>
            </w:r>
          </w:p>
        </w:tc>
        <w:tc>
          <w:tcPr>
            <w:tcW w:w="5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500" w:type="dxa"/>
            <w:vAlign w:val="bottom"/>
            <w:shd w:val="clear" w:color="auto" w:fill="CDEAFA"/>
          </w:tcPr>
          <w:p>
            <w:pPr>
              <w:spacing w:after="0"/>
              <w:rPr>
                <w:sz w:val="17"/>
                <w:szCs w:val="17"/>
                <w:color w:val="auto"/>
              </w:rPr>
            </w:pPr>
          </w:p>
        </w:tc>
        <w:tc>
          <w:tcPr>
            <w:tcW w:w="12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60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62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84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94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68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82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1040" w:type="dxa"/>
            <w:vAlign w:val="bottom"/>
            <w:shd w:val="clear" w:color="auto" w:fill="CDEAFA"/>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upon exercise of stock</w:t>
            </w:r>
          </w:p>
        </w:tc>
        <w:tc>
          <w:tcPr>
            <w:tcW w:w="5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0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62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9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options and vesting of</w:t>
            </w:r>
          </w:p>
        </w:tc>
        <w:tc>
          <w:tcPr>
            <w:tcW w:w="5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0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62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9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restricted stock for</w:t>
            </w:r>
          </w:p>
        </w:tc>
        <w:tc>
          <w:tcPr>
            <w:tcW w:w="5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0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62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9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employee tax</w:t>
            </w:r>
          </w:p>
        </w:tc>
        <w:tc>
          <w:tcPr>
            <w:tcW w:w="5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0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62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9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obligations</w:t>
            </w:r>
          </w:p>
        </w:tc>
        <w:tc>
          <w:tcPr>
            <w:tcW w:w="68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DEAFA"/>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DEAFA"/>
          </w:tcPr>
          <w:p>
            <w:pPr>
              <w:spacing w:after="0"/>
              <w:rPr>
                <w:sz w:val="20"/>
                <w:szCs w:val="20"/>
                <w:color w:val="auto"/>
              </w:rPr>
            </w:pPr>
          </w:p>
        </w:tc>
        <w:tc>
          <w:tcPr>
            <w:tcW w:w="70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DEAFA"/>
          </w:tcPr>
          <w:p>
            <w:pPr>
              <w:jc w:val="right"/>
              <w:ind w:right="30"/>
              <w:spacing w:after="0"/>
              <w:rPr>
                <w:sz w:val="20"/>
                <w:szCs w:val="20"/>
                <w:color w:val="auto"/>
              </w:rPr>
            </w:pPr>
            <w:r>
              <w:rPr>
                <w:rFonts w:ascii="Arial" w:cs="Arial" w:eastAsia="Arial" w:hAnsi="Arial"/>
                <w:sz w:val="18"/>
                <w:szCs w:val="18"/>
                <w:color w:val="auto"/>
              </w:rPr>
              <w:t>(188.0)</w:t>
            </w:r>
          </w:p>
        </w:tc>
        <w:tc>
          <w:tcPr>
            <w:tcW w:w="140" w:type="dxa"/>
            <w:vAlign w:val="bottom"/>
            <w:shd w:val="clear" w:color="auto" w:fill="CDEAFA"/>
          </w:tcPr>
          <w:p>
            <w:pPr>
              <w:spacing w:after="0"/>
              <w:rPr>
                <w:sz w:val="20"/>
                <w:szCs w:val="20"/>
                <w:color w:val="auto"/>
              </w:rPr>
            </w:pP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DEAFA"/>
          </w:tcPr>
          <w:p>
            <w:pPr>
              <w:spacing w:after="0"/>
              <w:rPr>
                <w:sz w:val="20"/>
                <w:szCs w:val="20"/>
                <w:color w:val="auto"/>
              </w:rPr>
            </w:pPr>
          </w:p>
        </w:tc>
        <w:tc>
          <w:tcPr>
            <w:tcW w:w="220" w:type="dxa"/>
            <w:vAlign w:val="bottom"/>
            <w:shd w:val="clear" w:color="auto" w:fill="CDEAFA"/>
          </w:tcPr>
          <w:p>
            <w:pPr>
              <w:spacing w:after="0"/>
              <w:rPr>
                <w:sz w:val="20"/>
                <w:szCs w:val="20"/>
                <w:color w:val="auto"/>
              </w:rPr>
            </w:pPr>
          </w:p>
        </w:tc>
        <w:tc>
          <w:tcPr>
            <w:tcW w:w="110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(188.0)</w:t>
            </w:r>
          </w:p>
        </w:tc>
        <w:tc>
          <w:tcPr>
            <w:tcW w:w="20" w:type="dxa"/>
            <w:vAlign w:val="bottom"/>
          </w:tcPr>
          <w:p>
            <w:pPr>
              <w:spacing w:after="0"/>
              <w:rPr>
                <w:sz w:val="20"/>
                <w:szCs w:val="20"/>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Issuance/distribution of</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Common Stock for</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rPr>
              <w:t>401(k) Savings Plan</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20"/>
                <w:szCs w:val="20"/>
                <w:color w:val="auto"/>
              </w:rPr>
            </w:pPr>
          </w:p>
        </w:tc>
      </w:tr>
      <w:tr>
        <w:trPr>
          <w:trHeight w:val="202"/>
        </w:trPr>
        <w:tc>
          <w:tcPr>
            <w:tcW w:w="2100" w:type="dxa"/>
            <w:vAlign w:val="bottom"/>
            <w:shd w:val="clear" w:color="auto" w:fill="CDEAFA"/>
          </w:tcPr>
          <w:p>
            <w:pPr>
              <w:spacing w:after="0" w:line="201" w:lineRule="exact"/>
              <w:rPr>
                <w:sz w:val="20"/>
                <w:szCs w:val="20"/>
                <w:color w:val="auto"/>
              </w:rPr>
            </w:pPr>
            <w:r>
              <w:rPr>
                <w:rFonts w:ascii="Arial" w:cs="Arial" w:eastAsia="Arial" w:hAnsi="Arial"/>
                <w:sz w:val="18"/>
                <w:szCs w:val="18"/>
                <w:color w:val="auto"/>
              </w:rPr>
              <w:t>Repurchases of Common</w:t>
            </w:r>
          </w:p>
        </w:tc>
        <w:tc>
          <w:tcPr>
            <w:tcW w:w="5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500" w:type="dxa"/>
            <w:vAlign w:val="bottom"/>
            <w:shd w:val="clear" w:color="auto" w:fill="CDEAFA"/>
          </w:tcPr>
          <w:p>
            <w:pPr>
              <w:spacing w:after="0"/>
              <w:rPr>
                <w:sz w:val="17"/>
                <w:szCs w:val="17"/>
                <w:color w:val="auto"/>
              </w:rPr>
            </w:pPr>
          </w:p>
        </w:tc>
        <w:tc>
          <w:tcPr>
            <w:tcW w:w="12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60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62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84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94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68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82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1040" w:type="dxa"/>
            <w:vAlign w:val="bottom"/>
            <w:shd w:val="clear" w:color="auto" w:fill="CDEAFA"/>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Stock</w:t>
            </w:r>
          </w:p>
        </w:tc>
        <w:tc>
          <w:tcPr>
            <w:tcW w:w="68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DEAFA"/>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AFA"/>
          </w:tcPr>
          <w:p>
            <w:pPr>
              <w:spacing w:after="0"/>
              <w:rPr>
                <w:sz w:val="20"/>
                <w:szCs w:val="20"/>
                <w:color w:val="auto"/>
              </w:rPr>
            </w:pPr>
          </w:p>
        </w:tc>
        <w:tc>
          <w:tcPr>
            <w:tcW w:w="102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DEAFA"/>
          </w:tcPr>
          <w:p>
            <w:pPr>
              <w:spacing w:after="0"/>
              <w:rPr>
                <w:sz w:val="20"/>
                <w:szCs w:val="20"/>
                <w:color w:val="auto"/>
              </w:rPr>
            </w:pPr>
          </w:p>
        </w:tc>
        <w:tc>
          <w:tcPr>
            <w:tcW w:w="220" w:type="dxa"/>
            <w:vAlign w:val="bottom"/>
            <w:shd w:val="clear" w:color="auto" w:fill="CDEAFA"/>
          </w:tcPr>
          <w:p>
            <w:pPr>
              <w:spacing w:after="0"/>
              <w:rPr>
                <w:sz w:val="20"/>
                <w:szCs w:val="20"/>
                <w:color w:val="auto"/>
              </w:rPr>
            </w:pPr>
          </w:p>
        </w:tc>
        <w:tc>
          <w:tcPr>
            <w:tcW w:w="110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DEAFA"/>
          </w:tcPr>
          <w:p>
            <w:pPr>
              <w:spacing w:after="0"/>
              <w:rPr>
                <w:sz w:val="20"/>
                <w:szCs w:val="20"/>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(356.7)</w:t>
            </w:r>
          </w:p>
        </w:tc>
        <w:tc>
          <w:tcPr>
            <w:tcW w:w="118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(356.7)</w:t>
            </w:r>
          </w:p>
        </w:tc>
        <w:tc>
          <w:tcPr>
            <w:tcW w:w="20" w:type="dxa"/>
            <w:vAlign w:val="bottom"/>
          </w:tcPr>
          <w:p>
            <w:pPr>
              <w:spacing w:after="0"/>
              <w:rPr>
                <w:sz w:val="20"/>
                <w:szCs w:val="20"/>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Conversion of Class A</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w w:val="98"/>
              </w:rPr>
              <w:t>Stock to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2100" w:type="dxa"/>
            <w:vAlign w:val="bottom"/>
            <w:shd w:val="clear" w:color="auto" w:fill="CDEAFA"/>
          </w:tcPr>
          <w:p>
            <w:pPr>
              <w:spacing w:after="0" w:line="201" w:lineRule="exact"/>
              <w:rPr>
                <w:sz w:val="20"/>
                <w:szCs w:val="20"/>
                <w:color w:val="auto"/>
              </w:rPr>
            </w:pPr>
            <w:r>
              <w:rPr>
                <w:rFonts w:ascii="Arial" w:cs="Arial" w:eastAsia="Arial" w:hAnsi="Arial"/>
                <w:sz w:val="18"/>
                <w:szCs w:val="18"/>
                <w:color w:val="auto"/>
                <w:w w:val="95"/>
              </w:rPr>
              <w:t>Stock-based compensation</w:t>
            </w:r>
          </w:p>
        </w:tc>
        <w:tc>
          <w:tcPr>
            <w:tcW w:w="5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500" w:type="dxa"/>
            <w:vAlign w:val="bottom"/>
            <w:shd w:val="clear" w:color="auto" w:fill="CDEAFA"/>
          </w:tcPr>
          <w:p>
            <w:pPr>
              <w:spacing w:after="0"/>
              <w:rPr>
                <w:sz w:val="17"/>
                <w:szCs w:val="17"/>
                <w:color w:val="auto"/>
              </w:rPr>
            </w:pPr>
          </w:p>
        </w:tc>
        <w:tc>
          <w:tcPr>
            <w:tcW w:w="12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60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62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84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94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68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82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1040" w:type="dxa"/>
            <w:vAlign w:val="bottom"/>
            <w:shd w:val="clear" w:color="auto" w:fill="CDEAFA"/>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charges</w:t>
            </w:r>
          </w:p>
        </w:tc>
        <w:tc>
          <w:tcPr>
            <w:tcW w:w="68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DEAFA"/>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DEAFA"/>
          </w:tcPr>
          <w:p>
            <w:pPr>
              <w:jc w:val="right"/>
              <w:ind w:right="90"/>
              <w:spacing w:after="0"/>
              <w:rPr>
                <w:sz w:val="20"/>
                <w:szCs w:val="20"/>
                <w:color w:val="auto"/>
              </w:rPr>
            </w:pPr>
            <w:r>
              <w:rPr>
                <w:rFonts w:ascii="Arial" w:cs="Arial" w:eastAsia="Arial" w:hAnsi="Arial"/>
                <w:sz w:val="18"/>
                <w:szCs w:val="18"/>
                <w:color w:val="auto"/>
              </w:rPr>
              <w:t>466.9</w:t>
            </w:r>
          </w:p>
        </w:tc>
        <w:tc>
          <w:tcPr>
            <w:tcW w:w="140" w:type="dxa"/>
            <w:vAlign w:val="bottom"/>
            <w:shd w:val="clear" w:color="auto" w:fill="CDEAFA"/>
          </w:tcPr>
          <w:p>
            <w:pPr>
              <w:spacing w:after="0"/>
              <w:rPr>
                <w:sz w:val="20"/>
                <w:szCs w:val="20"/>
                <w:color w:val="auto"/>
              </w:rPr>
            </w:pP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DEAFA"/>
          </w:tcPr>
          <w:p>
            <w:pPr>
              <w:spacing w:after="0"/>
              <w:rPr>
                <w:sz w:val="20"/>
                <w:szCs w:val="20"/>
                <w:color w:val="auto"/>
              </w:rPr>
            </w:pPr>
          </w:p>
        </w:tc>
        <w:tc>
          <w:tcPr>
            <w:tcW w:w="220" w:type="dxa"/>
            <w:vAlign w:val="bottom"/>
            <w:shd w:val="clear" w:color="auto" w:fill="CDEAFA"/>
          </w:tcPr>
          <w:p>
            <w:pPr>
              <w:spacing w:after="0"/>
              <w:rPr>
                <w:sz w:val="20"/>
                <w:szCs w:val="20"/>
                <w:color w:val="auto"/>
              </w:rPr>
            </w:pPr>
          </w:p>
        </w:tc>
        <w:tc>
          <w:tcPr>
            <w:tcW w:w="110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DEAFA"/>
          </w:tcPr>
          <w:p>
            <w:pPr>
              <w:jc w:val="right"/>
              <w:ind w:right="10"/>
              <w:spacing w:after="0"/>
              <w:rPr>
                <w:sz w:val="20"/>
                <w:szCs w:val="20"/>
                <w:color w:val="auto"/>
              </w:rPr>
            </w:pPr>
            <w:r>
              <w:rPr>
                <w:rFonts w:ascii="Arial" w:cs="Arial" w:eastAsia="Arial" w:hAnsi="Arial"/>
                <w:sz w:val="18"/>
                <w:szCs w:val="18"/>
                <w:color w:val="auto"/>
              </w:rPr>
              <w:t>466.9</w:t>
            </w:r>
          </w:p>
        </w:tc>
        <w:tc>
          <w:tcPr>
            <w:tcW w:w="20" w:type="dxa"/>
            <w:vAlign w:val="bottom"/>
          </w:tcPr>
          <w:p>
            <w:pPr>
              <w:spacing w:after="0"/>
              <w:rPr>
                <w:sz w:val="20"/>
                <w:szCs w:val="20"/>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w w:val="99"/>
              </w:rPr>
              <w:t>Adjustment upon adoption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of new accounting</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rPr>
              <w:t>standard</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0"/>
                <w:szCs w:val="20"/>
                <w:color w:val="auto"/>
              </w:rPr>
            </w:pPr>
          </w:p>
        </w:tc>
      </w:tr>
      <w:tr>
        <w:trPr>
          <w:trHeight w:val="216"/>
        </w:trPr>
        <w:tc>
          <w:tcPr>
            <w:tcW w:w="2100" w:type="dxa"/>
            <w:vAlign w:val="bottom"/>
            <w:shd w:val="clear" w:color="auto" w:fill="CDEAFA"/>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DEAFA"/>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AFA"/>
          </w:tcPr>
          <w:p>
            <w:pPr>
              <w:spacing w:after="0"/>
              <w:rPr>
                <w:sz w:val="18"/>
                <w:szCs w:val="18"/>
                <w:color w:val="auto"/>
              </w:rPr>
            </w:pPr>
          </w:p>
        </w:tc>
        <w:tc>
          <w:tcPr>
            <w:tcW w:w="102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2,115.8</w:t>
            </w: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110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DEAFA"/>
          </w:tcPr>
          <w:p>
            <w:pPr>
              <w:jc w:val="right"/>
              <w:ind w:right="10"/>
              <w:spacing w:after="0"/>
              <w:rPr>
                <w:sz w:val="20"/>
                <w:szCs w:val="20"/>
                <w:color w:val="auto"/>
              </w:rPr>
            </w:pPr>
            <w:r>
              <w:rPr>
                <w:rFonts w:ascii="Arial" w:cs="Arial" w:eastAsia="Arial" w:hAnsi="Arial"/>
                <w:sz w:val="18"/>
                <w:szCs w:val="18"/>
                <w:color w:val="auto"/>
              </w:rPr>
              <w:t>2,115.8</w:t>
            </w:r>
          </w:p>
        </w:tc>
        <w:tc>
          <w:tcPr>
            <w:tcW w:w="20" w:type="dxa"/>
            <w:vAlign w:val="bottom"/>
          </w:tcPr>
          <w:p>
            <w:pPr>
              <w:spacing w:after="0"/>
              <w:rPr>
                <w:sz w:val="18"/>
                <w:szCs w:val="18"/>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4"/>
        </w:trPr>
        <w:tc>
          <w:tcPr>
            <w:tcW w:w="2100" w:type="dxa"/>
            <w:vAlign w:val="bottom"/>
          </w:tcPr>
          <w:p>
            <w:pPr>
              <w:ind w:left="180"/>
              <w:spacing w:after="0"/>
              <w:rPr>
                <w:sz w:val="20"/>
                <w:szCs w:val="20"/>
                <w:color w:val="auto"/>
              </w:rPr>
            </w:pPr>
            <w:r>
              <w:rPr>
                <w:rFonts w:ascii="Arial" w:cs="Arial" w:eastAsia="Arial" w:hAnsi="Arial"/>
                <w:sz w:val="18"/>
                <w:szCs w:val="18"/>
                <w:color w:val="auto"/>
              </w:rPr>
              <w:t>income, net of tax</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1"/>
                <w:szCs w:val="21"/>
                <w:color w:val="auto"/>
              </w:rPr>
            </w:pPr>
          </w:p>
        </w:tc>
      </w:tr>
      <w:tr>
        <w:trPr>
          <w:trHeight w:val="178"/>
        </w:trPr>
        <w:tc>
          <w:tcPr>
            <w:tcW w:w="2100" w:type="dxa"/>
            <w:vAlign w:val="bottom"/>
            <w:tcBorders>
              <w:top w:val="single" w:sz="8" w:color="CDEAFA"/>
            </w:tcBorders>
            <w:shd w:val="clear" w:color="auto" w:fill="CDEAFA"/>
          </w:tcPr>
          <w:p>
            <w:pPr>
              <w:spacing w:after="0" w:line="177" w:lineRule="exact"/>
              <w:rPr>
                <w:sz w:val="20"/>
                <w:szCs w:val="20"/>
                <w:color w:val="auto"/>
              </w:rPr>
            </w:pPr>
            <w:r>
              <w:rPr>
                <w:rFonts w:ascii="Arial" w:cs="Arial" w:eastAsia="Arial" w:hAnsi="Arial"/>
                <w:sz w:val="18"/>
                <w:szCs w:val="18"/>
                <w:b w:val="1"/>
                <w:bCs w:val="1"/>
                <w:color w:val="auto"/>
              </w:rPr>
              <w:t>Balance, December 31,</w:t>
            </w:r>
          </w:p>
        </w:tc>
        <w:tc>
          <w:tcPr>
            <w:tcW w:w="54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500" w:type="dxa"/>
            <w:vAlign w:val="bottom"/>
            <w:tcBorders>
              <w:top w:val="single" w:sz="8" w:color="auto"/>
            </w:tcBorders>
            <w:shd w:val="clear" w:color="auto" w:fill="CDEAFA"/>
          </w:tcPr>
          <w:p>
            <w:pPr>
              <w:spacing w:after="0"/>
              <w:rPr>
                <w:sz w:val="15"/>
                <w:szCs w:val="15"/>
                <w:color w:val="auto"/>
              </w:rPr>
            </w:pPr>
          </w:p>
        </w:tc>
        <w:tc>
          <w:tcPr>
            <w:tcW w:w="120" w:type="dxa"/>
            <w:vAlign w:val="bottom"/>
            <w:tcBorders>
              <w:top w:val="single" w:sz="8" w:color="CDEAFA"/>
            </w:tcBorders>
            <w:shd w:val="clear" w:color="auto" w:fill="CDEAFA"/>
          </w:tcPr>
          <w:p>
            <w:pPr>
              <w:spacing w:after="0"/>
              <w:rPr>
                <w:sz w:val="15"/>
                <w:szCs w:val="15"/>
                <w:color w:val="auto"/>
              </w:rPr>
            </w:pPr>
          </w:p>
        </w:tc>
        <w:tc>
          <w:tcPr>
            <w:tcW w:w="160" w:type="dxa"/>
            <w:vAlign w:val="bottom"/>
            <w:tcBorders>
              <w:top w:val="single" w:sz="8" w:color="CDEAFA"/>
            </w:tcBorders>
            <w:shd w:val="clear" w:color="auto" w:fill="CDEAFA"/>
          </w:tcPr>
          <w:p>
            <w:pPr>
              <w:spacing w:after="0"/>
              <w:rPr>
                <w:sz w:val="15"/>
                <w:szCs w:val="15"/>
                <w:color w:val="auto"/>
              </w:rPr>
            </w:pPr>
          </w:p>
        </w:tc>
        <w:tc>
          <w:tcPr>
            <w:tcW w:w="60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620" w:type="dxa"/>
            <w:vAlign w:val="bottom"/>
            <w:tcBorders>
              <w:top w:val="single" w:sz="8" w:color="auto"/>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88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840" w:type="dxa"/>
            <w:vAlign w:val="bottom"/>
            <w:tcBorders>
              <w:top w:val="single" w:sz="8" w:color="auto"/>
            </w:tcBorders>
            <w:shd w:val="clear" w:color="auto" w:fill="CDEAFA"/>
          </w:tcPr>
          <w:p>
            <w:pPr>
              <w:spacing w:after="0"/>
              <w:rPr>
                <w:sz w:val="15"/>
                <w:szCs w:val="15"/>
                <w:color w:val="auto"/>
              </w:rPr>
            </w:pPr>
          </w:p>
        </w:tc>
        <w:tc>
          <w:tcPr>
            <w:tcW w:w="160" w:type="dxa"/>
            <w:vAlign w:val="bottom"/>
            <w:tcBorders>
              <w:top w:val="single" w:sz="8" w:color="CDEAFA"/>
            </w:tcBorders>
            <w:shd w:val="clear" w:color="auto" w:fill="CDEAFA"/>
          </w:tcPr>
          <w:p>
            <w:pPr>
              <w:spacing w:after="0"/>
              <w:rPr>
                <w:sz w:val="15"/>
                <w:szCs w:val="15"/>
                <w:color w:val="auto"/>
              </w:rPr>
            </w:pPr>
          </w:p>
        </w:tc>
        <w:tc>
          <w:tcPr>
            <w:tcW w:w="220" w:type="dxa"/>
            <w:vAlign w:val="bottom"/>
            <w:tcBorders>
              <w:top w:val="single" w:sz="8" w:color="auto"/>
            </w:tcBorders>
            <w:shd w:val="clear" w:color="auto" w:fill="CDEAFA"/>
          </w:tcPr>
          <w:p>
            <w:pPr>
              <w:spacing w:after="0"/>
              <w:rPr>
                <w:sz w:val="15"/>
                <w:szCs w:val="15"/>
                <w:color w:val="auto"/>
              </w:rPr>
            </w:pPr>
          </w:p>
        </w:tc>
        <w:tc>
          <w:tcPr>
            <w:tcW w:w="940" w:type="dxa"/>
            <w:vAlign w:val="bottom"/>
            <w:tcBorders>
              <w:top w:val="single" w:sz="8" w:color="auto"/>
            </w:tcBorders>
            <w:shd w:val="clear" w:color="auto" w:fill="CDEAFA"/>
          </w:tcPr>
          <w:p>
            <w:pPr>
              <w:spacing w:after="0"/>
              <w:rPr>
                <w:sz w:val="15"/>
                <w:szCs w:val="15"/>
                <w:color w:val="auto"/>
              </w:rPr>
            </w:pPr>
          </w:p>
        </w:tc>
        <w:tc>
          <w:tcPr>
            <w:tcW w:w="160" w:type="dxa"/>
            <w:vAlign w:val="bottom"/>
            <w:tcBorders>
              <w:top w:val="single" w:sz="8" w:color="CDEAFA"/>
            </w:tcBorders>
            <w:shd w:val="clear" w:color="auto" w:fill="CDEAFA"/>
          </w:tcPr>
          <w:p>
            <w:pPr>
              <w:spacing w:after="0"/>
              <w:rPr>
                <w:sz w:val="15"/>
                <w:szCs w:val="15"/>
                <w:color w:val="auto"/>
              </w:rPr>
            </w:pPr>
          </w:p>
        </w:tc>
        <w:tc>
          <w:tcPr>
            <w:tcW w:w="68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82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1040" w:type="dxa"/>
            <w:vAlign w:val="bottom"/>
            <w:tcBorders>
              <w:top w:val="single" w:sz="8" w:color="auto"/>
            </w:tcBorders>
            <w:shd w:val="clear" w:color="auto" w:fill="CDEAFA"/>
          </w:tcPr>
          <w:p>
            <w:pPr>
              <w:spacing w:after="0"/>
              <w:rPr>
                <w:sz w:val="15"/>
                <w:szCs w:val="15"/>
                <w:color w:val="auto"/>
              </w:rPr>
            </w:pPr>
          </w:p>
        </w:tc>
        <w:tc>
          <w:tcPr>
            <w:tcW w:w="20" w:type="dxa"/>
            <w:vAlign w:val="bottom"/>
          </w:tcPr>
          <w:p>
            <w:pPr>
              <w:spacing w:after="0"/>
              <w:rPr>
                <w:sz w:val="15"/>
                <w:szCs w:val="15"/>
                <w:color w:val="auto"/>
              </w:rPr>
            </w:pPr>
          </w:p>
        </w:tc>
      </w:tr>
      <w:tr>
        <w:trPr>
          <w:trHeight w:val="248"/>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b w:val="1"/>
                <w:bCs w:val="1"/>
                <w:color w:val="auto"/>
              </w:rPr>
              <w:t>2019</w:t>
            </w:r>
          </w:p>
        </w:tc>
        <w:tc>
          <w:tcPr>
            <w:tcW w:w="5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DEAFA"/>
          </w:tcPr>
          <w:p>
            <w:pPr>
              <w:spacing w:after="0"/>
              <w:rPr>
                <w:sz w:val="21"/>
                <w:szCs w:val="21"/>
                <w:color w:val="auto"/>
              </w:rPr>
            </w:pPr>
          </w:p>
        </w:tc>
        <w:tc>
          <w:tcPr>
            <w:tcW w:w="780" w:type="dxa"/>
            <w:vAlign w:val="bottom"/>
            <w:gridSpan w:val="3"/>
            <w:shd w:val="clear" w:color="auto" w:fill="CDEAFA"/>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DEAFA"/>
          </w:tcPr>
          <w:p>
            <w:pPr>
              <w:spacing w:after="0"/>
              <w:rPr>
                <w:sz w:val="21"/>
                <w:szCs w:val="21"/>
                <w:color w:val="auto"/>
              </w:rPr>
            </w:pPr>
          </w:p>
        </w:tc>
        <w:tc>
          <w:tcPr>
            <w:tcW w:w="62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DEAFA"/>
          </w:tcPr>
          <w:p>
            <w:pPr>
              <w:spacing w:after="0"/>
              <w:rPr>
                <w:sz w:val="21"/>
                <w:szCs w:val="21"/>
                <w:color w:val="auto"/>
              </w:rPr>
            </w:pPr>
          </w:p>
        </w:tc>
        <w:tc>
          <w:tcPr>
            <w:tcW w:w="960" w:type="dxa"/>
            <w:vAlign w:val="bottom"/>
            <w:gridSpan w:val="2"/>
            <w:shd w:val="clear" w:color="auto" w:fill="CDEAFA"/>
          </w:tcPr>
          <w:p>
            <w:pPr>
              <w:jc w:val="right"/>
              <w:ind w:right="90"/>
              <w:spacing w:after="0"/>
              <w:rPr>
                <w:sz w:val="20"/>
                <w:szCs w:val="20"/>
                <w:color w:val="auto"/>
              </w:rPr>
            </w:pPr>
            <w:r>
              <w:rPr>
                <w:rFonts w:ascii="Arial" w:cs="Arial" w:eastAsia="Arial" w:hAnsi="Arial"/>
                <w:sz w:val="18"/>
                <w:szCs w:val="18"/>
                <w:color w:val="auto"/>
              </w:rPr>
              <w:t>4,428.6</w:t>
            </w:r>
          </w:p>
        </w:tc>
        <w:tc>
          <w:tcPr>
            <w:tcW w:w="140" w:type="dxa"/>
            <w:vAlign w:val="bottom"/>
            <w:shd w:val="clear" w:color="auto" w:fill="CDEAFA"/>
          </w:tcPr>
          <w:p>
            <w:pPr>
              <w:spacing w:after="0"/>
              <w:rPr>
                <w:sz w:val="21"/>
                <w:szCs w:val="21"/>
                <w:color w:val="auto"/>
              </w:rPr>
            </w:pP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7,379.8</w:t>
            </w:r>
          </w:p>
        </w:tc>
        <w:tc>
          <w:tcPr>
            <w:tcW w:w="160" w:type="dxa"/>
            <w:vAlign w:val="bottom"/>
            <w:shd w:val="clear" w:color="auto" w:fill="CDEAFA"/>
          </w:tcPr>
          <w:p>
            <w:pPr>
              <w:spacing w:after="0"/>
              <w:rPr>
                <w:sz w:val="21"/>
                <w:szCs w:val="21"/>
                <w:color w:val="auto"/>
              </w:rPr>
            </w:pPr>
          </w:p>
        </w:tc>
        <w:tc>
          <w:tcPr>
            <w:tcW w:w="220" w:type="dxa"/>
            <w:vAlign w:val="bottom"/>
            <w:shd w:val="clear" w:color="auto" w:fill="CDEAFA"/>
          </w:tcPr>
          <w:p>
            <w:pPr>
              <w:spacing w:after="0"/>
              <w:rPr>
                <w:sz w:val="21"/>
                <w:szCs w:val="21"/>
                <w:color w:val="auto"/>
              </w:rPr>
            </w:pPr>
          </w:p>
        </w:tc>
        <w:tc>
          <w:tcPr>
            <w:tcW w:w="940" w:type="dxa"/>
            <w:vAlign w:val="bottom"/>
            <w:shd w:val="clear" w:color="auto" w:fill="CDEAFA"/>
          </w:tcPr>
          <w:p>
            <w:pPr>
              <w:jc w:val="right"/>
              <w:ind w:right="7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DEAFA"/>
          </w:tcPr>
          <w:p>
            <w:pPr>
              <w:spacing w:after="0"/>
              <w:rPr>
                <w:sz w:val="21"/>
                <w:szCs w:val="21"/>
                <w:color w:val="auto"/>
              </w:rPr>
            </w:pP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DEAFA"/>
          </w:tcPr>
          <w:p>
            <w:pPr>
              <w:spacing w:after="0"/>
              <w:rPr>
                <w:sz w:val="21"/>
                <w:szCs w:val="21"/>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(739.9)</w:t>
            </w:r>
          </w:p>
        </w:tc>
        <w:tc>
          <w:tcPr>
            <w:tcW w:w="1180" w:type="dxa"/>
            <w:vAlign w:val="bottom"/>
            <w:gridSpan w:val="2"/>
            <w:shd w:val="clear" w:color="auto" w:fill="CDEAFA"/>
          </w:tcPr>
          <w:p>
            <w:pPr>
              <w:jc w:val="right"/>
              <w:ind w:right="10"/>
              <w:spacing w:after="0"/>
              <w:rPr>
                <w:sz w:val="20"/>
                <w:szCs w:val="20"/>
                <w:color w:val="auto"/>
              </w:rPr>
            </w:pPr>
            <w:r>
              <w:rPr>
                <w:rFonts w:ascii="Arial" w:cs="Arial" w:eastAsia="Arial" w:hAnsi="Arial"/>
                <w:sz w:val="18"/>
                <w:szCs w:val="18"/>
                <w:color w:val="auto"/>
              </w:rPr>
              <w:t>11,089.7</w:t>
            </w:r>
          </w:p>
        </w:tc>
        <w:tc>
          <w:tcPr>
            <w:tcW w:w="20" w:type="dxa"/>
            <w:vAlign w:val="bottom"/>
          </w:tcPr>
          <w:p>
            <w:pPr>
              <w:spacing w:after="0"/>
              <w:rPr>
                <w:sz w:val="21"/>
                <w:szCs w:val="21"/>
                <w:color w:val="auto"/>
              </w:rPr>
            </w:pPr>
          </w:p>
        </w:tc>
      </w:tr>
      <w:tr>
        <w:trPr>
          <w:trHeight w:val="182"/>
        </w:trPr>
        <w:tc>
          <w:tcPr>
            <w:tcW w:w="2100" w:type="dxa"/>
            <w:vAlign w:val="bottom"/>
          </w:tcPr>
          <w:p>
            <w:pPr>
              <w:spacing w:after="0" w:line="182" w:lineRule="exact"/>
              <w:rPr>
                <w:sz w:val="20"/>
                <w:szCs w:val="20"/>
                <w:color w:val="auto"/>
              </w:rPr>
            </w:pPr>
            <w:r>
              <w:rPr>
                <w:rFonts w:ascii="Arial" w:cs="Arial" w:eastAsia="Arial" w:hAnsi="Arial"/>
                <w:sz w:val="18"/>
                <w:szCs w:val="18"/>
                <w:color w:val="auto"/>
              </w:rPr>
              <w:t>Issuance of Common</w:t>
            </w:r>
          </w:p>
        </w:tc>
        <w:tc>
          <w:tcPr>
            <w:tcW w:w="5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Stock for equity awards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w w:val="98"/>
              </w:rPr>
              <w:t>granted under long-term</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rPr>
              <w:t>incentive plans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2,576.4</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2,576.4</w:t>
            </w:r>
          </w:p>
        </w:tc>
        <w:tc>
          <w:tcPr>
            <w:tcW w:w="20" w:type="dxa"/>
            <w:vAlign w:val="bottom"/>
          </w:tcPr>
          <w:p>
            <w:pPr>
              <w:spacing w:after="0"/>
              <w:rPr>
                <w:sz w:val="20"/>
                <w:szCs w:val="20"/>
                <w:color w:val="auto"/>
              </w:rPr>
            </w:pPr>
          </w:p>
        </w:tc>
      </w:tr>
      <w:tr>
        <w:trPr>
          <w:trHeight w:val="202"/>
        </w:trPr>
        <w:tc>
          <w:tcPr>
            <w:tcW w:w="2100" w:type="dxa"/>
            <w:vAlign w:val="bottom"/>
            <w:shd w:val="clear" w:color="auto" w:fill="CDEAFA"/>
          </w:tcPr>
          <w:p>
            <w:pPr>
              <w:spacing w:after="0" w:line="201" w:lineRule="exact"/>
              <w:rPr>
                <w:sz w:val="20"/>
                <w:szCs w:val="20"/>
                <w:color w:val="auto"/>
              </w:rPr>
            </w:pPr>
            <w:r>
              <w:rPr>
                <w:rFonts w:ascii="Arial" w:cs="Arial" w:eastAsia="Arial" w:hAnsi="Arial"/>
                <w:sz w:val="18"/>
                <w:szCs w:val="18"/>
                <w:color w:val="auto"/>
              </w:rPr>
              <w:t>Common Stock tendered</w:t>
            </w:r>
          </w:p>
        </w:tc>
        <w:tc>
          <w:tcPr>
            <w:tcW w:w="5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500" w:type="dxa"/>
            <w:vAlign w:val="bottom"/>
            <w:shd w:val="clear" w:color="auto" w:fill="CDEAFA"/>
          </w:tcPr>
          <w:p>
            <w:pPr>
              <w:spacing w:after="0"/>
              <w:rPr>
                <w:sz w:val="17"/>
                <w:szCs w:val="17"/>
                <w:color w:val="auto"/>
              </w:rPr>
            </w:pPr>
          </w:p>
        </w:tc>
        <w:tc>
          <w:tcPr>
            <w:tcW w:w="12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60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62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84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94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68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82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1040" w:type="dxa"/>
            <w:vAlign w:val="bottom"/>
            <w:shd w:val="clear" w:color="auto" w:fill="CDEAFA"/>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upon exercise of stock</w:t>
            </w:r>
          </w:p>
        </w:tc>
        <w:tc>
          <w:tcPr>
            <w:tcW w:w="5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0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62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9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options and vesting of</w:t>
            </w:r>
          </w:p>
        </w:tc>
        <w:tc>
          <w:tcPr>
            <w:tcW w:w="5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0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62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9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restricted stock for</w:t>
            </w:r>
          </w:p>
        </w:tc>
        <w:tc>
          <w:tcPr>
            <w:tcW w:w="5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0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62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9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employee tax</w:t>
            </w:r>
          </w:p>
        </w:tc>
        <w:tc>
          <w:tcPr>
            <w:tcW w:w="54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0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62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9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obligations</w:t>
            </w:r>
          </w:p>
        </w:tc>
        <w:tc>
          <w:tcPr>
            <w:tcW w:w="68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DEAFA"/>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DEAFA"/>
          </w:tcPr>
          <w:p>
            <w:pPr>
              <w:spacing w:after="0"/>
              <w:rPr>
                <w:sz w:val="20"/>
                <w:szCs w:val="20"/>
                <w:color w:val="auto"/>
              </w:rPr>
            </w:pPr>
          </w:p>
        </w:tc>
        <w:tc>
          <w:tcPr>
            <w:tcW w:w="70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DEAFA"/>
          </w:tcPr>
          <w:p>
            <w:pPr>
              <w:jc w:val="right"/>
              <w:ind w:right="30"/>
              <w:spacing w:after="0"/>
              <w:rPr>
                <w:sz w:val="20"/>
                <w:szCs w:val="20"/>
                <w:color w:val="auto"/>
              </w:rPr>
            </w:pPr>
            <w:r>
              <w:rPr>
                <w:rFonts w:ascii="Arial" w:cs="Arial" w:eastAsia="Arial" w:hAnsi="Arial"/>
                <w:sz w:val="18"/>
                <w:szCs w:val="18"/>
                <w:color w:val="auto"/>
              </w:rPr>
              <w:t>(768.9)</w:t>
            </w:r>
          </w:p>
        </w:tc>
        <w:tc>
          <w:tcPr>
            <w:tcW w:w="140" w:type="dxa"/>
            <w:vAlign w:val="bottom"/>
            <w:shd w:val="clear" w:color="auto" w:fill="CDEAFA"/>
          </w:tcPr>
          <w:p>
            <w:pPr>
              <w:spacing w:after="0"/>
              <w:rPr>
                <w:sz w:val="20"/>
                <w:szCs w:val="20"/>
                <w:color w:val="auto"/>
              </w:rPr>
            </w:pP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DEAFA"/>
          </w:tcPr>
          <w:p>
            <w:pPr>
              <w:spacing w:after="0"/>
              <w:rPr>
                <w:sz w:val="20"/>
                <w:szCs w:val="20"/>
                <w:color w:val="auto"/>
              </w:rPr>
            </w:pPr>
          </w:p>
        </w:tc>
        <w:tc>
          <w:tcPr>
            <w:tcW w:w="220" w:type="dxa"/>
            <w:vAlign w:val="bottom"/>
            <w:shd w:val="clear" w:color="auto" w:fill="CDEAFA"/>
          </w:tcPr>
          <w:p>
            <w:pPr>
              <w:spacing w:after="0"/>
              <w:rPr>
                <w:sz w:val="20"/>
                <w:szCs w:val="20"/>
                <w:color w:val="auto"/>
              </w:rPr>
            </w:pPr>
          </w:p>
        </w:tc>
        <w:tc>
          <w:tcPr>
            <w:tcW w:w="110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(768.9)</w:t>
            </w:r>
          </w:p>
        </w:tc>
        <w:tc>
          <w:tcPr>
            <w:tcW w:w="20" w:type="dxa"/>
            <w:vAlign w:val="bottom"/>
          </w:tcPr>
          <w:p>
            <w:pPr>
              <w:spacing w:after="0"/>
              <w:rPr>
                <w:sz w:val="20"/>
                <w:szCs w:val="20"/>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Issuance/distribution of</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Common Stock for</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rPr>
              <w:t>401(k) Savings Plan</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20"/>
                <w:szCs w:val="20"/>
                <w:color w:val="auto"/>
              </w:rPr>
            </w:pPr>
          </w:p>
        </w:tc>
      </w:tr>
      <w:tr>
        <w:trPr>
          <w:trHeight w:val="202"/>
        </w:trPr>
        <w:tc>
          <w:tcPr>
            <w:tcW w:w="2100" w:type="dxa"/>
            <w:vAlign w:val="bottom"/>
            <w:shd w:val="clear" w:color="auto" w:fill="CDEAFA"/>
          </w:tcPr>
          <w:p>
            <w:pPr>
              <w:spacing w:after="0" w:line="201" w:lineRule="exact"/>
              <w:rPr>
                <w:sz w:val="20"/>
                <w:szCs w:val="20"/>
                <w:color w:val="auto"/>
              </w:rPr>
            </w:pPr>
            <w:r>
              <w:rPr>
                <w:rFonts w:ascii="Arial" w:cs="Arial" w:eastAsia="Arial" w:hAnsi="Arial"/>
                <w:sz w:val="18"/>
                <w:szCs w:val="18"/>
                <w:color w:val="auto"/>
              </w:rPr>
              <w:t>Repurchases of Common</w:t>
            </w:r>
          </w:p>
        </w:tc>
        <w:tc>
          <w:tcPr>
            <w:tcW w:w="54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500" w:type="dxa"/>
            <w:vAlign w:val="bottom"/>
            <w:shd w:val="clear" w:color="auto" w:fill="CDEAFA"/>
          </w:tcPr>
          <w:p>
            <w:pPr>
              <w:spacing w:after="0"/>
              <w:rPr>
                <w:sz w:val="17"/>
                <w:szCs w:val="17"/>
                <w:color w:val="auto"/>
              </w:rPr>
            </w:pPr>
          </w:p>
        </w:tc>
        <w:tc>
          <w:tcPr>
            <w:tcW w:w="12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60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62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84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94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68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820" w:type="dxa"/>
            <w:vAlign w:val="bottom"/>
            <w:shd w:val="clear" w:color="auto" w:fill="CDEAFA"/>
          </w:tcPr>
          <w:p>
            <w:pPr>
              <w:spacing w:after="0"/>
              <w:rPr>
                <w:sz w:val="17"/>
                <w:szCs w:val="17"/>
                <w:color w:val="auto"/>
              </w:rPr>
            </w:pPr>
          </w:p>
        </w:tc>
        <w:tc>
          <w:tcPr>
            <w:tcW w:w="140" w:type="dxa"/>
            <w:vAlign w:val="bottom"/>
            <w:shd w:val="clear" w:color="auto" w:fill="CDEAFA"/>
          </w:tcPr>
          <w:p>
            <w:pPr>
              <w:spacing w:after="0"/>
              <w:rPr>
                <w:sz w:val="17"/>
                <w:szCs w:val="17"/>
                <w:color w:val="auto"/>
              </w:rPr>
            </w:pPr>
          </w:p>
        </w:tc>
        <w:tc>
          <w:tcPr>
            <w:tcW w:w="1040" w:type="dxa"/>
            <w:vAlign w:val="bottom"/>
            <w:shd w:val="clear" w:color="auto" w:fill="CDEAFA"/>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Stock</w:t>
            </w:r>
          </w:p>
        </w:tc>
        <w:tc>
          <w:tcPr>
            <w:tcW w:w="68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DEAFA"/>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AFA"/>
          </w:tcPr>
          <w:p>
            <w:pPr>
              <w:spacing w:after="0"/>
              <w:rPr>
                <w:sz w:val="20"/>
                <w:szCs w:val="20"/>
                <w:color w:val="auto"/>
              </w:rPr>
            </w:pPr>
          </w:p>
        </w:tc>
        <w:tc>
          <w:tcPr>
            <w:tcW w:w="102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DEAFA"/>
          </w:tcPr>
          <w:p>
            <w:pPr>
              <w:spacing w:after="0"/>
              <w:rPr>
                <w:sz w:val="20"/>
                <w:szCs w:val="20"/>
                <w:color w:val="auto"/>
              </w:rPr>
            </w:pPr>
          </w:p>
        </w:tc>
        <w:tc>
          <w:tcPr>
            <w:tcW w:w="220" w:type="dxa"/>
            <w:vAlign w:val="bottom"/>
            <w:shd w:val="clear" w:color="auto" w:fill="CDEAFA"/>
          </w:tcPr>
          <w:p>
            <w:pPr>
              <w:spacing w:after="0"/>
              <w:rPr>
                <w:sz w:val="20"/>
                <w:szCs w:val="20"/>
                <w:color w:val="auto"/>
              </w:rPr>
            </w:pPr>
          </w:p>
        </w:tc>
        <w:tc>
          <w:tcPr>
            <w:tcW w:w="110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DEAFA"/>
          </w:tcPr>
          <w:p>
            <w:pPr>
              <w:spacing w:after="0"/>
              <w:rPr>
                <w:sz w:val="20"/>
                <w:szCs w:val="20"/>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(5,880.9)</w:t>
            </w:r>
          </w:p>
        </w:tc>
        <w:tc>
          <w:tcPr>
            <w:tcW w:w="118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(5,880.9)</w:t>
            </w:r>
          </w:p>
        </w:tc>
        <w:tc>
          <w:tcPr>
            <w:tcW w:w="20" w:type="dxa"/>
            <w:vAlign w:val="bottom"/>
          </w:tcPr>
          <w:p>
            <w:pPr>
              <w:spacing w:after="0"/>
              <w:rPr>
                <w:sz w:val="20"/>
                <w:szCs w:val="20"/>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w w:val="95"/>
              </w:rPr>
              <w:t>Stock-based compensation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rPr>
              <w:t>charges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442.9</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442.9</w:t>
            </w:r>
          </w:p>
        </w:tc>
        <w:tc>
          <w:tcPr>
            <w:tcW w:w="20" w:type="dxa"/>
            <w:vAlign w:val="bottom"/>
          </w:tcPr>
          <w:p>
            <w:pPr>
              <w:spacing w:after="0"/>
              <w:rPr>
                <w:sz w:val="20"/>
                <w:szCs w:val="20"/>
                <w:color w:val="auto"/>
              </w:rPr>
            </w:pPr>
          </w:p>
        </w:tc>
      </w:tr>
      <w:tr>
        <w:trPr>
          <w:trHeight w:val="216"/>
        </w:trPr>
        <w:tc>
          <w:tcPr>
            <w:tcW w:w="2100" w:type="dxa"/>
            <w:vAlign w:val="bottom"/>
            <w:shd w:val="clear" w:color="auto" w:fill="CDEAFA"/>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DEAFA"/>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AFA"/>
          </w:tcPr>
          <w:p>
            <w:pPr>
              <w:spacing w:after="0"/>
              <w:rPr>
                <w:sz w:val="18"/>
                <w:szCs w:val="18"/>
                <w:color w:val="auto"/>
              </w:rPr>
            </w:pPr>
          </w:p>
        </w:tc>
        <w:tc>
          <w:tcPr>
            <w:tcW w:w="102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3,513.2</w:t>
            </w: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110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DEAFA"/>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DEAFA"/>
          </w:tcPr>
          <w:p>
            <w:pPr>
              <w:jc w:val="right"/>
              <w:ind w:right="10"/>
              <w:spacing w:after="0"/>
              <w:rPr>
                <w:sz w:val="20"/>
                <w:szCs w:val="20"/>
                <w:color w:val="auto"/>
              </w:rPr>
            </w:pPr>
            <w:r>
              <w:rPr>
                <w:rFonts w:ascii="Arial" w:cs="Arial" w:eastAsia="Arial" w:hAnsi="Arial"/>
                <w:sz w:val="18"/>
                <w:szCs w:val="18"/>
                <w:color w:val="auto"/>
              </w:rPr>
              <w:t>3,513.2</w:t>
            </w:r>
          </w:p>
        </w:tc>
        <w:tc>
          <w:tcPr>
            <w:tcW w:w="20" w:type="dxa"/>
            <w:vAlign w:val="bottom"/>
          </w:tcPr>
          <w:p>
            <w:pPr>
              <w:spacing w:after="0"/>
              <w:rPr>
                <w:sz w:val="18"/>
                <w:szCs w:val="18"/>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4"/>
        </w:trPr>
        <w:tc>
          <w:tcPr>
            <w:tcW w:w="2100" w:type="dxa"/>
            <w:vAlign w:val="bottom"/>
          </w:tcPr>
          <w:p>
            <w:pPr>
              <w:ind w:left="180"/>
              <w:spacing w:after="0"/>
              <w:rPr>
                <w:sz w:val="20"/>
                <w:szCs w:val="20"/>
                <w:color w:val="auto"/>
              </w:rPr>
            </w:pPr>
            <w:r>
              <w:rPr>
                <w:rFonts w:ascii="Arial" w:cs="Arial" w:eastAsia="Arial" w:hAnsi="Arial"/>
                <w:sz w:val="18"/>
                <w:szCs w:val="18"/>
                <w:color w:val="auto"/>
              </w:rPr>
              <w:t>income, net of tax</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1"/>
                <w:szCs w:val="21"/>
                <w:color w:val="auto"/>
              </w:rPr>
            </w:pPr>
          </w:p>
        </w:tc>
      </w:tr>
      <w:tr>
        <w:trPr>
          <w:trHeight w:val="178"/>
        </w:trPr>
        <w:tc>
          <w:tcPr>
            <w:tcW w:w="2100" w:type="dxa"/>
            <w:vAlign w:val="bottom"/>
            <w:tcBorders>
              <w:top w:val="single" w:sz="8" w:color="CDEAFA"/>
            </w:tcBorders>
            <w:shd w:val="clear" w:color="auto" w:fill="CDEAFA"/>
          </w:tcPr>
          <w:p>
            <w:pPr>
              <w:spacing w:after="0" w:line="177" w:lineRule="exact"/>
              <w:rPr>
                <w:sz w:val="20"/>
                <w:szCs w:val="20"/>
                <w:color w:val="auto"/>
              </w:rPr>
            </w:pPr>
            <w:r>
              <w:rPr>
                <w:rFonts w:ascii="Arial" w:cs="Arial" w:eastAsia="Arial" w:hAnsi="Arial"/>
                <w:sz w:val="18"/>
                <w:szCs w:val="18"/>
                <w:b w:val="1"/>
                <w:bCs w:val="1"/>
                <w:color w:val="auto"/>
              </w:rPr>
              <w:t>Balance, December 31,</w:t>
            </w:r>
          </w:p>
        </w:tc>
        <w:tc>
          <w:tcPr>
            <w:tcW w:w="54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500" w:type="dxa"/>
            <w:vAlign w:val="bottom"/>
            <w:tcBorders>
              <w:top w:val="single" w:sz="8" w:color="auto"/>
            </w:tcBorders>
            <w:shd w:val="clear" w:color="auto" w:fill="CDEAFA"/>
          </w:tcPr>
          <w:p>
            <w:pPr>
              <w:spacing w:after="0"/>
              <w:rPr>
                <w:sz w:val="15"/>
                <w:szCs w:val="15"/>
                <w:color w:val="auto"/>
              </w:rPr>
            </w:pPr>
          </w:p>
        </w:tc>
        <w:tc>
          <w:tcPr>
            <w:tcW w:w="120" w:type="dxa"/>
            <w:vAlign w:val="bottom"/>
            <w:tcBorders>
              <w:top w:val="single" w:sz="8" w:color="CDEAFA"/>
            </w:tcBorders>
            <w:shd w:val="clear" w:color="auto" w:fill="CDEAFA"/>
          </w:tcPr>
          <w:p>
            <w:pPr>
              <w:spacing w:after="0"/>
              <w:rPr>
                <w:sz w:val="15"/>
                <w:szCs w:val="15"/>
                <w:color w:val="auto"/>
              </w:rPr>
            </w:pPr>
          </w:p>
        </w:tc>
        <w:tc>
          <w:tcPr>
            <w:tcW w:w="160" w:type="dxa"/>
            <w:vAlign w:val="bottom"/>
            <w:tcBorders>
              <w:top w:val="single" w:sz="8" w:color="CDEAFA"/>
            </w:tcBorders>
            <w:shd w:val="clear" w:color="auto" w:fill="CDEAFA"/>
          </w:tcPr>
          <w:p>
            <w:pPr>
              <w:spacing w:after="0"/>
              <w:rPr>
                <w:sz w:val="15"/>
                <w:szCs w:val="15"/>
                <w:color w:val="auto"/>
              </w:rPr>
            </w:pPr>
          </w:p>
        </w:tc>
        <w:tc>
          <w:tcPr>
            <w:tcW w:w="60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620" w:type="dxa"/>
            <w:vAlign w:val="bottom"/>
            <w:tcBorders>
              <w:top w:val="single" w:sz="8" w:color="auto"/>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88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840" w:type="dxa"/>
            <w:vAlign w:val="bottom"/>
            <w:tcBorders>
              <w:top w:val="single" w:sz="8" w:color="auto"/>
            </w:tcBorders>
            <w:shd w:val="clear" w:color="auto" w:fill="CDEAFA"/>
          </w:tcPr>
          <w:p>
            <w:pPr>
              <w:spacing w:after="0"/>
              <w:rPr>
                <w:sz w:val="15"/>
                <w:szCs w:val="15"/>
                <w:color w:val="auto"/>
              </w:rPr>
            </w:pPr>
          </w:p>
        </w:tc>
        <w:tc>
          <w:tcPr>
            <w:tcW w:w="160" w:type="dxa"/>
            <w:vAlign w:val="bottom"/>
            <w:tcBorders>
              <w:top w:val="single" w:sz="8" w:color="CDEAFA"/>
            </w:tcBorders>
            <w:shd w:val="clear" w:color="auto" w:fill="CDEAFA"/>
          </w:tcPr>
          <w:p>
            <w:pPr>
              <w:spacing w:after="0"/>
              <w:rPr>
                <w:sz w:val="15"/>
                <w:szCs w:val="15"/>
                <w:color w:val="auto"/>
              </w:rPr>
            </w:pPr>
          </w:p>
        </w:tc>
        <w:tc>
          <w:tcPr>
            <w:tcW w:w="220" w:type="dxa"/>
            <w:vAlign w:val="bottom"/>
            <w:tcBorders>
              <w:top w:val="single" w:sz="8" w:color="auto"/>
            </w:tcBorders>
            <w:shd w:val="clear" w:color="auto" w:fill="CDEAFA"/>
          </w:tcPr>
          <w:p>
            <w:pPr>
              <w:spacing w:after="0"/>
              <w:rPr>
                <w:sz w:val="15"/>
                <w:szCs w:val="15"/>
                <w:color w:val="auto"/>
              </w:rPr>
            </w:pPr>
          </w:p>
        </w:tc>
        <w:tc>
          <w:tcPr>
            <w:tcW w:w="940" w:type="dxa"/>
            <w:vAlign w:val="bottom"/>
            <w:tcBorders>
              <w:top w:val="single" w:sz="8" w:color="auto"/>
            </w:tcBorders>
            <w:shd w:val="clear" w:color="auto" w:fill="CDEAFA"/>
          </w:tcPr>
          <w:p>
            <w:pPr>
              <w:spacing w:after="0"/>
              <w:rPr>
                <w:sz w:val="15"/>
                <w:szCs w:val="15"/>
                <w:color w:val="auto"/>
              </w:rPr>
            </w:pPr>
          </w:p>
        </w:tc>
        <w:tc>
          <w:tcPr>
            <w:tcW w:w="160" w:type="dxa"/>
            <w:vAlign w:val="bottom"/>
            <w:tcBorders>
              <w:top w:val="single" w:sz="8" w:color="CDEAFA"/>
            </w:tcBorders>
            <w:shd w:val="clear" w:color="auto" w:fill="CDEAFA"/>
          </w:tcPr>
          <w:p>
            <w:pPr>
              <w:spacing w:after="0"/>
              <w:rPr>
                <w:sz w:val="15"/>
                <w:szCs w:val="15"/>
                <w:color w:val="auto"/>
              </w:rPr>
            </w:pPr>
          </w:p>
        </w:tc>
        <w:tc>
          <w:tcPr>
            <w:tcW w:w="68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820" w:type="dxa"/>
            <w:vAlign w:val="bottom"/>
            <w:tcBorders>
              <w:top w:val="single" w:sz="8" w:color="auto"/>
            </w:tcBorders>
            <w:shd w:val="clear" w:color="auto" w:fill="CDEAFA"/>
          </w:tcPr>
          <w:p>
            <w:pPr>
              <w:spacing w:after="0"/>
              <w:rPr>
                <w:sz w:val="15"/>
                <w:szCs w:val="15"/>
                <w:color w:val="auto"/>
              </w:rPr>
            </w:pPr>
          </w:p>
        </w:tc>
        <w:tc>
          <w:tcPr>
            <w:tcW w:w="140" w:type="dxa"/>
            <w:vAlign w:val="bottom"/>
            <w:tcBorders>
              <w:top w:val="single" w:sz="8" w:color="CDEAFA"/>
            </w:tcBorders>
            <w:shd w:val="clear" w:color="auto" w:fill="CDEAFA"/>
          </w:tcPr>
          <w:p>
            <w:pPr>
              <w:spacing w:after="0"/>
              <w:rPr>
                <w:sz w:val="15"/>
                <w:szCs w:val="15"/>
                <w:color w:val="auto"/>
              </w:rPr>
            </w:pPr>
          </w:p>
        </w:tc>
        <w:tc>
          <w:tcPr>
            <w:tcW w:w="1040" w:type="dxa"/>
            <w:vAlign w:val="bottom"/>
            <w:tcBorders>
              <w:top w:val="single" w:sz="8" w:color="auto"/>
            </w:tcBorders>
            <w:shd w:val="clear" w:color="auto" w:fill="CDEAFA"/>
          </w:tcPr>
          <w:p>
            <w:pPr>
              <w:spacing w:after="0"/>
              <w:rPr>
                <w:sz w:val="15"/>
                <w:szCs w:val="15"/>
                <w:color w:val="auto"/>
              </w:rPr>
            </w:pPr>
          </w:p>
        </w:tc>
        <w:tc>
          <w:tcPr>
            <w:tcW w:w="20" w:type="dxa"/>
            <w:vAlign w:val="bottom"/>
          </w:tcPr>
          <w:p>
            <w:pPr>
              <w:spacing w:after="0"/>
              <w:rPr>
                <w:sz w:val="15"/>
                <w:szCs w:val="15"/>
                <w:color w:val="auto"/>
              </w:rPr>
            </w:pPr>
          </w:p>
        </w:tc>
      </w:tr>
      <w:tr>
        <w:trPr>
          <w:trHeight w:val="248"/>
        </w:trPr>
        <w:tc>
          <w:tcPr>
            <w:tcW w:w="2100" w:type="dxa"/>
            <w:vAlign w:val="bottom"/>
            <w:shd w:val="clear" w:color="auto" w:fill="CDEAFA"/>
          </w:tcPr>
          <w:p>
            <w:pPr>
              <w:ind w:left="180"/>
              <w:spacing w:after="0"/>
              <w:rPr>
                <w:sz w:val="20"/>
                <w:szCs w:val="20"/>
                <w:color w:val="auto"/>
              </w:rPr>
            </w:pPr>
            <w:r>
              <w:rPr>
                <w:rFonts w:ascii="Arial" w:cs="Arial" w:eastAsia="Arial" w:hAnsi="Arial"/>
                <w:sz w:val="18"/>
                <w:szCs w:val="18"/>
                <w:b w:val="1"/>
                <w:bCs w:val="1"/>
                <w:color w:val="auto"/>
              </w:rPr>
              <w:t>2020</w:t>
            </w:r>
          </w:p>
        </w:tc>
        <w:tc>
          <w:tcPr>
            <w:tcW w:w="5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DEAFA"/>
          </w:tcPr>
          <w:p>
            <w:pPr>
              <w:spacing w:after="0"/>
              <w:rPr>
                <w:sz w:val="21"/>
                <w:szCs w:val="21"/>
                <w:color w:val="auto"/>
              </w:rPr>
            </w:pPr>
          </w:p>
        </w:tc>
        <w:tc>
          <w:tcPr>
            <w:tcW w:w="780" w:type="dxa"/>
            <w:vAlign w:val="bottom"/>
            <w:gridSpan w:val="3"/>
            <w:shd w:val="clear" w:color="auto" w:fill="CDEAFA"/>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121.5</w:t>
            </w:r>
          </w:p>
        </w:tc>
        <w:tc>
          <w:tcPr>
            <w:tcW w:w="140" w:type="dxa"/>
            <w:vAlign w:val="bottom"/>
            <w:shd w:val="clear" w:color="auto" w:fill="CDEAFA"/>
          </w:tcPr>
          <w:p>
            <w:pPr>
              <w:spacing w:after="0"/>
              <w:rPr>
                <w:sz w:val="21"/>
                <w:szCs w:val="21"/>
                <w:color w:val="auto"/>
              </w:rPr>
            </w:pPr>
          </w:p>
        </w:tc>
        <w:tc>
          <w:tcPr>
            <w:tcW w:w="62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DEAFA"/>
          </w:tcPr>
          <w:p>
            <w:pPr>
              <w:spacing w:after="0"/>
              <w:rPr>
                <w:sz w:val="21"/>
                <w:szCs w:val="21"/>
                <w:color w:val="auto"/>
              </w:rPr>
            </w:pPr>
          </w:p>
        </w:tc>
        <w:tc>
          <w:tcPr>
            <w:tcW w:w="960" w:type="dxa"/>
            <w:vAlign w:val="bottom"/>
            <w:gridSpan w:val="2"/>
            <w:shd w:val="clear" w:color="auto" w:fill="CDEAFA"/>
          </w:tcPr>
          <w:p>
            <w:pPr>
              <w:jc w:val="right"/>
              <w:ind w:right="90"/>
              <w:spacing w:after="0"/>
              <w:rPr>
                <w:sz w:val="20"/>
                <w:szCs w:val="20"/>
                <w:color w:val="auto"/>
              </w:rPr>
            </w:pPr>
            <w:r>
              <w:rPr>
                <w:rFonts w:ascii="Arial" w:cs="Arial" w:eastAsia="Arial" w:hAnsi="Arial"/>
                <w:sz w:val="18"/>
                <w:szCs w:val="18"/>
                <w:color w:val="auto"/>
              </w:rPr>
              <w:t>6,716.2</w:t>
            </w:r>
          </w:p>
        </w:tc>
        <w:tc>
          <w:tcPr>
            <w:tcW w:w="140" w:type="dxa"/>
            <w:vAlign w:val="bottom"/>
            <w:shd w:val="clear" w:color="auto" w:fill="CDEAFA"/>
          </w:tcPr>
          <w:p>
            <w:pPr>
              <w:spacing w:after="0"/>
              <w:rPr>
                <w:sz w:val="21"/>
                <w:szCs w:val="21"/>
                <w:color w:val="auto"/>
              </w:rPr>
            </w:pPr>
          </w:p>
        </w:tc>
        <w:tc>
          <w:tcPr>
            <w:tcW w:w="8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10,893.0</w:t>
            </w:r>
          </w:p>
        </w:tc>
        <w:tc>
          <w:tcPr>
            <w:tcW w:w="160" w:type="dxa"/>
            <w:vAlign w:val="bottom"/>
            <w:shd w:val="clear" w:color="auto" w:fill="CDEAFA"/>
          </w:tcPr>
          <w:p>
            <w:pPr>
              <w:spacing w:after="0"/>
              <w:rPr>
                <w:sz w:val="21"/>
                <w:szCs w:val="21"/>
                <w:color w:val="auto"/>
              </w:rPr>
            </w:pPr>
          </w:p>
        </w:tc>
        <w:tc>
          <w:tcPr>
            <w:tcW w:w="220" w:type="dxa"/>
            <w:vAlign w:val="bottom"/>
            <w:shd w:val="clear" w:color="auto" w:fill="CDEAFA"/>
          </w:tcPr>
          <w:p>
            <w:pPr>
              <w:spacing w:after="0"/>
              <w:rPr>
                <w:sz w:val="21"/>
                <w:szCs w:val="21"/>
                <w:color w:val="auto"/>
              </w:rPr>
            </w:pPr>
          </w:p>
        </w:tc>
        <w:tc>
          <w:tcPr>
            <w:tcW w:w="940" w:type="dxa"/>
            <w:vAlign w:val="bottom"/>
            <w:shd w:val="clear" w:color="auto" w:fill="CDEAFA"/>
          </w:tcPr>
          <w:p>
            <w:pPr>
              <w:jc w:val="right"/>
              <w:ind w:right="7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DEAFA"/>
          </w:tcPr>
          <w:p>
            <w:pPr>
              <w:spacing w:after="0"/>
              <w:rPr>
                <w:sz w:val="21"/>
                <w:szCs w:val="21"/>
                <w:color w:val="auto"/>
              </w:rPr>
            </w:pP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DEAFA"/>
          </w:tcPr>
          <w:p>
            <w:pPr>
              <w:spacing w:after="0"/>
              <w:rPr>
                <w:sz w:val="21"/>
                <w:szCs w:val="21"/>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(6,613.3)</w:t>
            </w:r>
          </w:p>
        </w:tc>
        <w:tc>
          <w:tcPr>
            <w:tcW w:w="1180" w:type="dxa"/>
            <w:vAlign w:val="bottom"/>
            <w:gridSpan w:val="2"/>
            <w:shd w:val="clear" w:color="auto" w:fill="CDEAFA"/>
          </w:tcPr>
          <w:p>
            <w:pPr>
              <w:jc w:val="right"/>
              <w:ind w:right="10"/>
              <w:spacing w:after="0"/>
              <w:rPr>
                <w:sz w:val="20"/>
                <w:szCs w:val="20"/>
                <w:color w:val="auto"/>
              </w:rPr>
            </w:pPr>
            <w:r>
              <w:rPr>
                <w:rFonts w:ascii="Arial" w:cs="Arial" w:eastAsia="Arial" w:hAnsi="Arial"/>
                <w:sz w:val="18"/>
                <w:szCs w:val="18"/>
                <w:color w:val="auto"/>
              </w:rPr>
              <w:t>11,025.3</w:t>
            </w:r>
          </w:p>
        </w:tc>
        <w:tc>
          <w:tcPr>
            <w:tcW w:w="20" w:type="dxa"/>
            <w:vAlign w:val="bottom"/>
          </w:tcPr>
          <w:p>
            <w:pPr>
              <w:spacing w:after="0"/>
              <w:rPr>
                <w:sz w:val="21"/>
                <w:szCs w:val="21"/>
                <w:color w:val="auto"/>
              </w:rPr>
            </w:pPr>
          </w:p>
        </w:tc>
      </w:tr>
      <w:tr>
        <w:trPr>
          <w:trHeight w:val="399"/>
        </w:trPr>
        <w:tc>
          <w:tcPr>
            <w:tcW w:w="2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F-6</w:t>
            </w:r>
          </w:p>
        </w:tc>
        <w:tc>
          <w:tcPr>
            <w:tcW w:w="1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100" w:type="dxa"/>
            <w:vAlign w:val="bottom"/>
            <w:tcBorders>
              <w:bottom w:val="single" w:sz="8" w:color="C0C0C0"/>
            </w:tcBorders>
          </w:tcPr>
          <w:p>
            <w:pPr>
              <w:spacing w:after="0"/>
              <w:rPr>
                <w:sz w:val="21"/>
                <w:szCs w:val="21"/>
                <w:color w:val="auto"/>
              </w:rPr>
            </w:pPr>
          </w:p>
        </w:tc>
        <w:tc>
          <w:tcPr>
            <w:tcW w:w="5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60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84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94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68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8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040" w:type="dxa"/>
            <w:vAlign w:val="bottom"/>
            <w:tcBorders>
              <w:bottom w:val="single" w:sz="8" w:color="C0C0C0"/>
            </w:tcBorders>
          </w:tcPr>
          <w:p>
            <w:pPr>
              <w:spacing w:after="0"/>
              <w:rPr>
                <w:sz w:val="21"/>
                <w:szCs w:val="21"/>
                <w:color w:val="auto"/>
              </w:rPr>
            </w:pPr>
          </w:p>
        </w:tc>
        <w:tc>
          <w:tcPr>
            <w:tcW w:w="20" w:type="dxa"/>
            <w:vAlign w:val="bottom"/>
          </w:tcPr>
          <w:p>
            <w:pPr>
              <w:spacing w:after="0"/>
              <w:rPr>
                <w:sz w:val="21"/>
                <w:szCs w:val="21"/>
                <w:color w:val="auto"/>
              </w:rPr>
            </w:pPr>
          </w:p>
        </w:tc>
      </w:tr>
    </w:tbl>
    <w:p>
      <w:pPr>
        <w:sectPr>
          <w:pgSz w:w="11900" w:h="16838" w:orient="portrait"/>
          <w:cols w:equalWidth="0" w:num="1">
            <w:col w:w="11260"/>
          </w:cols>
          <w:pgMar w:left="320" w:top="405" w:right="31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18"/>
          </w:tcPr>
          <w:p>
            <w:pPr>
              <w:ind w:left="2500"/>
              <w:spacing w:after="0"/>
              <w:rPr>
                <w:sz w:val="20"/>
                <w:szCs w:val="20"/>
                <w:color w:val="auto"/>
              </w:rPr>
            </w:pPr>
            <w:r>
              <w:rPr>
                <w:rFonts w:ascii="Arial" w:cs="Arial" w:eastAsia="Arial" w:hAnsi="Arial"/>
                <w:sz w:val="18"/>
                <w:szCs w:val="18"/>
                <w:b w:val="1"/>
                <w:bCs w:val="1"/>
                <w:color w:val="auto"/>
              </w:rPr>
              <w:t xml:space="preserve">CONSOLIDATED STATEMENTS OF STOCKHOLDERS’ EQUITY </w:t>
            </w:r>
            <w:r>
              <w:rPr>
                <w:rFonts w:ascii="Arial" w:cs="Arial" w:eastAsia="Arial" w:hAnsi="Arial"/>
                <w:sz w:val="18"/>
                <w:szCs w:val="18"/>
                <w:b w:val="1"/>
                <w:bCs w:val="1"/>
                <w:i w:val="1"/>
                <w:iCs w:val="1"/>
                <w:color w:val="auto"/>
              </w:rPr>
              <w:t>(continued)</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2820" w:type="dxa"/>
            <w:vAlign w:val="bottom"/>
          </w:tcPr>
          <w:p>
            <w:pPr>
              <w:spacing w:after="0"/>
              <w:rPr>
                <w:sz w:val="20"/>
                <w:szCs w:val="20"/>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Class A Stock</w:t>
            </w: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w w:val="95"/>
              </w:rPr>
              <w:t>Common Stock</w:t>
            </w:r>
          </w:p>
        </w:tc>
        <w:tc>
          <w:tcPr>
            <w:tcW w:w="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Retained</w:t>
            </w: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Comprehensive</w:t>
            </w:r>
          </w:p>
        </w:tc>
        <w:tc>
          <w:tcPr>
            <w:tcW w:w="1560" w:type="dxa"/>
            <w:vAlign w:val="bottom"/>
            <w:gridSpan w:val="4"/>
          </w:tcPr>
          <w:p>
            <w:pPr>
              <w:ind w:left="160"/>
              <w:spacing w:after="0"/>
              <w:rPr>
                <w:sz w:val="20"/>
                <w:szCs w:val="20"/>
                <w:color w:val="auto"/>
              </w:rPr>
            </w:pPr>
            <w:r>
              <w:rPr>
                <w:rFonts w:ascii="Arial" w:cs="Arial" w:eastAsia="Arial" w:hAnsi="Arial"/>
                <w:sz w:val="18"/>
                <w:szCs w:val="18"/>
                <w:b w:val="1"/>
                <w:bCs w:val="1"/>
                <w:color w:val="auto"/>
              </w:rPr>
              <w:t>Treasury Stock</w:t>
            </w:r>
          </w:p>
        </w:tc>
        <w:tc>
          <w:tcPr>
            <w:tcW w:w="1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2820" w:type="dxa"/>
            <w:vAlign w:val="bottom"/>
          </w:tcPr>
          <w:p>
            <w:pPr>
              <w:spacing w:after="0"/>
              <w:rPr>
                <w:sz w:val="19"/>
                <w:szCs w:val="19"/>
                <w:color w:val="auto"/>
              </w:rPr>
            </w:pPr>
          </w:p>
        </w:tc>
        <w:tc>
          <w:tcPr>
            <w:tcW w:w="12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Shares Amount</w:t>
            </w: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Shares</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Earnings</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Equity</w:t>
            </w:r>
          </w:p>
        </w:tc>
      </w:tr>
      <w:tr>
        <w:trPr>
          <w:trHeight w:val="182"/>
        </w:trPr>
        <w:tc>
          <w:tcPr>
            <w:tcW w:w="2820" w:type="dxa"/>
            <w:vAlign w:val="bottom"/>
            <w:tcBorders>
              <w:top w:val="single" w:sz="8" w:color="CDEAFA"/>
            </w:tcBorders>
            <w:shd w:val="clear" w:color="auto" w:fill="CDEAFA"/>
          </w:tcPr>
          <w:p>
            <w:pPr>
              <w:spacing w:after="0" w:line="182" w:lineRule="exact"/>
              <w:rPr>
                <w:sz w:val="20"/>
                <w:szCs w:val="20"/>
                <w:color w:val="auto"/>
              </w:rPr>
            </w:pPr>
            <w:r>
              <w:rPr>
                <w:rFonts w:ascii="Arial" w:cs="Arial" w:eastAsia="Arial" w:hAnsi="Arial"/>
                <w:sz w:val="18"/>
                <w:szCs w:val="18"/>
                <w:color w:val="auto"/>
              </w:rPr>
              <w:t>Issuance of Common Stock for</w:t>
            </w:r>
          </w:p>
        </w:tc>
        <w:tc>
          <w:tcPr>
            <w:tcW w:w="540" w:type="dxa"/>
            <w:vAlign w:val="bottom"/>
            <w:tcBorders>
              <w:top w:val="single" w:sz="8" w:color="auto"/>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620" w:type="dxa"/>
            <w:vAlign w:val="bottom"/>
            <w:tcBorders>
              <w:top w:val="single" w:sz="8" w:color="auto"/>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580" w:type="dxa"/>
            <w:vAlign w:val="bottom"/>
            <w:tcBorders>
              <w:top w:val="single" w:sz="8" w:color="auto"/>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620" w:type="dxa"/>
            <w:vAlign w:val="bottom"/>
            <w:tcBorders>
              <w:top w:val="single" w:sz="8" w:color="auto"/>
            </w:tcBorders>
            <w:shd w:val="clear" w:color="auto" w:fill="CDEAFA"/>
          </w:tcPr>
          <w:p>
            <w:pPr>
              <w:spacing w:after="0"/>
              <w:rPr>
                <w:sz w:val="15"/>
                <w:szCs w:val="15"/>
                <w:color w:val="auto"/>
              </w:rPr>
            </w:pPr>
          </w:p>
        </w:tc>
        <w:tc>
          <w:tcPr>
            <w:tcW w:w="40" w:type="dxa"/>
            <w:vAlign w:val="bottom"/>
            <w:tcBorders>
              <w:top w:val="single" w:sz="8" w:color="CDEAFA"/>
            </w:tcBorders>
            <w:shd w:val="clear" w:color="auto" w:fill="CDEAFA"/>
          </w:tcPr>
          <w:p>
            <w:pPr>
              <w:spacing w:after="0"/>
              <w:rPr>
                <w:sz w:val="15"/>
                <w:szCs w:val="15"/>
                <w:color w:val="auto"/>
              </w:rPr>
            </w:pPr>
          </w:p>
        </w:tc>
        <w:tc>
          <w:tcPr>
            <w:tcW w:w="40" w:type="dxa"/>
            <w:vAlign w:val="bottom"/>
            <w:tcBorders>
              <w:top w:val="single" w:sz="8" w:color="CDEAFA"/>
            </w:tcBorders>
            <w:shd w:val="clear" w:color="auto" w:fill="CDEAFA"/>
          </w:tcPr>
          <w:p>
            <w:pPr>
              <w:spacing w:after="0"/>
              <w:rPr>
                <w:sz w:val="15"/>
                <w:szCs w:val="15"/>
                <w:color w:val="auto"/>
              </w:rPr>
            </w:pPr>
          </w:p>
        </w:tc>
        <w:tc>
          <w:tcPr>
            <w:tcW w:w="900" w:type="dxa"/>
            <w:vAlign w:val="bottom"/>
            <w:tcBorders>
              <w:top w:val="single" w:sz="8" w:color="auto"/>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820" w:type="dxa"/>
            <w:vAlign w:val="bottom"/>
            <w:tcBorders>
              <w:top w:val="single" w:sz="8" w:color="auto"/>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220" w:type="dxa"/>
            <w:vAlign w:val="bottom"/>
            <w:tcBorders>
              <w:top w:val="single" w:sz="8" w:color="auto"/>
            </w:tcBorders>
            <w:shd w:val="clear" w:color="auto" w:fill="CDEAFA"/>
          </w:tcPr>
          <w:p>
            <w:pPr>
              <w:spacing w:after="0"/>
              <w:rPr>
                <w:sz w:val="15"/>
                <w:szCs w:val="15"/>
                <w:color w:val="auto"/>
              </w:rPr>
            </w:pPr>
          </w:p>
        </w:tc>
        <w:tc>
          <w:tcPr>
            <w:tcW w:w="960" w:type="dxa"/>
            <w:vAlign w:val="bottom"/>
            <w:tcBorders>
              <w:top w:val="single" w:sz="8" w:color="auto"/>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580" w:type="dxa"/>
            <w:vAlign w:val="bottom"/>
            <w:tcBorders>
              <w:top w:val="single" w:sz="8" w:color="auto"/>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820" w:type="dxa"/>
            <w:vAlign w:val="bottom"/>
            <w:tcBorders>
              <w:top w:val="single" w:sz="8" w:color="auto"/>
            </w:tcBorders>
            <w:shd w:val="clear" w:color="auto" w:fill="CDEAFA"/>
          </w:tcPr>
          <w:p>
            <w:pPr>
              <w:spacing w:after="0"/>
              <w:rPr>
                <w:sz w:val="15"/>
                <w:szCs w:val="15"/>
                <w:color w:val="auto"/>
              </w:rPr>
            </w:pPr>
          </w:p>
        </w:tc>
        <w:tc>
          <w:tcPr>
            <w:tcW w:w="80" w:type="dxa"/>
            <w:vAlign w:val="bottom"/>
            <w:tcBorders>
              <w:top w:val="single" w:sz="8" w:color="CDEAFA"/>
            </w:tcBorders>
            <w:shd w:val="clear" w:color="auto" w:fill="CDEAFA"/>
          </w:tcPr>
          <w:p>
            <w:pPr>
              <w:spacing w:after="0"/>
              <w:rPr>
                <w:sz w:val="15"/>
                <w:szCs w:val="15"/>
                <w:color w:val="auto"/>
              </w:rPr>
            </w:pPr>
          </w:p>
        </w:tc>
        <w:tc>
          <w:tcPr>
            <w:tcW w:w="20" w:type="dxa"/>
            <w:vAlign w:val="bottom"/>
            <w:tcBorders>
              <w:top w:val="single" w:sz="8" w:color="CDEAFA"/>
            </w:tcBorders>
            <w:shd w:val="clear" w:color="auto" w:fill="CDEAFA"/>
          </w:tcPr>
          <w:p>
            <w:pPr>
              <w:spacing w:after="0"/>
              <w:rPr>
                <w:sz w:val="15"/>
                <w:szCs w:val="15"/>
                <w:color w:val="auto"/>
              </w:rPr>
            </w:pPr>
          </w:p>
        </w:tc>
        <w:tc>
          <w:tcPr>
            <w:tcW w:w="1020" w:type="dxa"/>
            <w:vAlign w:val="bottom"/>
            <w:tcBorders>
              <w:top w:val="single" w:sz="8" w:color="auto"/>
            </w:tcBorders>
            <w:shd w:val="clear" w:color="auto" w:fill="CDEAFA"/>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820" w:type="dxa"/>
            <w:vAlign w:val="bottom"/>
            <w:shd w:val="clear" w:color="auto" w:fill="CDEAFA"/>
          </w:tcPr>
          <w:p>
            <w:pPr>
              <w:ind w:left="180"/>
              <w:spacing w:after="0"/>
              <w:rPr>
                <w:sz w:val="20"/>
                <w:szCs w:val="20"/>
                <w:color w:val="auto"/>
              </w:rPr>
            </w:pPr>
            <w:r>
              <w:rPr>
                <w:rFonts w:ascii="Arial" w:cs="Arial" w:eastAsia="Arial" w:hAnsi="Arial"/>
                <w:sz w:val="18"/>
                <w:szCs w:val="18"/>
                <w:color w:val="auto"/>
                <w:w w:val="95"/>
              </w:rPr>
              <w:t>equity awards granted under long-</w:t>
            </w:r>
          </w:p>
        </w:tc>
        <w:tc>
          <w:tcPr>
            <w:tcW w:w="54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62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58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62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90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96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58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20" w:type="dxa"/>
            <w:vAlign w:val="bottom"/>
            <w:shd w:val="clear" w:color="auto" w:fill="CDEAFA"/>
          </w:tcPr>
          <w:p>
            <w:pPr>
              <w:spacing w:after="0"/>
              <w:rPr>
                <w:sz w:val="18"/>
                <w:szCs w:val="18"/>
                <w:color w:val="auto"/>
              </w:rPr>
            </w:pPr>
          </w:p>
        </w:tc>
        <w:tc>
          <w:tcPr>
            <w:tcW w:w="1020" w:type="dxa"/>
            <w:vAlign w:val="bottom"/>
            <w:shd w:val="clear" w:color="auto" w:fill="CDEAFA"/>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term incentive plans</w:t>
            </w:r>
          </w:p>
        </w:tc>
        <w:tc>
          <w:tcPr>
            <w:tcW w:w="62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DEAFA"/>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DEAFA"/>
          </w:tcPr>
          <w:p>
            <w:pPr>
              <w:spacing w:after="0"/>
              <w:rPr>
                <w:sz w:val="20"/>
                <w:szCs w:val="20"/>
                <w:color w:val="auto"/>
              </w:rPr>
            </w:pPr>
          </w:p>
        </w:tc>
        <w:tc>
          <w:tcPr>
            <w:tcW w:w="660" w:type="dxa"/>
            <w:vAlign w:val="bottom"/>
            <w:gridSpan w:val="2"/>
            <w:shd w:val="clear" w:color="auto" w:fill="CDEAFA"/>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DEAFA"/>
          </w:tcPr>
          <w:p>
            <w:pPr>
              <w:jc w:val="right"/>
              <w:ind w:right="90"/>
              <w:spacing w:after="0"/>
              <w:rPr>
                <w:sz w:val="20"/>
                <w:szCs w:val="20"/>
                <w:color w:val="auto"/>
              </w:rPr>
            </w:pPr>
            <w:r>
              <w:rPr>
                <w:rFonts w:ascii="Arial" w:cs="Arial" w:eastAsia="Arial" w:hAnsi="Arial"/>
                <w:sz w:val="18"/>
                <w:szCs w:val="18"/>
                <w:color w:val="auto"/>
              </w:rPr>
              <w:t>1,676.0</w:t>
            </w:r>
          </w:p>
        </w:tc>
        <w:tc>
          <w:tcPr>
            <w:tcW w:w="80" w:type="dxa"/>
            <w:vAlign w:val="bottom"/>
            <w:shd w:val="clear" w:color="auto" w:fill="CDEAFA"/>
          </w:tcPr>
          <w:p>
            <w:pPr>
              <w:spacing w:after="0"/>
              <w:rPr>
                <w:sz w:val="20"/>
                <w:szCs w:val="20"/>
                <w:color w:val="auto"/>
              </w:rPr>
            </w:pPr>
          </w:p>
        </w:tc>
        <w:tc>
          <w:tcPr>
            <w:tcW w:w="900" w:type="dxa"/>
            <w:vAlign w:val="bottom"/>
            <w:gridSpan w:val="2"/>
            <w:shd w:val="clear" w:color="auto" w:fill="CDEAFA"/>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DEAFA"/>
          </w:tcPr>
          <w:p>
            <w:pPr>
              <w:spacing w:after="0"/>
              <w:rPr>
                <w:sz w:val="20"/>
                <w:szCs w:val="20"/>
                <w:color w:val="auto"/>
              </w:rPr>
            </w:pPr>
          </w:p>
        </w:tc>
        <w:tc>
          <w:tcPr>
            <w:tcW w:w="104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AFA"/>
          </w:tcPr>
          <w:p>
            <w:pPr>
              <w:spacing w:after="0"/>
              <w:rPr>
                <w:sz w:val="20"/>
                <w:szCs w:val="20"/>
                <w:color w:val="auto"/>
              </w:rPr>
            </w:pPr>
          </w:p>
        </w:tc>
        <w:tc>
          <w:tcPr>
            <w:tcW w:w="900" w:type="dxa"/>
            <w:vAlign w:val="bottom"/>
            <w:gridSpan w:val="2"/>
            <w:shd w:val="clear" w:color="auto" w:fill="CDEAFA"/>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DEAFA"/>
          </w:tcPr>
          <w:p>
            <w:pPr>
              <w:jc w:val="right"/>
              <w:ind w:right="110"/>
              <w:spacing w:after="0"/>
              <w:rPr>
                <w:sz w:val="20"/>
                <w:szCs w:val="20"/>
                <w:color w:val="auto"/>
              </w:rPr>
            </w:pPr>
            <w:r>
              <w:rPr>
                <w:rFonts w:ascii="Arial" w:cs="Arial" w:eastAsia="Arial" w:hAnsi="Arial"/>
                <w:sz w:val="18"/>
                <w:szCs w:val="18"/>
                <w:color w:val="auto"/>
              </w:rPr>
              <w:t>1,676.0</w:t>
            </w:r>
          </w:p>
        </w:tc>
        <w:tc>
          <w:tcPr>
            <w:tcW w:w="20" w:type="dxa"/>
            <w:vAlign w:val="bottom"/>
          </w:tcPr>
          <w:p>
            <w:pPr>
              <w:spacing w:after="0"/>
              <w:rPr>
                <w:sz w:val="20"/>
                <w:szCs w:val="20"/>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Common Stock tendered upon</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exercise of stock options and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vesting of restricted stock for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tcPr>
          <w:p>
            <w:pPr>
              <w:ind w:left="180"/>
              <w:spacing w:after="0"/>
              <w:rPr>
                <w:sz w:val="20"/>
                <w:szCs w:val="20"/>
                <w:color w:val="auto"/>
              </w:rPr>
            </w:pPr>
            <w:r>
              <w:rPr>
                <w:rFonts w:ascii="Arial" w:cs="Arial" w:eastAsia="Arial" w:hAnsi="Arial"/>
                <w:sz w:val="18"/>
                <w:szCs w:val="18"/>
                <w:color w:val="auto"/>
              </w:rPr>
              <w:t>employee tax obligations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(944.6)</w:t>
            </w:r>
          </w:p>
        </w:tc>
        <w:tc>
          <w:tcPr>
            <w:tcW w:w="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(944.6)</w:t>
            </w:r>
          </w:p>
        </w:tc>
        <w:tc>
          <w:tcPr>
            <w:tcW w:w="20" w:type="dxa"/>
            <w:vAlign w:val="bottom"/>
          </w:tcPr>
          <w:p>
            <w:pPr>
              <w:spacing w:after="0"/>
              <w:rPr>
                <w:sz w:val="20"/>
                <w:szCs w:val="20"/>
                <w:color w:val="auto"/>
              </w:rPr>
            </w:pPr>
          </w:p>
        </w:tc>
      </w:tr>
      <w:tr>
        <w:trPr>
          <w:trHeight w:val="202"/>
        </w:trPr>
        <w:tc>
          <w:tcPr>
            <w:tcW w:w="2820" w:type="dxa"/>
            <w:vAlign w:val="bottom"/>
            <w:shd w:val="clear" w:color="auto" w:fill="CDEAFA"/>
          </w:tcPr>
          <w:p>
            <w:pPr>
              <w:spacing w:after="0" w:line="201" w:lineRule="exact"/>
              <w:rPr>
                <w:sz w:val="20"/>
                <w:szCs w:val="20"/>
                <w:color w:val="auto"/>
              </w:rPr>
            </w:pPr>
            <w:r>
              <w:rPr>
                <w:rFonts w:ascii="Arial" w:cs="Arial" w:eastAsia="Arial" w:hAnsi="Arial"/>
                <w:sz w:val="18"/>
                <w:szCs w:val="18"/>
                <w:color w:val="auto"/>
              </w:rPr>
              <w:t>Issuance/distribution of Common</w:t>
            </w:r>
          </w:p>
        </w:tc>
        <w:tc>
          <w:tcPr>
            <w:tcW w:w="54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62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58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620" w:type="dxa"/>
            <w:vAlign w:val="bottom"/>
            <w:shd w:val="clear" w:color="auto" w:fill="CDEAFA"/>
          </w:tcPr>
          <w:p>
            <w:pPr>
              <w:spacing w:after="0"/>
              <w:rPr>
                <w:sz w:val="17"/>
                <w:szCs w:val="17"/>
                <w:color w:val="auto"/>
              </w:rPr>
            </w:pPr>
          </w:p>
        </w:tc>
        <w:tc>
          <w:tcPr>
            <w:tcW w:w="40" w:type="dxa"/>
            <w:vAlign w:val="bottom"/>
            <w:shd w:val="clear" w:color="auto" w:fill="CDEAFA"/>
          </w:tcPr>
          <w:p>
            <w:pPr>
              <w:spacing w:after="0"/>
              <w:rPr>
                <w:sz w:val="17"/>
                <w:szCs w:val="17"/>
                <w:color w:val="auto"/>
              </w:rPr>
            </w:pPr>
          </w:p>
        </w:tc>
        <w:tc>
          <w:tcPr>
            <w:tcW w:w="40" w:type="dxa"/>
            <w:vAlign w:val="bottom"/>
            <w:shd w:val="clear" w:color="auto" w:fill="CDEAFA"/>
          </w:tcPr>
          <w:p>
            <w:pPr>
              <w:spacing w:after="0"/>
              <w:rPr>
                <w:sz w:val="17"/>
                <w:szCs w:val="17"/>
                <w:color w:val="auto"/>
              </w:rPr>
            </w:pPr>
          </w:p>
        </w:tc>
        <w:tc>
          <w:tcPr>
            <w:tcW w:w="90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82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96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58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820" w:type="dxa"/>
            <w:vAlign w:val="bottom"/>
            <w:shd w:val="clear" w:color="auto" w:fill="CDEAFA"/>
          </w:tcPr>
          <w:p>
            <w:pPr>
              <w:spacing w:after="0"/>
              <w:rPr>
                <w:sz w:val="17"/>
                <w:szCs w:val="17"/>
                <w:color w:val="auto"/>
              </w:rPr>
            </w:pPr>
          </w:p>
        </w:tc>
        <w:tc>
          <w:tcPr>
            <w:tcW w:w="80" w:type="dxa"/>
            <w:vAlign w:val="bottom"/>
            <w:shd w:val="clear" w:color="auto" w:fill="CDEAFA"/>
          </w:tcPr>
          <w:p>
            <w:pPr>
              <w:spacing w:after="0"/>
              <w:rPr>
                <w:sz w:val="17"/>
                <w:szCs w:val="17"/>
                <w:color w:val="auto"/>
              </w:rPr>
            </w:pPr>
          </w:p>
        </w:tc>
        <w:tc>
          <w:tcPr>
            <w:tcW w:w="20" w:type="dxa"/>
            <w:vAlign w:val="bottom"/>
            <w:shd w:val="clear" w:color="auto" w:fill="CDEAFA"/>
          </w:tcPr>
          <w:p>
            <w:pPr>
              <w:spacing w:after="0"/>
              <w:rPr>
                <w:sz w:val="17"/>
                <w:szCs w:val="17"/>
                <w:color w:val="auto"/>
              </w:rPr>
            </w:pPr>
          </w:p>
        </w:tc>
        <w:tc>
          <w:tcPr>
            <w:tcW w:w="1020" w:type="dxa"/>
            <w:vAlign w:val="bottom"/>
            <w:shd w:val="clear" w:color="auto" w:fill="CDEAFA"/>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820" w:type="dxa"/>
            <w:vAlign w:val="bottom"/>
            <w:shd w:val="clear" w:color="auto" w:fill="CDEAFA"/>
          </w:tcPr>
          <w:p>
            <w:pPr>
              <w:ind w:left="180"/>
              <w:spacing w:after="0"/>
              <w:rPr>
                <w:sz w:val="20"/>
                <w:szCs w:val="20"/>
                <w:color w:val="auto"/>
              </w:rPr>
            </w:pPr>
            <w:r>
              <w:rPr>
                <w:rFonts w:ascii="Arial" w:cs="Arial" w:eastAsia="Arial" w:hAnsi="Arial"/>
                <w:sz w:val="18"/>
                <w:szCs w:val="18"/>
                <w:color w:val="auto"/>
              </w:rPr>
              <w:t>Stock for 401(k) Savings Plan</w:t>
            </w:r>
          </w:p>
        </w:tc>
        <w:tc>
          <w:tcPr>
            <w:tcW w:w="62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DEAFA"/>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AFA"/>
          </w:tcPr>
          <w:p>
            <w:pPr>
              <w:spacing w:after="0"/>
              <w:rPr>
                <w:sz w:val="20"/>
                <w:szCs w:val="20"/>
                <w:color w:val="auto"/>
              </w:rPr>
            </w:pPr>
          </w:p>
        </w:tc>
        <w:tc>
          <w:tcPr>
            <w:tcW w:w="660" w:type="dxa"/>
            <w:vAlign w:val="bottom"/>
            <w:gridSpan w:val="2"/>
            <w:shd w:val="clear" w:color="auto" w:fill="CDEAFA"/>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DEAFA"/>
          </w:tcPr>
          <w:p>
            <w:pPr>
              <w:jc w:val="right"/>
              <w:ind w:right="9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DEAFA"/>
          </w:tcPr>
          <w:p>
            <w:pPr>
              <w:spacing w:after="0"/>
              <w:rPr>
                <w:sz w:val="20"/>
                <w:szCs w:val="20"/>
                <w:color w:val="auto"/>
              </w:rPr>
            </w:pPr>
          </w:p>
        </w:tc>
        <w:tc>
          <w:tcPr>
            <w:tcW w:w="900" w:type="dxa"/>
            <w:vAlign w:val="bottom"/>
            <w:gridSpan w:val="2"/>
            <w:shd w:val="clear" w:color="auto" w:fill="CDEAFA"/>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DEAFA"/>
          </w:tcPr>
          <w:p>
            <w:pPr>
              <w:spacing w:after="0"/>
              <w:rPr>
                <w:sz w:val="20"/>
                <w:szCs w:val="20"/>
                <w:color w:val="auto"/>
              </w:rPr>
            </w:pPr>
          </w:p>
        </w:tc>
        <w:tc>
          <w:tcPr>
            <w:tcW w:w="104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DEAFA"/>
          </w:tcPr>
          <w:p>
            <w:pPr>
              <w:jc w:val="right"/>
              <w:ind w:right="1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DEAFA"/>
          </w:tcPr>
          <w:p>
            <w:pPr>
              <w:spacing w:after="0"/>
              <w:rPr>
                <w:sz w:val="20"/>
                <w:szCs w:val="20"/>
                <w:color w:val="auto"/>
              </w:rPr>
            </w:pPr>
          </w:p>
        </w:tc>
        <w:tc>
          <w:tcPr>
            <w:tcW w:w="1040" w:type="dxa"/>
            <w:vAlign w:val="bottom"/>
            <w:gridSpan w:val="2"/>
            <w:shd w:val="clear" w:color="auto" w:fill="CDEAFA"/>
          </w:tcPr>
          <w:p>
            <w:pPr>
              <w:jc w:val="right"/>
              <w:ind w:right="110"/>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20"/>
                <w:szCs w:val="20"/>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(1,655.0)</w:t>
            </w:r>
          </w:p>
        </w:tc>
        <w:tc>
          <w:tcPr>
            <w:tcW w:w="8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(1,655.0)</w:t>
            </w:r>
          </w:p>
        </w:tc>
        <w:tc>
          <w:tcPr>
            <w:tcW w:w="20" w:type="dxa"/>
            <w:vAlign w:val="bottom"/>
          </w:tcPr>
          <w:p>
            <w:pPr>
              <w:spacing w:after="0"/>
              <w:rPr>
                <w:sz w:val="18"/>
                <w:szCs w:val="18"/>
                <w:color w:val="auto"/>
              </w:rPr>
            </w:pPr>
          </w:p>
        </w:tc>
      </w:tr>
      <w:tr>
        <w:trPr>
          <w:trHeight w:val="216"/>
        </w:trPr>
        <w:tc>
          <w:tcPr>
            <w:tcW w:w="2820" w:type="dxa"/>
            <w:vAlign w:val="bottom"/>
            <w:shd w:val="clear" w:color="auto" w:fill="CDEAFA"/>
          </w:tcPr>
          <w:p>
            <w:pPr>
              <w:spacing w:after="0"/>
              <w:rPr>
                <w:sz w:val="20"/>
                <w:szCs w:val="20"/>
                <w:color w:val="auto"/>
              </w:rPr>
            </w:pPr>
            <w:r>
              <w:rPr>
                <w:rFonts w:ascii="Arial" w:cs="Arial" w:eastAsia="Arial" w:hAnsi="Arial"/>
                <w:sz w:val="18"/>
                <w:szCs w:val="18"/>
                <w:color w:val="auto"/>
                <w:w w:val="97"/>
              </w:rPr>
              <w:t>Stock-based compensation charges</w:t>
            </w:r>
          </w:p>
        </w:tc>
        <w:tc>
          <w:tcPr>
            <w:tcW w:w="62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DEAFA"/>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AFA"/>
          </w:tcPr>
          <w:p>
            <w:pPr>
              <w:spacing w:after="0"/>
              <w:rPr>
                <w:sz w:val="18"/>
                <w:szCs w:val="18"/>
                <w:color w:val="auto"/>
              </w:rPr>
            </w:pPr>
          </w:p>
        </w:tc>
        <w:tc>
          <w:tcPr>
            <w:tcW w:w="660" w:type="dxa"/>
            <w:vAlign w:val="bottom"/>
            <w:gridSpan w:val="2"/>
            <w:shd w:val="clear" w:color="auto" w:fill="CDEAFA"/>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DEAFA"/>
          </w:tcPr>
          <w:p>
            <w:pPr>
              <w:jc w:val="right"/>
              <w:ind w:right="90"/>
              <w:spacing w:after="0"/>
              <w:rPr>
                <w:sz w:val="20"/>
                <w:szCs w:val="20"/>
                <w:color w:val="auto"/>
              </w:rPr>
            </w:pPr>
            <w:r>
              <w:rPr>
                <w:rFonts w:ascii="Arial" w:cs="Arial" w:eastAsia="Arial" w:hAnsi="Arial"/>
                <w:sz w:val="18"/>
                <w:szCs w:val="18"/>
                <w:color w:val="auto"/>
              </w:rPr>
              <w:t>599.2</w:t>
            </w:r>
          </w:p>
        </w:tc>
        <w:tc>
          <w:tcPr>
            <w:tcW w:w="80" w:type="dxa"/>
            <w:vAlign w:val="bottom"/>
            <w:shd w:val="clear" w:color="auto" w:fill="CDEAFA"/>
          </w:tcPr>
          <w:p>
            <w:pPr>
              <w:spacing w:after="0"/>
              <w:rPr>
                <w:sz w:val="18"/>
                <w:szCs w:val="18"/>
                <w:color w:val="auto"/>
              </w:rPr>
            </w:pPr>
          </w:p>
        </w:tc>
        <w:tc>
          <w:tcPr>
            <w:tcW w:w="900" w:type="dxa"/>
            <w:vAlign w:val="bottom"/>
            <w:gridSpan w:val="2"/>
            <w:shd w:val="clear" w:color="auto" w:fill="CDEAFA"/>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DEAFA"/>
          </w:tcPr>
          <w:p>
            <w:pPr>
              <w:spacing w:after="0"/>
              <w:rPr>
                <w:sz w:val="18"/>
                <w:szCs w:val="18"/>
                <w:color w:val="auto"/>
              </w:rPr>
            </w:pPr>
          </w:p>
        </w:tc>
        <w:tc>
          <w:tcPr>
            <w:tcW w:w="104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AFA"/>
          </w:tcPr>
          <w:p>
            <w:pPr>
              <w:spacing w:after="0"/>
              <w:rPr>
                <w:sz w:val="18"/>
                <w:szCs w:val="18"/>
                <w:color w:val="auto"/>
              </w:rPr>
            </w:pPr>
          </w:p>
        </w:tc>
        <w:tc>
          <w:tcPr>
            <w:tcW w:w="900" w:type="dxa"/>
            <w:vAlign w:val="bottom"/>
            <w:gridSpan w:val="2"/>
            <w:shd w:val="clear" w:color="auto" w:fill="CDEAFA"/>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DEAFA"/>
          </w:tcPr>
          <w:p>
            <w:pPr>
              <w:jc w:val="right"/>
              <w:ind w:right="110"/>
              <w:spacing w:after="0"/>
              <w:rPr>
                <w:sz w:val="20"/>
                <w:szCs w:val="20"/>
                <w:color w:val="auto"/>
              </w:rPr>
            </w:pPr>
            <w:r>
              <w:rPr>
                <w:rFonts w:ascii="Arial" w:cs="Arial" w:eastAsia="Arial" w:hAnsi="Arial"/>
                <w:sz w:val="18"/>
                <w:szCs w:val="18"/>
                <w:color w:val="auto"/>
              </w:rPr>
              <w:t>599.2</w:t>
            </w: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8,075.3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8,075.3</w:t>
            </w:r>
          </w:p>
        </w:tc>
        <w:tc>
          <w:tcPr>
            <w:tcW w:w="20" w:type="dxa"/>
            <w:vAlign w:val="bottom"/>
          </w:tcPr>
          <w:p>
            <w:pPr>
              <w:spacing w:after="0"/>
              <w:rPr>
                <w:sz w:val="18"/>
                <w:szCs w:val="18"/>
                <w:color w:val="auto"/>
              </w:rPr>
            </w:pPr>
          </w:p>
        </w:tc>
      </w:tr>
      <w:tr>
        <w:trPr>
          <w:trHeight w:val="229"/>
        </w:trPr>
        <w:tc>
          <w:tcPr>
            <w:tcW w:w="2820" w:type="dxa"/>
            <w:vAlign w:val="bottom"/>
            <w:shd w:val="clear" w:color="auto" w:fill="CDEAFA"/>
          </w:tcPr>
          <w:p>
            <w:pPr>
              <w:spacing w:after="0"/>
              <w:rPr>
                <w:sz w:val="20"/>
                <w:szCs w:val="20"/>
                <w:color w:val="auto"/>
              </w:rPr>
            </w:pPr>
            <w:r>
              <w:rPr>
                <w:rFonts w:ascii="Arial" w:cs="Arial" w:eastAsia="Arial" w:hAnsi="Arial"/>
                <w:sz w:val="18"/>
                <w:szCs w:val="18"/>
                <w:color w:val="auto"/>
                <w:w w:val="95"/>
              </w:rPr>
              <w:t>Other comprehensive loss, net of tax</w:t>
            </w:r>
          </w:p>
        </w:tc>
        <w:tc>
          <w:tcPr>
            <w:tcW w:w="62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DEAFA"/>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AFA"/>
          </w:tcPr>
          <w:p>
            <w:pPr>
              <w:spacing w:after="0"/>
              <w:rPr>
                <w:sz w:val="19"/>
                <w:szCs w:val="19"/>
                <w:color w:val="auto"/>
              </w:rPr>
            </w:pPr>
          </w:p>
        </w:tc>
        <w:tc>
          <w:tcPr>
            <w:tcW w:w="660" w:type="dxa"/>
            <w:vAlign w:val="bottom"/>
            <w:gridSpan w:val="2"/>
            <w:shd w:val="clear" w:color="auto" w:fill="CDEAFA"/>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DEAFA"/>
          </w:tcPr>
          <w:p>
            <w:pPr>
              <w:spacing w:after="0"/>
              <w:rPr>
                <w:sz w:val="19"/>
                <w:szCs w:val="19"/>
                <w:color w:val="auto"/>
              </w:rPr>
            </w:pPr>
          </w:p>
        </w:tc>
        <w:tc>
          <w:tcPr>
            <w:tcW w:w="900" w:type="dxa"/>
            <w:vAlign w:val="bottom"/>
            <w:shd w:val="clear" w:color="auto" w:fill="CDEAFA"/>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AFA"/>
          </w:tcPr>
          <w:p>
            <w:pPr>
              <w:spacing w:after="0"/>
              <w:rPr>
                <w:sz w:val="19"/>
                <w:szCs w:val="19"/>
                <w:color w:val="auto"/>
              </w:rPr>
            </w:pPr>
          </w:p>
        </w:tc>
        <w:tc>
          <w:tcPr>
            <w:tcW w:w="900" w:type="dxa"/>
            <w:vAlign w:val="bottom"/>
            <w:gridSpan w:val="2"/>
            <w:shd w:val="clear" w:color="auto" w:fill="CDEAFA"/>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DEAFA"/>
          </w:tcPr>
          <w:p>
            <w:pPr>
              <w:spacing w:after="0"/>
              <w:rPr>
                <w:sz w:val="19"/>
                <w:szCs w:val="19"/>
                <w:color w:val="auto"/>
              </w:rPr>
            </w:pPr>
          </w:p>
        </w:tc>
        <w:tc>
          <w:tcPr>
            <w:tcW w:w="960" w:type="dxa"/>
            <w:vAlign w:val="bottom"/>
            <w:shd w:val="clear" w:color="auto" w:fill="CDEAFA"/>
          </w:tcPr>
          <w:p>
            <w:pPr>
              <w:jc w:val="right"/>
              <w:ind w:right="9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DEAFA"/>
          </w:tcPr>
          <w:p>
            <w:pPr>
              <w:spacing w:after="0"/>
              <w:rPr>
                <w:sz w:val="19"/>
                <w:szCs w:val="19"/>
                <w:color w:val="auto"/>
              </w:rPr>
            </w:pPr>
          </w:p>
        </w:tc>
        <w:tc>
          <w:tcPr>
            <w:tcW w:w="5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DEAFA"/>
          </w:tcPr>
          <w:p>
            <w:pPr>
              <w:spacing w:after="0"/>
              <w:rPr>
                <w:sz w:val="19"/>
                <w:szCs w:val="19"/>
                <w:color w:val="auto"/>
              </w:rPr>
            </w:pPr>
          </w:p>
        </w:tc>
        <w:tc>
          <w:tcPr>
            <w:tcW w:w="900" w:type="dxa"/>
            <w:vAlign w:val="bottom"/>
            <w:gridSpan w:val="2"/>
            <w:shd w:val="clear" w:color="auto" w:fill="CDEAFA"/>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DEAFA"/>
          </w:tcPr>
          <w:p>
            <w:pPr>
              <w:jc w:val="right"/>
              <w:ind w:right="50"/>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9"/>
                <w:szCs w:val="19"/>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8"/>
                <w:szCs w:val="18"/>
                <w:b w:val="1"/>
                <w:bCs w:val="1"/>
                <w:color w:val="auto"/>
              </w:rPr>
              <w:t>Balance, December 31, 2021</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126.2</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  0.1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$ 8,087.5</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18,968.3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(8,260.9)</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$ 18,768.8</w:t>
            </w:r>
          </w:p>
        </w:tc>
        <w:tc>
          <w:tcPr>
            <w:tcW w:w="2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405" w:right="31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CDEAFA"/>
            </w:tcBorders>
          </w:tcPr>
          <w:p>
            <w:pPr>
              <w:spacing w:after="0"/>
              <w:rPr>
                <w:sz w:val="19"/>
                <w:szCs w:val="19"/>
                <w:color w:val="auto"/>
              </w:rPr>
            </w:pPr>
          </w:p>
        </w:tc>
        <w:tc>
          <w:tcPr>
            <w:tcW w:w="24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6280" w:type="dxa"/>
            <w:vAlign w:val="bottom"/>
            <w:shd w:val="clear" w:color="auto" w:fill="CDEAFA"/>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8,075.3</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3,513.2</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2,115.8</w:t>
            </w:r>
          </w:p>
        </w:tc>
      </w:tr>
      <w:tr>
        <w:trPr>
          <w:trHeight w:val="216"/>
        </w:trPr>
        <w:tc>
          <w:tcPr>
            <w:tcW w:w="6280" w:type="dxa"/>
            <w:vAlign w:val="bottom"/>
            <w:shd w:val="clear" w:color="auto" w:fill="CDEAFA"/>
          </w:tcPr>
          <w:p>
            <w:pPr>
              <w:ind w:left="180"/>
              <w:spacing w:after="0"/>
              <w:rPr>
                <w:sz w:val="20"/>
                <w:szCs w:val="20"/>
                <w:color w:val="auto"/>
              </w:rPr>
            </w:pPr>
            <w:r>
              <w:rPr>
                <w:rFonts w:ascii="Arial" w:cs="Arial" w:eastAsia="Arial" w:hAnsi="Arial"/>
                <w:sz w:val="18"/>
                <w:szCs w:val="18"/>
                <w:color w:val="auto"/>
                <w:w w:val="95"/>
              </w:rPr>
              <w:t>Adjustments to reconcile net income to net cash provided by operating activities:</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235.9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210.3</w:t>
            </w:r>
          </w:p>
        </w:tc>
      </w:tr>
      <w:tr>
        <w:trPr>
          <w:trHeight w:val="216"/>
        </w:trPr>
        <w:tc>
          <w:tcPr>
            <w:tcW w:w="6280" w:type="dxa"/>
            <w:vAlign w:val="bottom"/>
            <w:shd w:val="clear" w:color="auto" w:fill="CDEAFA"/>
          </w:tcPr>
          <w:p>
            <w:pPr>
              <w:ind w:left="360"/>
              <w:spacing w:after="0"/>
              <w:rPr>
                <w:sz w:val="20"/>
                <w:szCs w:val="20"/>
                <w:color w:val="auto"/>
              </w:rPr>
            </w:pPr>
            <w:r>
              <w:rPr>
                <w:rFonts w:ascii="Arial" w:cs="Arial" w:eastAsia="Arial" w:hAnsi="Arial"/>
                <w:sz w:val="18"/>
                <w:szCs w:val="18"/>
                <w:color w:val="auto"/>
              </w:rPr>
              <w:t>Non-cash compensation expense</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601.7</w:t>
            </w: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432.0</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464.3</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Gains on marketable and other securities, net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16"/>
        </w:trPr>
        <w:tc>
          <w:tcPr>
            <w:tcW w:w="6280" w:type="dxa"/>
            <w:vAlign w:val="bottom"/>
            <w:shd w:val="clear" w:color="auto" w:fill="CDEAFA"/>
          </w:tcPr>
          <w:p>
            <w:pPr>
              <w:ind w:left="360"/>
              <w:spacing w:after="0"/>
              <w:rPr>
                <w:sz w:val="20"/>
                <w:szCs w:val="20"/>
                <w:color w:val="auto"/>
              </w:rPr>
            </w:pPr>
            <w:r>
              <w:rPr>
                <w:rFonts w:ascii="Arial" w:cs="Arial" w:eastAsia="Arial" w:hAnsi="Arial"/>
                <w:sz w:val="18"/>
                <w:szCs w:val="18"/>
                <w:color w:val="auto"/>
              </w:rPr>
              <w:t>Other non-cash items, net</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568.7</w:t>
            </w: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86.8</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102.2</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(147.1)</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16"/>
        </w:trPr>
        <w:tc>
          <w:tcPr>
            <w:tcW w:w="6280" w:type="dxa"/>
            <w:vAlign w:val="bottom"/>
            <w:shd w:val="clear" w:color="auto" w:fill="CDEAFA"/>
          </w:tcPr>
          <w:p>
            <w:pPr>
              <w:ind w:left="36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r>
      <w:tr>
        <w:trPr>
          <w:trHeight w:val="216"/>
        </w:trPr>
        <w:tc>
          <w:tcPr>
            <w:tcW w:w="6280" w:type="dxa"/>
            <w:vAlign w:val="bottom"/>
          </w:tcPr>
          <w:p>
            <w:pPr>
              <w:ind w:left="540"/>
              <w:spacing w:after="0"/>
              <w:rPr>
                <w:sz w:val="20"/>
                <w:szCs w:val="20"/>
                <w:color w:val="auto"/>
              </w:rPr>
            </w:pPr>
            <w:r>
              <w:rPr>
                <w:rFonts w:ascii="Arial" w:cs="Arial" w:eastAsia="Arial" w:hAnsi="Arial"/>
                <w:sz w:val="18"/>
                <w:szCs w:val="18"/>
                <w:color w:val="auto"/>
              </w:rPr>
              <w:t>Increase in accounts receivable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(1,927.4)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(1,356.1)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(523.7)</w:t>
            </w:r>
          </w:p>
        </w:tc>
      </w:tr>
      <w:tr>
        <w:trPr>
          <w:trHeight w:val="216"/>
        </w:trPr>
        <w:tc>
          <w:tcPr>
            <w:tcW w:w="6280" w:type="dxa"/>
            <w:vAlign w:val="bottom"/>
            <w:shd w:val="clear" w:color="auto" w:fill="CDEAFA"/>
          </w:tcPr>
          <w:p>
            <w:pPr>
              <w:ind w:left="540"/>
              <w:spacing w:after="0"/>
              <w:rPr>
                <w:sz w:val="20"/>
                <w:szCs w:val="20"/>
                <w:color w:val="auto"/>
              </w:rPr>
            </w:pPr>
            <w:r>
              <w:rPr>
                <w:rFonts w:ascii="Arial" w:cs="Arial" w:eastAsia="Arial" w:hAnsi="Arial"/>
                <w:sz w:val="18"/>
                <w:szCs w:val="18"/>
                <w:color w:val="auto"/>
              </w:rPr>
              <w:t>Increase in inventories</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(494.3)</w:t>
            </w: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(529.4)</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(335.5)</w:t>
            </w:r>
          </w:p>
        </w:tc>
      </w:tr>
      <w:tr>
        <w:trPr>
          <w:trHeight w:val="216"/>
        </w:trPr>
        <w:tc>
          <w:tcPr>
            <w:tcW w:w="6280" w:type="dxa"/>
            <w:vAlign w:val="bottom"/>
          </w:tcPr>
          <w:p>
            <w:pPr>
              <w:ind w:left="540"/>
              <w:spacing w:after="0"/>
              <w:rPr>
                <w:sz w:val="20"/>
                <w:szCs w:val="20"/>
                <w:color w:val="auto"/>
              </w:rPr>
            </w:pPr>
            <w:r>
              <w:rPr>
                <w:rFonts w:ascii="Arial" w:cs="Arial" w:eastAsia="Arial" w:hAnsi="Arial"/>
                <w:sz w:val="18"/>
                <w:szCs w:val="18"/>
                <w:color w:val="auto"/>
              </w:rPr>
              <w:t>(Increase) decrease in prepaid expenses and other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16"/>
        </w:trPr>
        <w:tc>
          <w:tcPr>
            <w:tcW w:w="6280" w:type="dxa"/>
            <w:vAlign w:val="bottom"/>
            <w:shd w:val="clear" w:color="auto" w:fill="CDEAFA"/>
          </w:tcPr>
          <w:p>
            <w:pPr>
              <w:ind w:left="540"/>
              <w:spacing w:after="0"/>
              <w:rPr>
                <w:sz w:val="20"/>
                <w:szCs w:val="20"/>
                <w:color w:val="auto"/>
              </w:rPr>
            </w:pPr>
            <w:r>
              <w:rPr>
                <w:rFonts w:ascii="Arial" w:cs="Arial" w:eastAsia="Arial" w:hAnsi="Arial"/>
                <w:sz w:val="18"/>
                <w:szCs w:val="18"/>
                <w:color w:val="auto"/>
              </w:rPr>
              <w:t>(Decrease) increase in deferred revenue</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(120.2)</w:t>
            </w: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148.1</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139.5</w:t>
            </w:r>
          </w:p>
        </w:tc>
      </w:tr>
      <w:tr>
        <w:trPr>
          <w:trHeight w:val="230"/>
        </w:trPr>
        <w:tc>
          <w:tcPr>
            <w:tcW w:w="6280" w:type="dxa"/>
            <w:vAlign w:val="bottom"/>
            <w:tcBorders>
              <w:bottom w:val="single" w:sz="8" w:color="CDEAFA"/>
            </w:tcBorders>
          </w:tcPr>
          <w:p>
            <w:pPr>
              <w:ind w:left="54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24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118.9</w:t>
            </w:r>
          </w:p>
        </w:tc>
        <w:tc>
          <w:tcPr>
            <w:tcW w:w="32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599.0</w:t>
            </w:r>
          </w:p>
        </w:tc>
      </w:tr>
      <w:tr>
        <w:trPr>
          <w:trHeight w:val="223"/>
        </w:trPr>
        <w:tc>
          <w:tcPr>
            <w:tcW w:w="6280" w:type="dxa"/>
            <w:vAlign w:val="bottom"/>
            <w:shd w:val="clear" w:color="auto" w:fill="CDEAFA"/>
          </w:tcPr>
          <w:p>
            <w:pPr>
              <w:ind w:left="180"/>
              <w:spacing w:after="0"/>
              <w:rPr>
                <w:sz w:val="20"/>
                <w:szCs w:val="20"/>
                <w:color w:val="auto"/>
              </w:rPr>
            </w:pPr>
            <w:r>
              <w:rPr>
                <w:rFonts w:ascii="Arial" w:cs="Arial" w:eastAsia="Arial" w:hAnsi="Arial"/>
                <w:sz w:val="18"/>
                <w:szCs w:val="18"/>
                <w:color w:val="auto"/>
              </w:rPr>
              <w:t>Total adjustments</w:t>
            </w:r>
          </w:p>
        </w:tc>
        <w:tc>
          <w:tcPr>
            <w:tcW w:w="24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(994.0)</w:t>
            </w:r>
          </w:p>
        </w:tc>
        <w:tc>
          <w:tcPr>
            <w:tcW w:w="40" w:type="dxa"/>
            <w:vAlign w:val="bottom"/>
            <w:tcBorders>
              <w:bottom w:val="single" w:sz="8" w:color="auto"/>
            </w:tcBorders>
            <w:shd w:val="clear" w:color="auto" w:fill="CDEAFA"/>
          </w:tcPr>
          <w:p>
            <w:pPr>
              <w:spacing w:after="0"/>
              <w:rPr>
                <w:sz w:val="19"/>
                <w:szCs w:val="19"/>
                <w:color w:val="auto"/>
              </w:rPr>
            </w:pPr>
          </w:p>
        </w:tc>
        <w:tc>
          <w:tcPr>
            <w:tcW w:w="34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(895.1)</w:t>
            </w:r>
          </w:p>
        </w:tc>
        <w:tc>
          <w:tcPr>
            <w:tcW w:w="32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314.2</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7,081.3</w:t>
            </w:r>
          </w:p>
        </w:tc>
        <w:tc>
          <w:tcPr>
            <w:tcW w:w="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2,618.1</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2,430.0</w:t>
            </w:r>
          </w:p>
        </w:tc>
      </w:tr>
      <w:tr>
        <w:trPr>
          <w:trHeight w:val="209"/>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280" w:type="dxa"/>
            <w:vAlign w:val="bottom"/>
            <w:shd w:val="clear" w:color="auto" w:fill="CDEAFA"/>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Purchases of marketable and other securities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(7,048.1)</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(3,241.0)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(3,202.4)</w:t>
            </w:r>
          </w:p>
        </w:tc>
      </w:tr>
      <w:tr>
        <w:trPr>
          <w:trHeight w:val="216"/>
        </w:trPr>
        <w:tc>
          <w:tcPr>
            <w:tcW w:w="6280" w:type="dxa"/>
            <w:vAlign w:val="bottom"/>
            <w:shd w:val="clear" w:color="auto" w:fill="CDEAFA"/>
          </w:tcPr>
          <w:p>
            <w:pPr>
              <w:ind w:left="180"/>
              <w:spacing w:after="0"/>
              <w:rPr>
                <w:sz w:val="20"/>
                <w:szCs w:val="20"/>
                <w:color w:val="auto"/>
              </w:rPr>
            </w:pPr>
            <w:r>
              <w:rPr>
                <w:rFonts w:ascii="Arial" w:cs="Arial" w:eastAsia="Arial" w:hAnsi="Arial"/>
                <w:sz w:val="18"/>
                <w:szCs w:val="18"/>
                <w:color w:val="auto"/>
              </w:rPr>
              <w:t>Sales or maturities of marketable and other securities</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2,215.3</w:t>
            </w: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3,785.0</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1,604.2</w:t>
            </w:r>
          </w:p>
        </w:tc>
      </w:tr>
      <w:tr>
        <w:trPr>
          <w:trHeight w:val="229"/>
        </w:trPr>
        <w:tc>
          <w:tcPr>
            <w:tcW w:w="6280" w:type="dxa"/>
            <w:vAlign w:val="bottom"/>
            <w:tcBorders>
              <w:bottom w:val="single" w:sz="8" w:color="CDEAFA"/>
            </w:tcBorders>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w:t>
            </w:r>
          </w:p>
        </w:tc>
        <w:tc>
          <w:tcPr>
            <w:tcW w:w="32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r>
      <w:tr>
        <w:trPr>
          <w:trHeight w:val="223"/>
        </w:trPr>
        <w:tc>
          <w:tcPr>
            <w:tcW w:w="6280" w:type="dxa"/>
            <w:vAlign w:val="bottom"/>
            <w:shd w:val="clear" w:color="auto" w:fill="CDEAFA"/>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(5,384.7)</w:t>
            </w:r>
          </w:p>
        </w:tc>
        <w:tc>
          <w:tcPr>
            <w:tcW w:w="40" w:type="dxa"/>
            <w:vAlign w:val="bottom"/>
            <w:tcBorders>
              <w:bottom w:val="single" w:sz="8" w:color="auto"/>
            </w:tcBorders>
            <w:shd w:val="clear" w:color="auto" w:fill="CDEAFA"/>
          </w:tcPr>
          <w:p>
            <w:pPr>
              <w:spacing w:after="0"/>
              <w:rPr>
                <w:sz w:val="19"/>
                <w:szCs w:val="19"/>
                <w:color w:val="auto"/>
              </w:rPr>
            </w:pPr>
          </w:p>
        </w:tc>
        <w:tc>
          <w:tcPr>
            <w:tcW w:w="34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(70.6)</w:t>
            </w:r>
          </w:p>
        </w:tc>
        <w:tc>
          <w:tcPr>
            <w:tcW w:w="32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(2,027.8)</w:t>
            </w:r>
          </w:p>
        </w:tc>
      </w:tr>
      <w:tr>
        <w:trPr>
          <w:trHeight w:val="425"/>
        </w:trPr>
        <w:tc>
          <w:tcPr>
            <w:tcW w:w="62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6280" w:type="dxa"/>
            <w:vAlign w:val="bottom"/>
            <w:shd w:val="clear" w:color="auto" w:fill="CDEAFA"/>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1,672.3</w:t>
            </w: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2,575.2</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211.8</w:t>
            </w:r>
          </w:p>
        </w:tc>
      </w:tr>
      <w:tr>
        <w:trPr>
          <w:trHeight w:val="202"/>
        </w:trPr>
        <w:tc>
          <w:tcPr>
            <w:tcW w:w="6280" w:type="dxa"/>
            <w:vAlign w:val="bottom"/>
          </w:tcPr>
          <w:p>
            <w:pPr>
              <w:ind w:left="180"/>
              <w:spacing w:after="0" w:line="201" w:lineRule="exact"/>
              <w:rPr>
                <w:sz w:val="20"/>
                <w:szCs w:val="20"/>
                <w:color w:val="auto"/>
              </w:rPr>
            </w:pPr>
            <w:r>
              <w:rPr>
                <w:rFonts w:ascii="Arial" w:cs="Arial" w:eastAsia="Arial" w:hAnsi="Arial"/>
                <w:sz w:val="18"/>
                <w:szCs w:val="18"/>
                <w:color w:val="auto"/>
              </w:rPr>
              <w:t>Payments in connection with Common Stock tendered for employee tax</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6280" w:type="dxa"/>
            <w:vAlign w:val="bottom"/>
          </w:tcPr>
          <w:p>
            <w:pPr>
              <w:ind w:left="360"/>
              <w:spacing w:after="0"/>
              <w:rPr>
                <w:sz w:val="20"/>
                <w:szCs w:val="20"/>
                <w:color w:val="auto"/>
              </w:rPr>
            </w:pPr>
            <w:r>
              <w:rPr>
                <w:rFonts w:ascii="Arial" w:cs="Arial" w:eastAsia="Arial" w:hAnsi="Arial"/>
                <w:sz w:val="18"/>
                <w:szCs w:val="18"/>
                <w:color w:val="auto"/>
              </w:rPr>
              <w:t>obligations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(1,032.7)</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6280" w:type="dxa"/>
            <w:vAlign w:val="bottom"/>
            <w:shd w:val="clear" w:color="auto" w:fill="CDEAFA"/>
          </w:tcPr>
          <w:p>
            <w:pPr>
              <w:ind w:left="180"/>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(1,645.4)</w:t>
            </w: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(5,846.8)</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(275.9)</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1,981.9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DEAFA"/>
          </w:tcPr>
          <w:p>
            <w:pPr>
              <w:ind w:left="180"/>
              <w:spacing w:after="0"/>
              <w:rPr>
                <w:sz w:val="20"/>
                <w:szCs w:val="20"/>
                <w:color w:val="auto"/>
              </w:rPr>
            </w:pPr>
            <w:r>
              <w:rPr>
                <w:rFonts w:ascii="Arial" w:cs="Arial" w:eastAsia="Arial" w:hAnsi="Arial"/>
                <w:sz w:val="18"/>
                <w:szCs w:val="18"/>
                <w:color w:val="auto"/>
              </w:rPr>
              <w:t>Proceeds from bridge loan facility</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1,500.0</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Borders>
              <w:bottom w:val="single" w:sz="8" w:color="CDEAFA"/>
            </w:tcBorders>
          </w:tcPr>
          <w:p>
            <w:pPr>
              <w:ind w:left="180"/>
              <w:spacing w:after="0"/>
              <w:rPr>
                <w:sz w:val="20"/>
                <w:szCs w:val="20"/>
                <w:color w:val="auto"/>
              </w:rPr>
            </w:pPr>
            <w:r>
              <w:rPr>
                <w:rFonts w:ascii="Arial" w:cs="Arial" w:eastAsia="Arial" w:hAnsi="Arial"/>
                <w:sz w:val="18"/>
                <w:szCs w:val="18"/>
                <w:color w:val="auto"/>
              </w:rPr>
              <w:t>Repayment of bridge loan facility</w:t>
            </w:r>
          </w:p>
        </w:tc>
        <w:tc>
          <w:tcPr>
            <w:tcW w:w="24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tcBorders>
              <w:bottom w:val="single" w:sz="8" w:color="CDEA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shd w:val="clear" w:color="auto" w:fill="CDEAFA"/>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(1,005.8)</w:t>
            </w:r>
          </w:p>
        </w:tc>
        <w:tc>
          <w:tcPr>
            <w:tcW w:w="40" w:type="dxa"/>
            <w:vAlign w:val="bottom"/>
            <w:tcBorders>
              <w:bottom w:val="single" w:sz="8" w:color="auto"/>
            </w:tcBorders>
            <w:shd w:val="clear" w:color="auto" w:fill="CDEAFA"/>
          </w:tcPr>
          <w:p>
            <w:pPr>
              <w:spacing w:after="0"/>
              <w:rPr>
                <w:sz w:val="19"/>
                <w:szCs w:val="19"/>
                <w:color w:val="auto"/>
              </w:rPr>
            </w:pPr>
          </w:p>
        </w:tc>
        <w:tc>
          <w:tcPr>
            <w:tcW w:w="34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(1,970.5)</w:t>
            </w:r>
          </w:p>
        </w:tc>
        <w:tc>
          <w:tcPr>
            <w:tcW w:w="32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(252.1)</w:t>
            </w:r>
          </w:p>
        </w:tc>
      </w:tr>
      <w:tr>
        <w:trPr>
          <w:trHeight w:val="426"/>
        </w:trPr>
        <w:tc>
          <w:tcPr>
            <w:tcW w:w="62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690.8</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577.0</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150.1</w:t>
            </w: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280" w:type="dxa"/>
            <w:vAlign w:val="bottom"/>
            <w:shd w:val="clear" w:color="auto" w:fill="CDEAFA"/>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2,207.3</w:t>
            </w:r>
          </w:p>
        </w:tc>
        <w:tc>
          <w:tcPr>
            <w:tcW w:w="40" w:type="dxa"/>
            <w:vAlign w:val="bottom"/>
            <w:tcBorders>
              <w:bottom w:val="single" w:sz="8" w:color="auto"/>
            </w:tcBorders>
            <w:shd w:val="clear" w:color="auto" w:fill="CDEAFA"/>
          </w:tcPr>
          <w:p>
            <w:pPr>
              <w:spacing w:after="0"/>
              <w:rPr>
                <w:sz w:val="19"/>
                <w:szCs w:val="19"/>
                <w:color w:val="auto"/>
              </w:rPr>
            </w:pPr>
          </w:p>
        </w:tc>
        <w:tc>
          <w:tcPr>
            <w:tcW w:w="34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1,630.3</w:t>
            </w:r>
          </w:p>
        </w:tc>
        <w:tc>
          <w:tcPr>
            <w:tcW w:w="320" w:type="dxa"/>
            <w:vAlign w:val="bottom"/>
            <w:shd w:val="clear" w:color="auto" w:fill="CDEAFA"/>
          </w:tcPr>
          <w:p>
            <w:pPr>
              <w:spacing w:after="0"/>
              <w:rPr>
                <w:sz w:val="19"/>
                <w:szCs w:val="19"/>
                <w:color w:val="auto"/>
              </w:rPr>
            </w:pPr>
          </w:p>
        </w:tc>
        <w:tc>
          <w:tcPr>
            <w:tcW w:w="30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1,480.2</w:t>
            </w:r>
          </w:p>
        </w:tc>
      </w:tr>
      <w:tr>
        <w:trPr>
          <w:trHeight w:val="466"/>
        </w:trPr>
        <w:tc>
          <w:tcPr>
            <w:tcW w:w="62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2,898.1</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2,207.3</w:t>
            </w:r>
          </w:p>
        </w:tc>
        <w:tc>
          <w:tcPr>
            <w:tcW w:w="3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1,630.3</w:t>
            </w:r>
          </w:p>
        </w:tc>
      </w:tr>
      <w:tr>
        <w:trPr>
          <w:trHeight w:val="20"/>
        </w:trPr>
        <w:tc>
          <w:tcPr>
            <w:tcW w:w="6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280" w:type="dxa"/>
            <w:vAlign w:val="bottom"/>
            <w:shd w:val="clear" w:color="auto" w:fill="CDEAFA"/>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4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paid for interest (net of amounts capitalized)</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55.8</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16"/>
        </w:trPr>
        <w:tc>
          <w:tcPr>
            <w:tcW w:w="6280" w:type="dxa"/>
            <w:vAlign w:val="bottom"/>
            <w:shd w:val="clear" w:color="auto" w:fill="CDEAFA"/>
          </w:tcPr>
          <w:p>
            <w:pPr>
              <w:spacing w:after="0"/>
              <w:rPr>
                <w:sz w:val="20"/>
                <w:szCs w:val="20"/>
                <w:color w:val="auto"/>
              </w:rPr>
            </w:pPr>
            <w:r>
              <w:rPr>
                <w:rFonts w:ascii="Arial" w:cs="Arial" w:eastAsia="Arial" w:hAnsi="Arial"/>
                <w:sz w:val="18"/>
                <w:szCs w:val="18"/>
                <w:color w:val="auto"/>
              </w:rPr>
              <w:t>Cash paid for income taxes</w:t>
            </w:r>
          </w:p>
        </w:tc>
        <w:tc>
          <w:tcPr>
            <w:tcW w:w="540" w:type="dxa"/>
            <w:vAlign w:val="bottom"/>
            <w:gridSpan w:val="2"/>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1,218.4</w:t>
            </w:r>
          </w:p>
        </w:tc>
        <w:tc>
          <w:tcPr>
            <w:tcW w:w="680" w:type="dxa"/>
            <w:vAlign w:val="bottom"/>
            <w:gridSpan w:val="3"/>
            <w:shd w:val="clear" w:color="auto" w:fill="CDEAFA"/>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188.1</w:t>
            </w:r>
          </w:p>
        </w:tc>
        <w:tc>
          <w:tcPr>
            <w:tcW w:w="320" w:type="dxa"/>
            <w:vAlign w:val="bottom"/>
            <w:shd w:val="clear" w:color="auto" w:fill="CDEAFA"/>
          </w:tcPr>
          <w:p>
            <w:pPr>
              <w:spacing w:after="0"/>
              <w:rPr>
                <w:sz w:val="18"/>
                <w:szCs w:val="18"/>
                <w:color w:val="auto"/>
              </w:rPr>
            </w:pPr>
          </w:p>
        </w:tc>
        <w:tc>
          <w:tcPr>
            <w:tcW w:w="300" w:type="dxa"/>
            <w:vAlign w:val="bottom"/>
            <w:shd w:val="clear" w:color="auto" w:fill="CDEAFA"/>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342.3</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Regeneron Pharmaceuticals, Inc. and its subsidiaries (“Regeneron,” “Company,” “we,” “us,” and “our”) is a fully integrated biotechnology company that discovers, invents, develops, manufactures, and commercializes medicines for serious diseases. Our commercialized medicines and product candidates in development are designed to help patients with eye diseases, allergic and inflammatory diseases, cancer, cardiovascular and metabolic diseases, pain, hematologic conditions, infectious diseases, and rare diseases. We currently have nine products that have received marketing approval by the U.S. Food and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Drug Administration (“FDA”). In addition, REGEN-COV</w:t>
      </w:r>
      <w:r>
        <w:rPr>
          <w:rFonts w:ascii="Arial" w:cs="Arial" w:eastAsia="Arial" w:hAnsi="Arial"/>
          <w:sz w:val="29"/>
          <w:szCs w:val="29"/>
          <w:color w:val="auto"/>
          <w:vertAlign w:val="superscript"/>
        </w:rPr>
        <w:t>®</w:t>
      </w:r>
      <w:r>
        <w:rPr>
          <w:rFonts w:ascii="Arial" w:cs="Arial" w:eastAsia="Arial" w:hAnsi="Arial"/>
          <w:sz w:val="18"/>
          <w:szCs w:val="18"/>
          <w:color w:val="auto"/>
        </w:rPr>
        <w:t xml:space="preserve"> has not been approved by the FDA, but has been authorized under an Emergency Use Authorization (“EUA”) (see Note 3 and Note 6 for additional information). The Company is a party to collaboration agreements to develop and commercialize, as applicable, certain products and product candidates (see Note 3).</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operates in one business segment, which includes all activities related to the discovery, development, and commercialization of medicines for serious diseases. The Company’s business is subject to certain risks including, but not limited to, uncertainties relating to conducting research activities, product development, obtaining regulatory approvals, competition, and obtaining and enforcing patents.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consolidated financial statements include the accounts of Regeneron and its wholly-owned subsidiaries. Intercompany balances and transactions are eliminated in consolidation. Certain reclassifications have been made to prior period amounts to conform with the current period’s presentation.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The extent to which the COVID-19 pandemic may directly or indirectly impact our business, financial condition, and results of operations is highly uncertain and subject to change. We considered the potential impact of the COVID-19 pandemic on our estimates and assumptions and, other than the inventory write-offs and reserves recorded related to REGEN-COV (see Note 6), there was not a material impact to our consolidated financial statements as of and for the year ended December 31, 2021; however, actual results could differ from those estimates and there may be changes to our estimates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which potentially expose the Company to concentrations of credit risk consist of cash, cash equivalents, certain investments, and accounts receivable. In accordance with the Company’s policies, the Company mandates asset diversification and monitors exposure with its counterparties.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Concentrations of credit risk with respect to customer and collaborator accounts receivable are significant. As of December 31, 2021, three individual customers accounted for 91% (including 29% related to the U.S. government) of the Company’s net trade accounts receivable balances. Three individual customers accounted for 93% of the Company’s net trade accounts receivable balances as of December 31, 2020. The Company has contractual payment terms with each of its collaborators and customers, and the Company monitors their financial performance and credit worthiness so that it can properly assess and respond to any changes in their credit profile. As of December 31, 2021 and 2020, there were no write-offs and allowances of accounts receivable related to credit risk for our collaborators or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debt instruments with a maturity of three months or less when purchased to be cash equivalents. The carrying amount reported in the Consolidated Balance Sheet for cash and cash equivalents approximates its fair value.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i w:val="1"/>
          <w:iCs w:val="1"/>
          <w:color w:val="auto"/>
        </w:rPr>
        <w:t>Debt and Equity Securities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an investment policy that includes guidelines on acceptable investment securities, minimum credit quality, maturity parameters, and diversification. We invest our cash primarily in debt securities. We consider our investments in debt securities to be “available-for-sale,” as defined by authoritative guidance issued by the Financial Accounting Standards Board (“FASB”). These assets are carried at fair value and the unrealized gains and losses are included in accumulated other comprehensive income (loss). Realized gains and losses on available-for-sale debt securities are included in other income (expense), net.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investments in equity securities that are carried at fair value with changes in fair value recognized within other income (expense), net. We have elected to measure certain equity investments we hold that do not have readily determinable fair values at cost less impairment, if any, and adjust for observable price changes in orderly transactions for identical or similar investments of the same issuer within other income (expense), 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trade accounts receivable arise from product sales and represent amounts due from its customers, which are all located in the United States. In addition, the Company records accounts receivable arising from its collaboration and licensing agreements. The Company monitors the financial performance and credit worthiness of its counterparties so that it can properly assess and respond to changes in their credit profile. The Company provides allowances against receivables for estimated losses, if any, that may result from a counterparty’s inability to pay. Amounts determined to be uncollectible are written-off against the allowance.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stated at the lower of cost or net realizable value. The Company determines the cost of inventory using the first-in, first-out, or FIFO, method.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periodically analyzes its inventory levels to identify inventory that may expire prior to expected sale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write down such inventory to its estimated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Property, plant, and equipment are stated at cost, net of accumulated depreciation. Depreciation is calculated on a straight-line basis over the estimated useful lives of the assets. Leasehold improvements are amortized over the shorter of the estimated useful lives of the assets or the remaining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income (loss) from operations. The estimated useful lives of property, plant, and equipment are as follows:</w:t>
      </w:r>
    </w:p>
    <w:p>
      <w:pPr>
        <w:spacing w:after="0" w:line="192"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2880" w:type="dxa"/>
            <w:vAlign w:val="bottom"/>
            <w:shd w:val="clear" w:color="auto" w:fill="CDEAFA"/>
          </w:tcPr>
          <w:p>
            <w:pPr>
              <w:ind w:left="60"/>
              <w:spacing w:after="0"/>
              <w:rPr>
                <w:sz w:val="20"/>
                <w:szCs w:val="20"/>
                <w:color w:val="auto"/>
              </w:rPr>
            </w:pPr>
            <w:r>
              <w:rPr>
                <w:rFonts w:ascii="Arial" w:cs="Arial" w:eastAsia="Arial" w:hAnsi="Arial"/>
                <w:sz w:val="18"/>
                <w:szCs w:val="18"/>
                <w:color w:val="auto"/>
              </w:rPr>
              <w:t>Building and improvements</w:t>
            </w:r>
          </w:p>
        </w:tc>
        <w:tc>
          <w:tcPr>
            <w:tcW w:w="1600" w:type="dxa"/>
            <w:vAlign w:val="bottom"/>
            <w:shd w:val="clear" w:color="auto" w:fill="CDEAFA"/>
          </w:tcPr>
          <w:p>
            <w:pPr>
              <w:ind w:left="480"/>
              <w:spacing w:after="0"/>
              <w:rPr>
                <w:sz w:val="20"/>
                <w:szCs w:val="20"/>
                <w:color w:val="auto"/>
              </w:rPr>
            </w:pPr>
            <w:r>
              <w:rPr>
                <w:rFonts w:ascii="Arial" w:cs="Arial" w:eastAsia="Arial" w:hAnsi="Arial"/>
                <w:sz w:val="18"/>
                <w:szCs w:val="18"/>
                <w:color w:val="auto"/>
              </w:rPr>
              <w:t>10–50 years</w:t>
            </w:r>
          </w:p>
        </w:tc>
      </w:tr>
      <w:tr>
        <w:trPr>
          <w:trHeight w:val="216"/>
        </w:trPr>
        <w:tc>
          <w:tcPr>
            <w:tcW w:w="2880" w:type="dxa"/>
            <w:vAlign w:val="bottom"/>
          </w:tcPr>
          <w:p>
            <w:pPr>
              <w:ind w:left="60"/>
              <w:spacing w:after="0"/>
              <w:rPr>
                <w:sz w:val="20"/>
                <w:szCs w:val="20"/>
                <w:color w:val="auto"/>
              </w:rPr>
            </w:pPr>
            <w:r>
              <w:rPr>
                <w:rFonts w:ascii="Arial" w:cs="Arial" w:eastAsia="Arial" w:hAnsi="Arial"/>
                <w:sz w:val="18"/>
                <w:szCs w:val="18"/>
                <w:color w:val="auto"/>
              </w:rPr>
              <w:t>Laboratory and other equipment</w:t>
            </w:r>
          </w:p>
        </w:tc>
        <w:tc>
          <w:tcPr>
            <w:tcW w:w="1600" w:type="dxa"/>
            <w:vAlign w:val="bottom"/>
          </w:tcPr>
          <w:p>
            <w:pPr>
              <w:ind w:left="480"/>
              <w:spacing w:after="0"/>
              <w:rPr>
                <w:sz w:val="20"/>
                <w:szCs w:val="20"/>
                <w:color w:val="auto"/>
              </w:rPr>
            </w:pPr>
            <w:r>
              <w:rPr>
                <w:rFonts w:ascii="Arial" w:cs="Arial" w:eastAsia="Arial" w:hAnsi="Arial"/>
                <w:sz w:val="18"/>
                <w:szCs w:val="18"/>
                <w:color w:val="auto"/>
              </w:rPr>
              <w:t>3–10 years</w:t>
            </w:r>
          </w:p>
        </w:tc>
      </w:tr>
      <w:tr>
        <w:trPr>
          <w:trHeight w:val="216"/>
        </w:trPr>
        <w:tc>
          <w:tcPr>
            <w:tcW w:w="2880" w:type="dxa"/>
            <w:vAlign w:val="bottom"/>
            <w:shd w:val="clear" w:color="auto" w:fill="CDEAFA"/>
          </w:tcPr>
          <w:p>
            <w:pPr>
              <w:ind w:left="60"/>
              <w:spacing w:after="0"/>
              <w:rPr>
                <w:sz w:val="20"/>
                <w:szCs w:val="20"/>
                <w:color w:val="auto"/>
              </w:rPr>
            </w:pPr>
            <w:r>
              <w:rPr>
                <w:rFonts w:ascii="Arial" w:cs="Arial" w:eastAsia="Arial" w:hAnsi="Arial"/>
                <w:sz w:val="18"/>
                <w:szCs w:val="18"/>
                <w:color w:val="auto"/>
              </w:rPr>
              <w:t>Furniture and fixtures</w:t>
            </w:r>
          </w:p>
        </w:tc>
        <w:tc>
          <w:tcPr>
            <w:tcW w:w="1600" w:type="dxa"/>
            <w:vAlign w:val="bottom"/>
            <w:shd w:val="clear" w:color="auto" w:fill="CDEAFA"/>
          </w:tcPr>
          <w:p>
            <w:pPr>
              <w:ind w:left="480"/>
              <w:spacing w:after="0"/>
              <w:rPr>
                <w:sz w:val="20"/>
                <w:szCs w:val="20"/>
                <w:color w:val="auto"/>
              </w:rPr>
            </w:pPr>
            <w:r>
              <w:rPr>
                <w:rFonts w:ascii="Arial" w:cs="Arial" w:eastAsia="Arial" w:hAnsi="Arial"/>
                <w:sz w:val="18"/>
                <w:szCs w:val="18"/>
                <w:color w:val="auto"/>
              </w:rPr>
              <w:t>5 years</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if an arrangement is a lease considering whether there is an identified asset and the contract conveys the right to control its use. Leases with an initial term of 12 months or less are not recorded on the balance sheet. The Company’s lease terms may include options to extend or terminate a lease when it is reasonably certain that it will exercise that option. The Company accounts for lease components (e.g., rental payments) separately from non-lease components (e.g., common area maintenance costs).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Right-of-use assets and lease liabilities are recognized at the lease commencement date based on the present value of lease payments over the lease term, unless there is a transfer of title or purchase option we are reasonably certain to exercise. For leases where an implicit rate is not readily determinable, we use our incremental borrowing rate based on information available at the lease commencement date to determine the present value of future lease payments. Lease expense for operating leases is recognized on a straight-line basis over the expected lease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Product Revenue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product sales is recognized at a point in time when our customer is deemed to have obtained control of the product, which generally occurs upon receipt or acceptance by our customer.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amount of revenue we recognize from product sales may vary due to rebates, chargebacks, and discounts provided under governmental and other programs, distribution-related fees, and other sales-related deductions. In order to determine the transaction price, we estimate, utilizing the expected value method, the amount of variable consideration to which we will be entitled. This estimate is based upon contracts with customers, healthcare providers, payors, and government agencies, statutorily-defined discounts applicable to government-funded programs, historical experience, estimated payor mix, and other relevant factors. The Company reviews its estimates of rebates, chargebacks, and other applicable provisions each period and records any necessary adjustments in the current period’s net product sales.</w:t>
      </w:r>
    </w:p>
    <w:p>
      <w:pPr>
        <w:spacing w:after="0" w:line="192" w:lineRule="exact"/>
        <w:rPr>
          <w:sz w:val="20"/>
          <w:szCs w:val="20"/>
          <w:color w:val="auto"/>
        </w:rPr>
      </w:pPr>
    </w:p>
    <w:p>
      <w:pPr>
        <w:jc w:val="both"/>
        <w:ind w:left="660" w:hanging="328"/>
        <w:spacing w:after="0" w:line="25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Rebates: </w:t>
      </w:r>
      <w:r>
        <w:rPr>
          <w:rFonts w:ascii="Arial" w:cs="Arial" w:eastAsia="Arial" w:hAnsi="Arial"/>
          <w:sz w:val="18"/>
          <w:szCs w:val="18"/>
          <w:color w:val="auto"/>
        </w:rPr>
        <w:t>The Company’s rebates include amounts paid to managed care organizations, group purchasing organizations, state Medicaid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rebate programs. The Company estimates reductions to product sales for each type of rebate and records an allowance for rebates in the same period in which the related product sales are recognized. The Company’s liability for rebates consists of estimates for claims related to the current and prior periods that have not been paid and estimates for claims that will be made related to inventory that exists in the distribution channel at the end of the period.</w:t>
      </w:r>
    </w:p>
    <w:p>
      <w:pPr>
        <w:spacing w:after="0" w:line="3"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Chargebacks and Discounts: </w:t>
      </w:r>
      <w:r>
        <w:rPr>
          <w:rFonts w:ascii="Arial" w:cs="Arial" w:eastAsia="Arial" w:hAnsi="Arial"/>
          <w:sz w:val="17"/>
          <w:szCs w:val="17"/>
          <w:color w:val="auto"/>
        </w:rPr>
        <w:t>The Company’s reserves related to discounted pricing to eligible physicians, Veterans’ Administration (“VA”),</w:t>
      </w:r>
      <w:r>
        <w:rPr>
          <w:rFonts w:ascii="Arial" w:cs="Arial" w:eastAsia="Arial" w:hAnsi="Arial"/>
          <w:sz w:val="17"/>
          <w:szCs w:val="17"/>
          <w:i w:val="1"/>
          <w:iCs w:val="1"/>
          <w:color w:val="auto"/>
        </w:rPr>
        <w:t xml:space="preserve"> </w:t>
      </w:r>
      <w:r>
        <w:rPr>
          <w:rFonts w:ascii="Arial" w:cs="Arial" w:eastAsia="Arial" w:hAnsi="Arial"/>
          <w:sz w:val="17"/>
          <w:szCs w:val="17"/>
          <w:color w:val="auto"/>
        </w:rPr>
        <w:t>Public Health Services, and others (collectively “qualified healthcare providers”) represent the Company’s estimated obligations resulting from 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discounted selling price to the qualified healthcare providers. The Company estimates reductions to product sales for each type of chargeback and records an allowance for chargebacks in the same period that the related product sales are recognized. The Company’s reserve for chargebacks consists of amounts for which we expect to issue credit based on expected sales by our customers to qualified healthcare providers and chargebacks that customers have claimed but for which we have not yet issued credit.</w:t>
      </w:r>
    </w:p>
    <w:p>
      <w:pPr>
        <w:spacing w:after="0" w:line="1"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Distribution-Related Fees: </w:t>
      </w:r>
      <w:r>
        <w:rPr>
          <w:rFonts w:ascii="Arial" w:cs="Arial" w:eastAsia="Arial" w:hAnsi="Arial"/>
          <w:sz w:val="18"/>
          <w:szCs w:val="18"/>
          <w:color w:val="auto"/>
        </w:rPr>
        <w:t>The Company has written contracts with its customers that include terms for distribution-related fees.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records distribution and related fees due to its customers generally based on gross sales.</w:t>
      </w:r>
    </w:p>
    <w:p>
      <w:pPr>
        <w:ind w:left="660" w:right="20" w:hanging="328"/>
        <w:spacing w:after="0" w:line="323" w:lineRule="auto"/>
        <w:tabs>
          <w:tab w:leader="none" w:pos="66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Other Sales-Related Deductions</w:t>
      </w:r>
      <w:r>
        <w:rPr>
          <w:rFonts w:ascii="Arial" w:cs="Arial" w:eastAsia="Arial" w:hAnsi="Arial"/>
          <w:sz w:val="16"/>
          <w:szCs w:val="16"/>
          <w:color w:val="auto"/>
        </w:rPr>
        <w:t>: The Company’s other sales-related deductions include co-pay assistance programs and product returns.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estimates and records other sales-related deductions generally based on gross sales, written contracts, and other relevant factors.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Consistent with industry practice, the Company offers its customers a limited right to return product purchased directly from the Company, which is principally based upon the product’s expiration date. Product returned is generally not resalable given the nature of the Company’s products and method of administration. The Company develops estimates for product returns based upon historical experience, shelf life of the product, and other relevant factors. The Company monitors product supply levels in the distribution channel, as well as sales by its customers, using product-specific data provided by its customers. If necessary, the Company’s estimates of product returns may be adjusted in the future based on actual returns experience, known or expected changes in the marketplace, or other factors.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i w:val="1"/>
          <w:iCs w:val="1"/>
          <w:color w:val="auto"/>
        </w:rPr>
        <w:t>Collaborative Arrangements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various collaborative arrangements to research, develop, manufacture, and commercialize products and/or product candidates. Although each of these arrangements is unique in nature, such arrangements involve a joint operating activity where both parties are active participants in the activities of the collaboration and exposed to significant risks and rewards dependent on the commercial success of the activities.</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arrangements where we do not deem our collaborator to be our customer, payments to and from our collaborator are presented in our statement of operations based on the nature of our business operations, the nature of the arrangement, including the contractual terms, and the nature of the payments, as summarized in the table and further described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ind w:left="1820"/>
              <w:spacing w:after="0"/>
              <w:rPr>
                <w:sz w:val="20"/>
                <w:szCs w:val="20"/>
                <w:color w:val="auto"/>
              </w:rPr>
            </w:pPr>
            <w:r>
              <w:rPr>
                <w:rFonts w:ascii="Arial" w:cs="Arial" w:eastAsia="Arial" w:hAnsi="Arial"/>
                <w:sz w:val="18"/>
                <w:szCs w:val="18"/>
                <w:b w:val="1"/>
                <w:bCs w:val="1"/>
                <w:color w:val="auto"/>
              </w:rPr>
              <w:t>Nature/Type of Payment</w:t>
            </w:r>
          </w:p>
        </w:tc>
        <w:tc>
          <w:tcPr>
            <w:tcW w:w="5500" w:type="dxa"/>
            <w:vAlign w:val="bottom"/>
          </w:tcPr>
          <w:p>
            <w:pPr>
              <w:ind w:left="1300"/>
              <w:spacing w:after="0"/>
              <w:rPr>
                <w:sz w:val="20"/>
                <w:szCs w:val="20"/>
                <w:color w:val="auto"/>
              </w:rPr>
            </w:pPr>
            <w:r>
              <w:rPr>
                <w:rFonts w:ascii="Arial" w:cs="Arial" w:eastAsia="Arial" w:hAnsi="Arial"/>
                <w:sz w:val="18"/>
                <w:szCs w:val="18"/>
                <w:b w:val="1"/>
                <w:bCs w:val="1"/>
                <w:color w:val="auto"/>
              </w:rPr>
              <w:t>Statement of Operations Presentation</w:t>
            </w:r>
          </w:p>
        </w:tc>
      </w:tr>
      <w:tr>
        <w:trPr>
          <w:trHeight w:val="195"/>
        </w:trPr>
        <w:tc>
          <w:tcPr>
            <w:tcW w:w="5520" w:type="dxa"/>
            <w:vAlign w:val="bottom"/>
            <w:tcBorders>
              <w:top w:val="single" w:sz="8" w:color="auto"/>
            </w:tcBorders>
            <w:shd w:val="clear" w:color="auto" w:fill="CDEAFA"/>
          </w:tcPr>
          <w:p>
            <w:pPr>
              <w:ind w:left="60"/>
              <w:spacing w:after="0" w:line="195" w:lineRule="exact"/>
              <w:rPr>
                <w:sz w:val="20"/>
                <w:szCs w:val="20"/>
                <w:color w:val="auto"/>
              </w:rPr>
            </w:pPr>
            <w:r>
              <w:rPr>
                <w:rFonts w:ascii="Arial" w:cs="Arial" w:eastAsia="Arial" w:hAnsi="Arial"/>
                <w:sz w:val="18"/>
                <w:szCs w:val="18"/>
                <w:color w:val="auto"/>
              </w:rPr>
              <w:t>Regeneron’s share of profits or losses in connection with</w:t>
            </w:r>
          </w:p>
        </w:tc>
        <w:tc>
          <w:tcPr>
            <w:tcW w:w="220" w:type="dxa"/>
            <w:vAlign w:val="bottom"/>
            <w:tcBorders>
              <w:top w:val="single" w:sz="8" w:color="CDEAFA"/>
            </w:tcBorders>
            <w:shd w:val="clear" w:color="auto" w:fill="CDEAFA"/>
          </w:tcPr>
          <w:p>
            <w:pPr>
              <w:spacing w:after="0"/>
              <w:rPr>
                <w:sz w:val="16"/>
                <w:szCs w:val="16"/>
                <w:color w:val="auto"/>
              </w:rPr>
            </w:pPr>
          </w:p>
        </w:tc>
        <w:tc>
          <w:tcPr>
            <w:tcW w:w="5500" w:type="dxa"/>
            <w:vAlign w:val="bottom"/>
            <w:tcBorders>
              <w:top w:val="single" w:sz="8" w:color="auto"/>
            </w:tcBorders>
            <w:shd w:val="clear" w:color="auto" w:fill="CDEAFA"/>
          </w:tcPr>
          <w:p>
            <w:pPr>
              <w:ind w:left="60"/>
              <w:spacing w:after="0" w:line="195" w:lineRule="exact"/>
              <w:rPr>
                <w:sz w:val="20"/>
                <w:szCs w:val="20"/>
                <w:color w:val="auto"/>
              </w:rPr>
            </w:pPr>
            <w:r>
              <w:rPr>
                <w:rFonts w:ascii="Arial" w:cs="Arial" w:eastAsia="Arial" w:hAnsi="Arial"/>
                <w:sz w:val="18"/>
                <w:szCs w:val="18"/>
                <w:color w:val="auto"/>
              </w:rPr>
              <w:t>Collaboration revenue</w:t>
            </w:r>
          </w:p>
        </w:tc>
      </w:tr>
      <w:tr>
        <w:trPr>
          <w:trHeight w:val="230"/>
        </w:trPr>
        <w:tc>
          <w:tcPr>
            <w:tcW w:w="5740" w:type="dxa"/>
            <w:vAlign w:val="bottom"/>
            <w:gridSpan w:val="2"/>
            <w:shd w:val="clear" w:color="auto" w:fill="CDEAFA"/>
          </w:tcPr>
          <w:p>
            <w:pPr>
              <w:ind w:left="240"/>
              <w:spacing w:after="0"/>
              <w:rPr>
                <w:sz w:val="20"/>
                <w:szCs w:val="20"/>
                <w:color w:val="auto"/>
              </w:rPr>
            </w:pPr>
            <w:r>
              <w:rPr>
                <w:rFonts w:ascii="Arial" w:cs="Arial" w:eastAsia="Arial" w:hAnsi="Arial"/>
                <w:sz w:val="18"/>
                <w:szCs w:val="18"/>
                <w:color w:val="auto"/>
              </w:rPr>
              <w:t>commercialization of products</w:t>
            </w:r>
          </w:p>
        </w:tc>
        <w:tc>
          <w:tcPr>
            <w:tcW w:w="5500" w:type="dxa"/>
            <w:vAlign w:val="bottom"/>
            <w:shd w:val="clear" w:color="auto" w:fill="CDEAFA"/>
          </w:tcPr>
          <w:p>
            <w:pPr>
              <w:spacing w:after="0"/>
              <w:rPr>
                <w:sz w:val="20"/>
                <w:szCs w:val="20"/>
                <w:color w:val="auto"/>
              </w:rPr>
            </w:pPr>
          </w:p>
        </w:tc>
      </w:tr>
      <w:tr>
        <w:trPr>
          <w:trHeight w:val="216"/>
        </w:trPr>
        <w:tc>
          <w:tcPr>
            <w:tcW w:w="5740" w:type="dxa"/>
            <w:vAlign w:val="bottom"/>
            <w:gridSpan w:val="2"/>
          </w:tcPr>
          <w:p>
            <w:pPr>
              <w:ind w:left="60"/>
              <w:spacing w:after="0"/>
              <w:rPr>
                <w:sz w:val="20"/>
                <w:szCs w:val="20"/>
                <w:color w:val="auto"/>
              </w:rPr>
            </w:pPr>
            <w:r>
              <w:rPr>
                <w:rFonts w:ascii="Arial" w:cs="Arial" w:eastAsia="Arial" w:hAnsi="Arial"/>
                <w:sz w:val="18"/>
                <w:szCs w:val="18"/>
                <w:color w:val="auto"/>
              </w:rPr>
              <w:t>Reimbursement for manufacturing of commercial supplies</w:t>
            </w:r>
          </w:p>
        </w:tc>
        <w:tc>
          <w:tcPr>
            <w:tcW w:w="5500" w:type="dxa"/>
            <w:vAlign w:val="bottom"/>
          </w:tcPr>
          <w:p>
            <w:pPr>
              <w:ind w:left="60"/>
              <w:spacing w:after="0"/>
              <w:rPr>
                <w:sz w:val="20"/>
                <w:szCs w:val="20"/>
                <w:color w:val="auto"/>
              </w:rPr>
            </w:pPr>
            <w:r>
              <w:rPr>
                <w:rFonts w:ascii="Arial" w:cs="Arial" w:eastAsia="Arial" w:hAnsi="Arial"/>
                <w:sz w:val="18"/>
                <w:szCs w:val="18"/>
                <w:color w:val="auto"/>
              </w:rPr>
              <w:t>Collaboration revenue</w:t>
            </w:r>
          </w:p>
        </w:tc>
      </w:tr>
      <w:tr>
        <w:trPr>
          <w:trHeight w:val="216"/>
        </w:trPr>
        <w:tc>
          <w:tcPr>
            <w:tcW w:w="5740" w:type="dxa"/>
            <w:vAlign w:val="bottom"/>
            <w:gridSpan w:val="2"/>
            <w:shd w:val="clear" w:color="auto" w:fill="CDEAFA"/>
          </w:tcPr>
          <w:p>
            <w:pPr>
              <w:ind w:left="60"/>
              <w:spacing w:after="0"/>
              <w:rPr>
                <w:sz w:val="20"/>
                <w:szCs w:val="20"/>
                <w:color w:val="auto"/>
              </w:rPr>
            </w:pPr>
            <w:r>
              <w:rPr>
                <w:rFonts w:ascii="Arial" w:cs="Arial" w:eastAsia="Arial" w:hAnsi="Arial"/>
                <w:sz w:val="18"/>
                <w:szCs w:val="18"/>
                <w:color w:val="auto"/>
              </w:rPr>
              <w:t>Royalties and/or sales-based milestones earned</w:t>
            </w:r>
          </w:p>
        </w:tc>
        <w:tc>
          <w:tcPr>
            <w:tcW w:w="5500" w:type="dxa"/>
            <w:vAlign w:val="bottom"/>
            <w:shd w:val="clear" w:color="auto" w:fill="CDEAFA"/>
          </w:tcPr>
          <w:p>
            <w:pPr>
              <w:ind w:left="60"/>
              <w:spacing w:after="0"/>
              <w:rPr>
                <w:sz w:val="20"/>
                <w:szCs w:val="20"/>
                <w:color w:val="auto"/>
              </w:rPr>
            </w:pPr>
            <w:r>
              <w:rPr>
                <w:rFonts w:ascii="Arial" w:cs="Arial" w:eastAsia="Arial" w:hAnsi="Arial"/>
                <w:sz w:val="18"/>
                <w:szCs w:val="18"/>
                <w:color w:val="auto"/>
              </w:rPr>
              <w:t>Collaboration revenue</w:t>
            </w:r>
          </w:p>
        </w:tc>
      </w:tr>
      <w:tr>
        <w:trPr>
          <w:trHeight w:val="216"/>
        </w:trPr>
        <w:tc>
          <w:tcPr>
            <w:tcW w:w="5740" w:type="dxa"/>
            <w:vAlign w:val="bottom"/>
            <w:gridSpan w:val="2"/>
          </w:tcPr>
          <w:p>
            <w:pPr>
              <w:ind w:left="60"/>
              <w:spacing w:after="0"/>
              <w:rPr>
                <w:sz w:val="20"/>
                <w:szCs w:val="20"/>
                <w:color w:val="auto"/>
              </w:rPr>
            </w:pPr>
            <w:r>
              <w:rPr>
                <w:rFonts w:ascii="Arial" w:cs="Arial" w:eastAsia="Arial" w:hAnsi="Arial"/>
                <w:sz w:val="18"/>
                <w:szCs w:val="18"/>
                <w:color w:val="auto"/>
              </w:rPr>
              <w:t>Reimbursement of Regeneron’s research and development expenses</w:t>
            </w:r>
          </w:p>
        </w:tc>
        <w:tc>
          <w:tcPr>
            <w:tcW w:w="5500" w:type="dxa"/>
            <w:vAlign w:val="bottom"/>
          </w:tcPr>
          <w:p>
            <w:pPr>
              <w:ind w:left="60"/>
              <w:spacing w:after="0"/>
              <w:rPr>
                <w:sz w:val="20"/>
                <w:szCs w:val="20"/>
                <w:color w:val="auto"/>
              </w:rPr>
            </w:pPr>
            <w:r>
              <w:rPr>
                <w:rFonts w:ascii="Arial" w:cs="Arial" w:eastAsia="Arial" w:hAnsi="Arial"/>
                <w:sz w:val="18"/>
                <w:szCs w:val="18"/>
                <w:color w:val="auto"/>
              </w:rPr>
              <w:t>Reduction to Research and development expenses</w:t>
            </w:r>
          </w:p>
        </w:tc>
      </w:tr>
      <w:tr>
        <w:trPr>
          <w:trHeight w:val="202"/>
        </w:trPr>
        <w:tc>
          <w:tcPr>
            <w:tcW w:w="5740" w:type="dxa"/>
            <w:vAlign w:val="bottom"/>
            <w:gridSpan w:val="2"/>
            <w:shd w:val="clear" w:color="auto" w:fill="CDEAFA"/>
          </w:tcPr>
          <w:p>
            <w:pPr>
              <w:ind w:left="60"/>
              <w:spacing w:after="0" w:line="201" w:lineRule="exact"/>
              <w:rPr>
                <w:sz w:val="20"/>
                <w:szCs w:val="20"/>
                <w:color w:val="auto"/>
              </w:rPr>
            </w:pPr>
            <w:r>
              <w:rPr>
                <w:rFonts w:ascii="Arial" w:cs="Arial" w:eastAsia="Arial" w:hAnsi="Arial"/>
                <w:sz w:val="18"/>
                <w:szCs w:val="18"/>
                <w:color w:val="auto"/>
              </w:rPr>
              <w:t>Regeneron’s obligation for its share of collaborator’s research and</w:t>
            </w:r>
          </w:p>
        </w:tc>
        <w:tc>
          <w:tcPr>
            <w:tcW w:w="5500" w:type="dxa"/>
            <w:vAlign w:val="bottom"/>
            <w:shd w:val="clear" w:color="auto" w:fill="CDEAFA"/>
          </w:tcPr>
          <w:p>
            <w:pPr>
              <w:ind w:left="60"/>
              <w:spacing w:after="0" w:line="201" w:lineRule="exact"/>
              <w:rPr>
                <w:sz w:val="20"/>
                <w:szCs w:val="20"/>
                <w:color w:val="auto"/>
              </w:rPr>
            </w:pPr>
            <w:r>
              <w:rPr>
                <w:rFonts w:ascii="Arial" w:cs="Arial" w:eastAsia="Arial" w:hAnsi="Arial"/>
                <w:sz w:val="18"/>
                <w:szCs w:val="18"/>
                <w:color w:val="auto"/>
              </w:rPr>
              <w:t>Research and development expense</w:t>
            </w:r>
          </w:p>
        </w:tc>
      </w:tr>
      <w:tr>
        <w:trPr>
          <w:trHeight w:val="230"/>
        </w:trPr>
        <w:tc>
          <w:tcPr>
            <w:tcW w:w="5740" w:type="dxa"/>
            <w:vAlign w:val="bottom"/>
            <w:gridSpan w:val="2"/>
            <w:shd w:val="clear" w:color="auto" w:fill="CDEAFA"/>
          </w:tcPr>
          <w:p>
            <w:pPr>
              <w:ind w:left="240"/>
              <w:spacing w:after="0"/>
              <w:rPr>
                <w:sz w:val="20"/>
                <w:szCs w:val="20"/>
                <w:color w:val="auto"/>
              </w:rPr>
            </w:pPr>
            <w:r>
              <w:rPr>
                <w:rFonts w:ascii="Arial" w:cs="Arial" w:eastAsia="Arial" w:hAnsi="Arial"/>
                <w:sz w:val="18"/>
                <w:szCs w:val="18"/>
                <w:color w:val="auto"/>
              </w:rPr>
              <w:t>development expenses</w:t>
            </w:r>
          </w:p>
        </w:tc>
        <w:tc>
          <w:tcPr>
            <w:tcW w:w="5500" w:type="dxa"/>
            <w:vAlign w:val="bottom"/>
            <w:shd w:val="clear" w:color="auto" w:fill="CDEAFA"/>
          </w:tcPr>
          <w:p>
            <w:pPr>
              <w:spacing w:after="0"/>
              <w:rPr>
                <w:sz w:val="20"/>
                <w:szCs w:val="20"/>
                <w:color w:val="auto"/>
              </w:rPr>
            </w:pPr>
          </w:p>
        </w:tc>
      </w:tr>
      <w:tr>
        <w:trPr>
          <w:trHeight w:val="216"/>
        </w:trPr>
        <w:tc>
          <w:tcPr>
            <w:tcW w:w="5740" w:type="dxa"/>
            <w:vAlign w:val="bottom"/>
            <w:gridSpan w:val="2"/>
          </w:tcPr>
          <w:p>
            <w:pPr>
              <w:ind w:left="60"/>
              <w:spacing w:after="0"/>
              <w:rPr>
                <w:sz w:val="20"/>
                <w:szCs w:val="20"/>
                <w:color w:val="auto"/>
              </w:rPr>
            </w:pPr>
            <w:r>
              <w:rPr>
                <w:rFonts w:ascii="Arial" w:cs="Arial" w:eastAsia="Arial" w:hAnsi="Arial"/>
                <w:sz w:val="18"/>
                <w:szCs w:val="18"/>
                <w:color w:val="auto"/>
              </w:rPr>
              <w:t>Up-front and development milestone payments to collaborators</w:t>
            </w:r>
          </w:p>
        </w:tc>
        <w:tc>
          <w:tcPr>
            <w:tcW w:w="550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r>
      <w:tr>
        <w:trPr>
          <w:trHeight w:val="216"/>
        </w:trPr>
        <w:tc>
          <w:tcPr>
            <w:tcW w:w="5740" w:type="dxa"/>
            <w:vAlign w:val="bottom"/>
            <w:gridSpan w:val="2"/>
            <w:shd w:val="clear" w:color="auto" w:fill="CDEAFA"/>
          </w:tcPr>
          <w:p>
            <w:pPr>
              <w:ind w:left="60"/>
              <w:spacing w:after="0"/>
              <w:rPr>
                <w:sz w:val="20"/>
                <w:szCs w:val="20"/>
                <w:color w:val="auto"/>
              </w:rPr>
            </w:pPr>
            <w:r>
              <w:rPr>
                <w:rFonts w:ascii="Arial" w:cs="Arial" w:eastAsia="Arial" w:hAnsi="Arial"/>
                <w:sz w:val="18"/>
                <w:szCs w:val="18"/>
                <w:color w:val="auto"/>
              </w:rPr>
              <w:t>Reimbursement of Regeneron’s commercialization-related expenses</w:t>
            </w:r>
          </w:p>
        </w:tc>
        <w:tc>
          <w:tcPr>
            <w:tcW w:w="5500" w:type="dxa"/>
            <w:vAlign w:val="bottom"/>
            <w:shd w:val="clear" w:color="auto" w:fill="CDEAFA"/>
          </w:tcPr>
          <w:p>
            <w:pPr>
              <w:ind w:left="60"/>
              <w:spacing w:after="0"/>
              <w:rPr>
                <w:sz w:val="20"/>
                <w:szCs w:val="20"/>
                <w:color w:val="auto"/>
              </w:rPr>
            </w:pPr>
            <w:r>
              <w:rPr>
                <w:rFonts w:ascii="Arial" w:cs="Arial" w:eastAsia="Arial" w:hAnsi="Arial"/>
                <w:sz w:val="18"/>
                <w:szCs w:val="18"/>
                <w:color w:val="auto"/>
              </w:rPr>
              <w:t>Reduction to Selling, general, and administrative expense</w:t>
            </w:r>
          </w:p>
        </w:tc>
      </w:tr>
      <w:tr>
        <w:trPr>
          <w:trHeight w:val="202"/>
        </w:trPr>
        <w:tc>
          <w:tcPr>
            <w:tcW w:w="574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9"/>
              </w:rPr>
              <w:t>Regeneron’s obligation for its share of collaborator’s commercialization-</w:t>
            </w:r>
          </w:p>
        </w:tc>
        <w:tc>
          <w:tcPr>
            <w:tcW w:w="5500" w:type="dxa"/>
            <w:vAlign w:val="bottom"/>
          </w:tcPr>
          <w:p>
            <w:pPr>
              <w:ind w:left="60"/>
              <w:spacing w:after="0" w:line="201" w:lineRule="exact"/>
              <w:rPr>
                <w:sz w:val="20"/>
                <w:szCs w:val="20"/>
                <w:color w:val="auto"/>
              </w:rPr>
            </w:pPr>
            <w:r>
              <w:rPr>
                <w:rFonts w:ascii="Arial" w:cs="Arial" w:eastAsia="Arial" w:hAnsi="Arial"/>
                <w:sz w:val="18"/>
                <w:szCs w:val="18"/>
                <w:color w:val="auto"/>
              </w:rPr>
              <w:t>Selling, general, and administrative expense</w:t>
            </w:r>
          </w:p>
        </w:tc>
      </w:tr>
      <w:tr>
        <w:trPr>
          <w:trHeight w:val="230"/>
        </w:trPr>
        <w:tc>
          <w:tcPr>
            <w:tcW w:w="5740" w:type="dxa"/>
            <w:vAlign w:val="bottom"/>
            <w:gridSpan w:val="2"/>
          </w:tcPr>
          <w:p>
            <w:pPr>
              <w:ind w:left="240"/>
              <w:spacing w:after="0"/>
              <w:rPr>
                <w:sz w:val="20"/>
                <w:szCs w:val="20"/>
                <w:color w:val="auto"/>
              </w:rPr>
            </w:pPr>
            <w:r>
              <w:rPr>
                <w:rFonts w:ascii="Arial" w:cs="Arial" w:eastAsia="Arial" w:hAnsi="Arial"/>
                <w:sz w:val="18"/>
                <w:szCs w:val="18"/>
                <w:color w:val="auto"/>
              </w:rPr>
              <w:t>related expenses</w:t>
            </w:r>
          </w:p>
        </w:tc>
        <w:tc>
          <w:tcPr>
            <w:tcW w:w="5500" w:type="dxa"/>
            <w:vAlign w:val="bottom"/>
          </w:tcPr>
          <w:p>
            <w:pPr>
              <w:spacing w:after="0"/>
              <w:rPr>
                <w:sz w:val="20"/>
                <w:szCs w:val="20"/>
                <w:color w:val="auto"/>
              </w:rPr>
            </w:pPr>
          </w:p>
        </w:tc>
      </w:tr>
      <w:tr>
        <w:trPr>
          <w:trHeight w:val="202"/>
        </w:trPr>
        <w:tc>
          <w:tcPr>
            <w:tcW w:w="5740" w:type="dxa"/>
            <w:vAlign w:val="bottom"/>
            <w:gridSpan w:val="2"/>
            <w:shd w:val="clear" w:color="auto" w:fill="CDEAFA"/>
          </w:tcPr>
          <w:p>
            <w:pPr>
              <w:ind w:left="60"/>
              <w:spacing w:after="0" w:line="201" w:lineRule="exact"/>
              <w:rPr>
                <w:sz w:val="20"/>
                <w:szCs w:val="20"/>
                <w:color w:val="auto"/>
              </w:rPr>
            </w:pPr>
            <w:r>
              <w:rPr>
                <w:rFonts w:ascii="Arial" w:cs="Arial" w:eastAsia="Arial" w:hAnsi="Arial"/>
                <w:sz w:val="18"/>
                <w:szCs w:val="18"/>
                <w:color w:val="auto"/>
              </w:rPr>
              <w:t>Regeneron’s obligation to pay collaborator for its share of gross profits</w:t>
            </w:r>
          </w:p>
        </w:tc>
        <w:tc>
          <w:tcPr>
            <w:tcW w:w="5500" w:type="dxa"/>
            <w:vAlign w:val="bottom"/>
            <w:shd w:val="clear" w:color="auto" w:fill="CDEAFA"/>
          </w:tcPr>
          <w:p>
            <w:pPr>
              <w:ind w:left="60"/>
              <w:spacing w:after="0" w:line="201" w:lineRule="exact"/>
              <w:rPr>
                <w:sz w:val="20"/>
                <w:szCs w:val="20"/>
                <w:color w:val="auto"/>
              </w:rPr>
            </w:pPr>
            <w:r>
              <w:rPr>
                <w:rFonts w:ascii="Arial" w:cs="Arial" w:eastAsia="Arial" w:hAnsi="Arial"/>
                <w:sz w:val="18"/>
                <w:szCs w:val="18"/>
                <w:color w:val="auto"/>
              </w:rPr>
              <w:t>Cost of goods sold</w:t>
            </w:r>
          </w:p>
        </w:tc>
      </w:tr>
      <w:tr>
        <w:trPr>
          <w:trHeight w:val="230"/>
        </w:trPr>
        <w:tc>
          <w:tcPr>
            <w:tcW w:w="5740" w:type="dxa"/>
            <w:vAlign w:val="bottom"/>
            <w:gridSpan w:val="2"/>
            <w:shd w:val="clear" w:color="auto" w:fill="CDEAFA"/>
          </w:tcPr>
          <w:p>
            <w:pPr>
              <w:ind w:left="240"/>
              <w:spacing w:after="0"/>
              <w:rPr>
                <w:sz w:val="20"/>
                <w:szCs w:val="20"/>
                <w:color w:val="auto"/>
              </w:rPr>
            </w:pPr>
            <w:r>
              <w:rPr>
                <w:rFonts w:ascii="Arial" w:cs="Arial" w:eastAsia="Arial" w:hAnsi="Arial"/>
                <w:sz w:val="18"/>
                <w:szCs w:val="18"/>
                <w:color w:val="auto"/>
              </w:rPr>
              <w:t>when Regeneron is deemed to be the principal</w:t>
            </w:r>
          </w:p>
        </w:tc>
        <w:tc>
          <w:tcPr>
            <w:tcW w:w="5500" w:type="dxa"/>
            <w:vAlign w:val="bottom"/>
            <w:shd w:val="clear" w:color="auto" w:fill="CDEAFA"/>
          </w:tcPr>
          <w:p>
            <w:pPr>
              <w:spacing w:after="0"/>
              <w:rPr>
                <w:sz w:val="20"/>
                <w:szCs w:val="20"/>
                <w:color w:val="auto"/>
              </w:rPr>
            </w:pPr>
          </w:p>
        </w:tc>
      </w:tr>
      <w:tr>
        <w:trPr>
          <w:trHeight w:val="202"/>
        </w:trPr>
        <w:tc>
          <w:tcPr>
            <w:tcW w:w="574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6"/>
              </w:rPr>
              <w:t>Up-front and development milestones earned (when we have a combined</w:t>
            </w:r>
          </w:p>
        </w:tc>
        <w:tc>
          <w:tcPr>
            <w:tcW w:w="5500" w:type="dxa"/>
            <w:vAlign w:val="bottom"/>
          </w:tcPr>
          <w:p>
            <w:pPr>
              <w:ind w:left="60"/>
              <w:spacing w:after="0" w:line="201" w:lineRule="exact"/>
              <w:rPr>
                <w:sz w:val="20"/>
                <w:szCs w:val="20"/>
                <w:color w:val="auto"/>
              </w:rPr>
            </w:pPr>
            <w:r>
              <w:rPr>
                <w:rFonts w:ascii="Arial" w:cs="Arial" w:eastAsia="Arial" w:hAnsi="Arial"/>
                <w:sz w:val="18"/>
                <w:szCs w:val="18"/>
                <w:color w:val="auto"/>
              </w:rPr>
              <w:t>Other operating income</w:t>
            </w:r>
          </w:p>
        </w:tc>
      </w:tr>
      <w:tr>
        <w:trPr>
          <w:trHeight w:val="216"/>
        </w:trPr>
        <w:tc>
          <w:tcPr>
            <w:tcW w:w="5740" w:type="dxa"/>
            <w:vAlign w:val="bottom"/>
            <w:gridSpan w:val="2"/>
          </w:tcPr>
          <w:p>
            <w:pPr>
              <w:ind w:left="240"/>
              <w:spacing w:after="0"/>
              <w:rPr>
                <w:sz w:val="20"/>
                <w:szCs w:val="20"/>
                <w:color w:val="auto"/>
              </w:rPr>
            </w:pPr>
            <w:r>
              <w:rPr>
                <w:rFonts w:ascii="Arial" w:cs="Arial" w:eastAsia="Arial" w:hAnsi="Arial"/>
                <w:sz w:val="18"/>
                <w:szCs w:val="18"/>
                <w:color w:val="auto"/>
              </w:rPr>
              <w:t>unit of account which includes a license and providing research and</w:t>
            </w:r>
          </w:p>
        </w:tc>
        <w:tc>
          <w:tcPr>
            <w:tcW w:w="5500" w:type="dxa"/>
            <w:vAlign w:val="bottom"/>
          </w:tcPr>
          <w:p>
            <w:pPr>
              <w:spacing w:after="0"/>
              <w:rPr>
                <w:sz w:val="18"/>
                <w:szCs w:val="18"/>
                <w:color w:val="auto"/>
              </w:rPr>
            </w:pPr>
          </w:p>
        </w:tc>
      </w:tr>
      <w:tr>
        <w:trPr>
          <w:trHeight w:val="230"/>
        </w:trPr>
        <w:tc>
          <w:tcPr>
            <w:tcW w:w="5740" w:type="dxa"/>
            <w:vAlign w:val="bottom"/>
            <w:gridSpan w:val="2"/>
          </w:tcPr>
          <w:p>
            <w:pPr>
              <w:ind w:left="240"/>
              <w:spacing w:after="0"/>
              <w:rPr>
                <w:sz w:val="20"/>
                <w:szCs w:val="20"/>
                <w:color w:val="auto"/>
              </w:rPr>
            </w:pPr>
            <w:r>
              <w:rPr>
                <w:rFonts w:ascii="Arial" w:cs="Arial" w:eastAsia="Arial" w:hAnsi="Arial"/>
                <w:sz w:val="18"/>
                <w:szCs w:val="18"/>
                <w:color w:val="auto"/>
              </w:rPr>
              <w:t>development services)</w:t>
            </w:r>
          </w:p>
        </w:tc>
        <w:tc>
          <w:tcPr>
            <w:tcW w:w="550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agreements involving multiple goods or services promised to be transferred to our collaborator, we must assess, at the inception of the contract, whether each promise represents a separate obligation (i.e., is “distinct”), or whether such promises should be combined as a single unit of account. When we have a combined unit of account which includes a license and providing research and development services to our collaborator, recognition of up-front payments and development milestones earned from our collaborator is deferred (as a liability) and recognized over the development period (i.e., over time). In arrangements where we satisfy our obligation(s) during the development phase over time, we recognize amounts initially deferred over time typically using an input method on the basis of our research and development costs incurred relative to the total expected cost which determines the extent of our progress toward completion. We review our estimates each period and make revisions to such estimates as necessary. We recognized other operating income in connection with non-refundable up-front and development milestones previously received, for which we used an input method, of $42.5 million and $276.7 million for the years ended December 31, 2021 and 2020, respectively. As of December 31, 2021, $322.5 million was included in other liabilities representing the amount of previously deferred non-refundable up-front and development milestones expected to be recognized in other operating income over time.</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are entitled to reimbursement of all or a portion of the expenses (e.g., research and development expenses) that we incur under a collaboration, we record those reimbursable amounts in the period in which such costs are incurred.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collaborator performs research and development work or commercialization-related activities and share costs, we also recognize, as expense (e.g., research and development expense or selling, general, and administrative expense, as applicable) in the period when our collaborator incurs such expenses, the portion of the collaborator’s expenses that we are obligated to reimburse. Our collaborators provide us with estimated expenses for the most recent fiscal quarter. The estimates are revised, if necessary, in subsequent periods if actual expenses differ from those estimates.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0" w:name="page121"/>
    <w:bookmarkEnd w:id="120"/>
    <w:p>
      <w:pPr>
        <w:ind w:right="20"/>
        <w:spacing w:after="0" w:line="277" w:lineRule="auto"/>
        <w:rPr>
          <w:sz w:val="20"/>
          <w:szCs w:val="20"/>
          <w:color w:val="auto"/>
        </w:rPr>
      </w:pPr>
      <w:r>
        <w:rPr>
          <w:rFonts w:ascii="Arial" w:cs="Arial" w:eastAsia="Arial" w:hAnsi="Arial"/>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pacing w:after="0" w:line="170" w:lineRule="exact"/>
        <w:rPr>
          <w:sz w:val="20"/>
          <w:szCs w:val="20"/>
          <w:color w:val="auto"/>
        </w:rPr>
      </w:pPr>
    </w:p>
    <w:p>
      <w:pPr>
        <w:jc w:val="both"/>
        <w:ind w:left="660" w:hanging="328"/>
        <w:spacing w:after="0" w:line="25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supply commercial product to our collaborator, we may be reimbursed for our manufacturing costs as commercial product is shipped to the collaborator; however, recognition of such cost reimbursements may be deferred until the product is sold by our collaborator to third-party customers;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receive royalties and/or sales-based milestone payments from our collaborator, we recognize such amounts in the period earned.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collaborators provide us with estimates of product sales and our share of profits or losses, as applicable, for each quarter. The estimates are revised, if necessary, in subsequent periods if our actual share of profits or losses differ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Research and development expenses include costs attributable to the conduct of research and development programs, including the cost of salaries, payroll taxes, employee benefits, materials, supplies, depreciation on and maintenance of research equipment, costs related to research collaboration and licensing agreements, clinical trial expenses, the cost of services provided by outside contractors, including services related to the Company’s clinical trials, the full cost of manufacturing drug for use in research and development, amounts that the Company is obligated to reimburse to collaborators for research and development expenses that they incur, and the allocable portions of facility costs. Costs associated with research and development are expensed.</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clinical trial that we conduct, certain clinical trial costs are expensed immediately, while others are expensed over time based on the expected total number of patients in the trial, the rate at which patients enter and remain in the trial, and/or the period over which clinical investigators, contract research organizations (“CROs”), or other third-party service providers are expected to provide services. In the event of early termination of a clinical trial, we accrue and recognize expenses in an amount based on our estimate of the remaining noncancelable obligations associated with the winding-down of the clinical trial, including any applicable penalties.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stock-based compensation expense for equity grants under the Company’s long-term incentive plans to employees and non-employee members of the Company’s board of directors (as applicable) based on the grant-date fair value of those awards. The grant-date fair value of an award is generally recognized as compensation expense over the award’s requisite service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stock option awards is estimated using the Black-Scholes model.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performance-based restricted stock units which are subject to vesting based on the Company’s attainment of pre-established market performance goals is estimated using a Monte Carlo simulation. The probability of the number of actual shares expected to be earned is considered in the grant-date valuation, and therefore, stock-based compensation expense is not adjusted at the vesting date to reflect the actual number of shares earned.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income taxes includes U.S. federal, state, local, and foreign taxes. Income taxes are accounted for under the liability method. Deferred tax assets and liabilities for the expected future tax consequences of events that have been included in the financial statements or tax returns, including deferred tax assets and liabilities for expected amounts of global intangible low-taxed income (“GILTI”) inclusions, are recognized on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Uncertain tax positions, for which management’s assessment is that there is more than a 50% probability that the position will be sustained upon examination by a taxing authority based upon its technical merits, are subjected to certain recognition and measurement criteria. The Company re-evaluates uncertain tax positions and considers various factors, including, but not limited to, changes in tax law, the measurement of tax positions taken or expected to be taken in tax returns, and changes in facts or circumstances related to a tax position. The Company adjusts the amount of the liability to reflect any subsequent changes in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1" w:name="page122"/>
    <w:bookmarkEnd w:id="121"/>
    <w:p>
      <w:pPr>
        <w:jc w:val="both"/>
        <w:spacing w:after="0" w:line="277" w:lineRule="auto"/>
        <w:rPr>
          <w:sz w:val="20"/>
          <w:szCs w:val="20"/>
          <w:color w:val="auto"/>
        </w:rPr>
      </w:pPr>
      <w:r>
        <w:rPr>
          <w:rFonts w:ascii="Arial" w:cs="Arial" w:eastAsia="Arial" w:hAnsi="Arial"/>
          <w:sz w:val="18"/>
          <w:szCs w:val="18"/>
          <w:color w:val="auto"/>
        </w:rPr>
        <w:t>relevant facts and circumstances surrounding the uncertain positions. The Company recognizes interest and penalties related to income tax matters in income tax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 Share Data</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until vested. Diluted net income per share includes the potential dilutive effect of common stock equivalents as if such securities were converted or exercised during the period, when the effect is dilutive. Common stock equivalents include: (i) outstanding stock options and unvested restricted stock under the Company’s long-term incentive plans, which are included under the treasury stock method when dilutive, and (ii) Common Stock that would be issued upon the achievement of certain market conditions, which are included under the treasury stock method when dilutive.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2. Product Sales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5940" w:type="dxa"/>
            <w:vAlign w:val="bottom"/>
            <w:gridSpan w:val="3"/>
          </w:tcPr>
          <w:p>
            <w:pPr>
              <w:spacing w:after="0"/>
              <w:rPr>
                <w:sz w:val="20"/>
                <w:szCs w:val="20"/>
                <w:color w:val="auto"/>
              </w:rPr>
            </w:pPr>
            <w:r>
              <w:rPr>
                <w:rFonts w:ascii="Arial" w:cs="Arial" w:eastAsia="Arial" w:hAnsi="Arial"/>
                <w:sz w:val="18"/>
                <w:szCs w:val="18"/>
                <w:color w:val="auto"/>
              </w:rPr>
              <w:t>Net product sales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46"/>
        </w:trPr>
        <w:tc>
          <w:tcPr>
            <w:tcW w:w="174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r>
      <w:tr>
        <w:trPr>
          <w:trHeight w:val="169"/>
        </w:trPr>
        <w:tc>
          <w:tcPr>
            <w:tcW w:w="1740" w:type="dxa"/>
            <w:vAlign w:val="bottom"/>
          </w:tcPr>
          <w:p>
            <w:pPr>
              <w:spacing w:after="0"/>
              <w:rPr>
                <w:sz w:val="14"/>
                <w:szCs w:val="14"/>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7"/>
                <w:szCs w:val="17"/>
                <w:b w:val="1"/>
                <w:bCs w:val="1"/>
                <w:color w:val="auto"/>
              </w:rPr>
              <w:t>Net Product Sales in the United States</w:t>
            </w:r>
          </w:p>
        </w:tc>
        <w:tc>
          <w:tcPr>
            <w:tcW w:w="240" w:type="dxa"/>
            <w:vAlign w:val="bottom"/>
          </w:tcPr>
          <w:p>
            <w:pPr>
              <w:spacing w:after="0"/>
              <w:rPr>
                <w:sz w:val="14"/>
                <w:szCs w:val="14"/>
                <w:color w:val="auto"/>
              </w:rPr>
            </w:pPr>
          </w:p>
        </w:tc>
        <w:tc>
          <w:tcPr>
            <w:tcW w:w="880" w:type="dxa"/>
            <w:vAlign w:val="bottom"/>
          </w:tcPr>
          <w:p>
            <w:pPr>
              <w:jc w:val="right"/>
              <w:ind w:right="290"/>
              <w:spacing w:after="0" w:line="15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30"/>
              <w:spacing w:after="0" w:line="156"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230"/>
              <w:spacing w:after="0" w:line="156" w:lineRule="exact"/>
              <w:rPr>
                <w:sz w:val="20"/>
                <w:szCs w:val="20"/>
                <w:color w:val="auto"/>
              </w:rPr>
            </w:pPr>
            <w:r>
              <w:rPr>
                <w:rFonts w:ascii="Arial" w:cs="Arial" w:eastAsia="Arial" w:hAnsi="Arial"/>
                <w:sz w:val="18"/>
                <w:szCs w:val="18"/>
                <w:b w:val="1"/>
                <w:bCs w:val="1"/>
                <w:color w:val="auto"/>
                <w:w w:val="99"/>
              </w:rPr>
              <w:t>2019</w:t>
            </w:r>
          </w:p>
        </w:tc>
      </w:tr>
      <w:tr>
        <w:trPr>
          <w:trHeight w:val="34"/>
        </w:trPr>
        <w:tc>
          <w:tcPr>
            <w:tcW w:w="1740" w:type="dxa"/>
            <w:vAlign w:val="bottom"/>
          </w:tcPr>
          <w:p>
            <w:pPr>
              <w:spacing w:after="0"/>
              <w:rPr>
                <w:sz w:val="2"/>
                <w:szCs w:val="2"/>
                <w:color w:val="auto"/>
              </w:rPr>
            </w:pPr>
          </w:p>
        </w:tc>
        <w:tc>
          <w:tcPr>
            <w:tcW w:w="2920" w:type="dxa"/>
            <w:vAlign w:val="bottom"/>
            <w:tcBorders>
              <w:top w:val="single" w:sz="8" w:color="auto"/>
              <w:bottom w:val="single" w:sz="8" w:color="CDEAFA"/>
            </w:tcBorders>
          </w:tcPr>
          <w:p>
            <w:pPr>
              <w:spacing w:after="0"/>
              <w:rPr>
                <w:sz w:val="2"/>
                <w:szCs w:val="2"/>
                <w:color w:val="auto"/>
              </w:rPr>
            </w:pPr>
          </w:p>
        </w:tc>
        <w:tc>
          <w:tcPr>
            <w:tcW w:w="1280" w:type="dxa"/>
            <w:vAlign w:val="bottom"/>
            <w:tcBorders>
              <w:bottom w:val="single" w:sz="8" w:color="CDEAFA"/>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DEAFA"/>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DEAFA"/>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740" w:type="dxa"/>
            <w:vAlign w:val="bottom"/>
            <w:tcBorders>
              <w:right w:val="single" w:sz="8" w:color="CDEAFA"/>
            </w:tcBorders>
          </w:tcPr>
          <w:p>
            <w:pPr>
              <w:spacing w:after="0"/>
              <w:rPr>
                <w:sz w:val="20"/>
                <w:szCs w:val="20"/>
                <w:color w:val="auto"/>
              </w:rPr>
            </w:pPr>
          </w:p>
        </w:tc>
        <w:tc>
          <w:tcPr>
            <w:tcW w:w="4200" w:type="dxa"/>
            <w:vAlign w:val="bottom"/>
            <w:gridSpan w:val="2"/>
            <w:shd w:val="clear" w:color="auto" w:fill="CDEAFA"/>
          </w:tcPr>
          <w:p>
            <w:pPr>
              <w:spacing w:after="0" w:line="236" w:lineRule="exact"/>
              <w:rPr>
                <w:sz w:val="20"/>
                <w:szCs w:val="20"/>
                <w:color w:val="auto"/>
              </w:rPr>
            </w:pPr>
            <w:r>
              <w:rPr>
                <w:rFonts w:ascii="Arial" w:cs="Arial" w:eastAsia="Arial" w:hAnsi="Arial"/>
                <w:sz w:val="17"/>
                <w:szCs w:val="17"/>
                <w:color w:val="auto"/>
              </w:rPr>
              <w:t>EYLEA</w:t>
            </w:r>
            <w:r>
              <w:rPr>
                <w:rFonts w:ascii="Arial" w:cs="Arial" w:eastAsia="Arial" w:hAnsi="Arial"/>
                <w:sz w:val="27"/>
                <w:szCs w:val="27"/>
                <w:color w:val="auto"/>
                <w:vertAlign w:val="superscript"/>
              </w:rPr>
              <w:t>®</w:t>
            </w:r>
          </w:p>
        </w:tc>
        <w:tc>
          <w:tcPr>
            <w:tcW w:w="2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ind w:right="90"/>
              <w:spacing w:after="0"/>
              <w:rPr>
                <w:sz w:val="20"/>
                <w:szCs w:val="20"/>
                <w:color w:val="auto"/>
              </w:rPr>
            </w:pPr>
            <w:r>
              <w:rPr>
                <w:rFonts w:ascii="Arial" w:cs="Arial" w:eastAsia="Arial" w:hAnsi="Arial"/>
                <w:sz w:val="18"/>
                <w:szCs w:val="18"/>
                <w:color w:val="auto"/>
              </w:rPr>
              <w:t>5,792.3</w:t>
            </w:r>
          </w:p>
        </w:tc>
        <w:tc>
          <w:tcPr>
            <w:tcW w:w="240" w:type="dxa"/>
            <w:vAlign w:val="bottom"/>
            <w:shd w:val="clear" w:color="auto" w:fill="CDEAFA"/>
          </w:tcPr>
          <w:p>
            <w:pPr>
              <w:spacing w:after="0"/>
              <w:rPr>
                <w:sz w:val="20"/>
                <w:szCs w:val="20"/>
                <w:color w:val="auto"/>
              </w:rPr>
            </w:pPr>
          </w:p>
        </w:tc>
        <w:tc>
          <w:tcPr>
            <w:tcW w:w="2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4,947.2</w:t>
            </w:r>
          </w:p>
        </w:tc>
        <w:tc>
          <w:tcPr>
            <w:tcW w:w="240" w:type="dxa"/>
            <w:vAlign w:val="bottom"/>
            <w:shd w:val="clear" w:color="auto" w:fill="CDEAFA"/>
          </w:tcPr>
          <w:p>
            <w:pPr>
              <w:spacing w:after="0"/>
              <w:rPr>
                <w:sz w:val="20"/>
                <w:szCs w:val="20"/>
                <w:color w:val="auto"/>
              </w:rPr>
            </w:pPr>
          </w:p>
        </w:tc>
        <w:tc>
          <w:tcPr>
            <w:tcW w:w="26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4,644.2</w:t>
            </w:r>
          </w:p>
        </w:tc>
      </w:tr>
      <w:tr>
        <w:trPr>
          <w:trHeight w:val="257"/>
        </w:trPr>
        <w:tc>
          <w:tcPr>
            <w:tcW w:w="174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Arial" w:cs="Arial" w:eastAsia="Arial" w:hAnsi="Arial"/>
                <w:sz w:val="18"/>
                <w:szCs w:val="18"/>
                <w:color w:val="auto"/>
              </w:rPr>
              <w:t>Libtayo</w:t>
            </w:r>
            <w:r>
              <w:rPr>
                <w:rFonts w:ascii="Arial" w:cs="Arial" w:eastAsia="Arial" w:hAnsi="Arial"/>
                <w:sz w:val="29"/>
                <w:szCs w:val="29"/>
                <w:color w:val="auto"/>
                <w:vertAlign w:val="superscript"/>
              </w:rPr>
              <w:t>®</w:t>
            </w:r>
          </w:p>
        </w:tc>
        <w:tc>
          <w:tcPr>
            <w:tcW w:w="240" w:type="dxa"/>
            <w:vAlign w:val="bottom"/>
          </w:tcPr>
          <w:p>
            <w:pPr>
              <w:spacing w:after="0"/>
              <w:rPr>
                <w:sz w:val="22"/>
                <w:szCs w:val="22"/>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306.3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270.7</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175.7</w:t>
            </w:r>
          </w:p>
        </w:tc>
      </w:tr>
      <w:tr>
        <w:trPr>
          <w:trHeight w:val="256"/>
        </w:trPr>
        <w:tc>
          <w:tcPr>
            <w:tcW w:w="1740" w:type="dxa"/>
            <w:vAlign w:val="bottom"/>
            <w:tcBorders>
              <w:right w:val="single" w:sz="8" w:color="CDEAFA"/>
            </w:tcBorders>
          </w:tcPr>
          <w:p>
            <w:pPr>
              <w:spacing w:after="0"/>
              <w:rPr>
                <w:sz w:val="22"/>
                <w:szCs w:val="22"/>
                <w:color w:val="auto"/>
              </w:rPr>
            </w:pPr>
          </w:p>
        </w:tc>
        <w:tc>
          <w:tcPr>
            <w:tcW w:w="4200" w:type="dxa"/>
            <w:vAlign w:val="bottom"/>
            <w:gridSpan w:val="2"/>
            <w:shd w:val="clear" w:color="auto" w:fill="CDEAFA"/>
          </w:tcPr>
          <w:p>
            <w:pPr>
              <w:spacing w:after="0" w:line="256" w:lineRule="exact"/>
              <w:rPr>
                <w:sz w:val="20"/>
                <w:szCs w:val="20"/>
                <w:color w:val="auto"/>
              </w:rPr>
            </w:pPr>
            <w:r>
              <w:rPr>
                <w:rFonts w:ascii="Arial" w:cs="Arial" w:eastAsia="Arial" w:hAnsi="Arial"/>
                <w:sz w:val="18"/>
                <w:szCs w:val="18"/>
                <w:color w:val="auto"/>
              </w:rPr>
              <w:t>Praluent</w:t>
            </w:r>
            <w:r>
              <w:rPr>
                <w:rFonts w:ascii="Arial" w:cs="Arial" w:eastAsia="Arial" w:hAnsi="Arial"/>
                <w:sz w:val="29"/>
                <w:szCs w:val="29"/>
                <w:color w:val="auto"/>
                <w:vertAlign w:val="superscript"/>
              </w:rPr>
              <w:t>®</w:t>
            </w:r>
          </w:p>
        </w:tc>
        <w:tc>
          <w:tcPr>
            <w:tcW w:w="240" w:type="dxa"/>
            <w:vAlign w:val="bottom"/>
            <w:shd w:val="clear" w:color="auto" w:fill="CDEAFA"/>
          </w:tcPr>
          <w:p>
            <w:pPr>
              <w:spacing w:after="0"/>
              <w:rPr>
                <w:sz w:val="22"/>
                <w:szCs w:val="22"/>
                <w:color w:val="auto"/>
              </w:rPr>
            </w:pPr>
          </w:p>
        </w:tc>
        <w:tc>
          <w:tcPr>
            <w:tcW w:w="880" w:type="dxa"/>
            <w:vAlign w:val="bottom"/>
            <w:shd w:val="clear" w:color="auto" w:fill="CDEAFA"/>
          </w:tcPr>
          <w:p>
            <w:pPr>
              <w:jc w:val="right"/>
              <w:ind w:right="90"/>
              <w:spacing w:after="0"/>
              <w:rPr>
                <w:sz w:val="20"/>
                <w:szCs w:val="20"/>
                <w:color w:val="auto"/>
              </w:rPr>
            </w:pPr>
            <w:r>
              <w:rPr>
                <w:rFonts w:ascii="Arial" w:cs="Arial" w:eastAsia="Arial" w:hAnsi="Arial"/>
                <w:sz w:val="18"/>
                <w:szCs w:val="18"/>
                <w:color w:val="auto"/>
              </w:rPr>
              <w:t>170.0</w:t>
            </w:r>
          </w:p>
        </w:tc>
        <w:tc>
          <w:tcPr>
            <w:tcW w:w="240" w:type="dxa"/>
            <w:vAlign w:val="bottom"/>
            <w:shd w:val="clear" w:color="auto" w:fill="CDEAFA"/>
          </w:tcPr>
          <w:p>
            <w:pPr>
              <w:spacing w:after="0"/>
              <w:rPr>
                <w:sz w:val="22"/>
                <w:szCs w:val="22"/>
                <w:color w:val="auto"/>
              </w:rPr>
            </w:pPr>
          </w:p>
        </w:tc>
        <w:tc>
          <w:tcPr>
            <w:tcW w:w="240" w:type="dxa"/>
            <w:vAlign w:val="bottom"/>
            <w:shd w:val="clear" w:color="auto" w:fill="CDEAFA"/>
          </w:tcPr>
          <w:p>
            <w:pPr>
              <w:spacing w:after="0"/>
              <w:rPr>
                <w:sz w:val="22"/>
                <w:szCs w:val="22"/>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150.9*</w:t>
            </w:r>
          </w:p>
        </w:tc>
        <w:tc>
          <w:tcPr>
            <w:tcW w:w="240" w:type="dxa"/>
            <w:vAlign w:val="bottom"/>
            <w:shd w:val="clear" w:color="auto" w:fill="CDEAFA"/>
          </w:tcPr>
          <w:p>
            <w:pPr>
              <w:spacing w:after="0"/>
              <w:rPr>
                <w:sz w:val="22"/>
                <w:szCs w:val="22"/>
                <w:color w:val="auto"/>
              </w:rPr>
            </w:pPr>
          </w:p>
        </w:tc>
        <w:tc>
          <w:tcPr>
            <w:tcW w:w="260" w:type="dxa"/>
            <w:vAlign w:val="bottom"/>
            <w:shd w:val="clear" w:color="auto" w:fill="CDEAFA"/>
          </w:tcPr>
          <w:p>
            <w:pPr>
              <w:spacing w:after="0"/>
              <w:rPr>
                <w:sz w:val="22"/>
                <w:szCs w:val="22"/>
                <w:color w:val="auto"/>
              </w:rPr>
            </w:pPr>
          </w:p>
        </w:tc>
        <w:tc>
          <w:tcPr>
            <w:tcW w:w="7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Arial" w:cs="Arial" w:eastAsia="Arial" w:hAnsi="Arial"/>
                <w:sz w:val="18"/>
                <w:szCs w:val="18"/>
                <w:color w:val="auto"/>
              </w:rPr>
              <w:t>REGEN-COV</w:t>
            </w:r>
            <w:r>
              <w:rPr>
                <w:rFonts w:ascii="Arial" w:cs="Arial" w:eastAsia="Arial" w:hAnsi="Arial"/>
                <w:sz w:val="29"/>
                <w:szCs w:val="29"/>
                <w:color w:val="auto"/>
                <w:vertAlign w:val="superscript"/>
              </w:rPr>
              <w:t>***</w:t>
            </w:r>
          </w:p>
        </w:tc>
        <w:tc>
          <w:tcPr>
            <w:tcW w:w="240" w:type="dxa"/>
            <w:vAlign w:val="bottom"/>
          </w:tcPr>
          <w:p>
            <w:pPr>
              <w:spacing w:after="0"/>
              <w:rPr>
                <w:sz w:val="22"/>
                <w:szCs w:val="22"/>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5,828.0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185.7</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tcBorders>
              <w:right w:val="single" w:sz="8" w:color="CDEAFA"/>
            </w:tcBorders>
          </w:tcPr>
          <w:p>
            <w:pPr>
              <w:spacing w:after="0"/>
              <w:rPr>
                <w:sz w:val="22"/>
                <w:szCs w:val="22"/>
                <w:color w:val="auto"/>
              </w:rPr>
            </w:pPr>
          </w:p>
        </w:tc>
        <w:tc>
          <w:tcPr>
            <w:tcW w:w="4200" w:type="dxa"/>
            <w:vAlign w:val="bottom"/>
            <w:gridSpan w:val="2"/>
            <w:shd w:val="clear" w:color="auto" w:fill="CDEAFA"/>
          </w:tcPr>
          <w:p>
            <w:pPr>
              <w:spacing w:after="0" w:line="256" w:lineRule="exact"/>
              <w:rPr>
                <w:sz w:val="20"/>
                <w:szCs w:val="20"/>
                <w:color w:val="auto"/>
              </w:rPr>
            </w:pPr>
            <w:r>
              <w:rPr>
                <w:rFonts w:ascii="Arial" w:cs="Arial" w:eastAsia="Arial" w:hAnsi="Arial"/>
                <w:sz w:val="18"/>
                <w:szCs w:val="18"/>
                <w:color w:val="auto"/>
              </w:rPr>
              <w:t>Evkeeza</w:t>
            </w:r>
            <w:r>
              <w:rPr>
                <w:rFonts w:ascii="Arial" w:cs="Arial" w:eastAsia="Arial" w:hAnsi="Arial"/>
                <w:sz w:val="29"/>
                <w:szCs w:val="29"/>
                <w:color w:val="auto"/>
                <w:vertAlign w:val="superscript"/>
              </w:rPr>
              <w:t>®</w:t>
            </w:r>
          </w:p>
        </w:tc>
        <w:tc>
          <w:tcPr>
            <w:tcW w:w="240" w:type="dxa"/>
            <w:vAlign w:val="bottom"/>
            <w:shd w:val="clear" w:color="auto" w:fill="CDEAFA"/>
          </w:tcPr>
          <w:p>
            <w:pPr>
              <w:spacing w:after="0"/>
              <w:rPr>
                <w:sz w:val="22"/>
                <w:szCs w:val="22"/>
                <w:color w:val="auto"/>
              </w:rPr>
            </w:pPr>
          </w:p>
        </w:tc>
        <w:tc>
          <w:tcPr>
            <w:tcW w:w="880" w:type="dxa"/>
            <w:vAlign w:val="bottom"/>
            <w:shd w:val="clear" w:color="auto" w:fill="CDEAFA"/>
          </w:tcPr>
          <w:p>
            <w:pPr>
              <w:jc w:val="right"/>
              <w:ind w:right="9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DEAFA"/>
          </w:tcPr>
          <w:p>
            <w:pPr>
              <w:spacing w:after="0"/>
              <w:rPr>
                <w:sz w:val="22"/>
                <w:szCs w:val="22"/>
                <w:color w:val="auto"/>
              </w:rPr>
            </w:pPr>
          </w:p>
        </w:tc>
        <w:tc>
          <w:tcPr>
            <w:tcW w:w="240" w:type="dxa"/>
            <w:vAlign w:val="bottom"/>
            <w:shd w:val="clear" w:color="auto" w:fill="CDEAFA"/>
          </w:tcPr>
          <w:p>
            <w:pPr>
              <w:spacing w:after="0"/>
              <w:rPr>
                <w:sz w:val="22"/>
                <w:szCs w:val="22"/>
                <w:color w:val="auto"/>
              </w:rPr>
            </w:pPr>
          </w:p>
        </w:tc>
        <w:tc>
          <w:tcPr>
            <w:tcW w:w="1020" w:type="dxa"/>
            <w:vAlign w:val="bottom"/>
            <w:gridSpan w:val="2"/>
            <w:shd w:val="clear" w:color="auto" w:fill="CDEAFA"/>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DEAFA"/>
          </w:tcPr>
          <w:p>
            <w:pPr>
              <w:spacing w:after="0"/>
              <w:rPr>
                <w:sz w:val="22"/>
                <w:szCs w:val="22"/>
                <w:color w:val="auto"/>
              </w:rPr>
            </w:pPr>
          </w:p>
        </w:tc>
        <w:tc>
          <w:tcPr>
            <w:tcW w:w="74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740" w:type="dxa"/>
            <w:vAlign w:val="bottom"/>
          </w:tcPr>
          <w:p>
            <w:pPr>
              <w:spacing w:after="0"/>
              <w:rPr>
                <w:sz w:val="23"/>
                <w:szCs w:val="23"/>
                <w:color w:val="auto"/>
              </w:rPr>
            </w:pPr>
          </w:p>
        </w:tc>
        <w:tc>
          <w:tcPr>
            <w:tcW w:w="4200" w:type="dxa"/>
            <w:vAlign w:val="bottom"/>
            <w:tcBorders>
              <w:bottom w:val="single" w:sz="8" w:color="CDEAFA"/>
            </w:tcBorders>
            <w:gridSpan w:val="2"/>
          </w:tcPr>
          <w:p>
            <w:pPr>
              <w:spacing w:after="0" w:line="270" w:lineRule="exact"/>
              <w:rPr>
                <w:sz w:val="20"/>
                <w:szCs w:val="20"/>
                <w:color w:val="auto"/>
              </w:rPr>
            </w:pPr>
            <w:r>
              <w:rPr>
                <w:rFonts w:ascii="Arial" w:cs="Arial" w:eastAsia="Arial" w:hAnsi="Arial"/>
                <w:sz w:val="18"/>
                <w:szCs w:val="18"/>
                <w:color w:val="auto"/>
              </w:rPr>
              <w:t>ARCALYST</w:t>
            </w:r>
            <w:r>
              <w:rPr>
                <w:rFonts w:ascii="Arial" w:cs="Arial" w:eastAsia="Arial" w:hAnsi="Arial"/>
                <w:sz w:val="29"/>
                <w:szCs w:val="29"/>
                <w:color w:val="auto"/>
                <w:vertAlign w:val="superscript"/>
              </w:rPr>
              <w: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DEAFA"/>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CDEAFA"/>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1740" w:type="dxa"/>
            <w:vAlign w:val="bottom"/>
            <w:tcBorders>
              <w:right w:val="single" w:sz="8" w:color="CDEAFA"/>
            </w:tcBorders>
          </w:tcPr>
          <w:p>
            <w:pPr>
              <w:spacing w:after="0"/>
              <w:rPr>
                <w:sz w:val="19"/>
                <w:szCs w:val="19"/>
                <w:color w:val="auto"/>
              </w:rPr>
            </w:pPr>
          </w:p>
        </w:tc>
        <w:tc>
          <w:tcPr>
            <w:tcW w:w="2920" w:type="dxa"/>
            <w:vAlign w:val="bottom"/>
            <w:tcBorders>
              <w:bottom w:val="single" w:sz="8" w:color="CDEAFA"/>
            </w:tcBorders>
            <w:shd w:val="clear" w:color="auto" w:fill="CDEAFA"/>
          </w:tcPr>
          <w:p>
            <w:pPr>
              <w:spacing w:after="0"/>
              <w:rPr>
                <w:sz w:val="19"/>
                <w:szCs w:val="19"/>
                <w:color w:val="auto"/>
              </w:rPr>
            </w:pPr>
          </w:p>
        </w:tc>
        <w:tc>
          <w:tcPr>
            <w:tcW w:w="1280" w:type="dxa"/>
            <w:vAlign w:val="bottom"/>
            <w:tcBorders>
              <w:bottom w:val="single" w:sz="8" w:color="CDEAFA"/>
            </w:tcBorders>
            <w:shd w:val="clear" w:color="auto" w:fill="CDEAFA"/>
          </w:tcPr>
          <w:p>
            <w:pPr>
              <w:spacing w:after="0"/>
              <w:rPr>
                <w:sz w:val="19"/>
                <w:szCs w:val="19"/>
                <w:color w:val="auto"/>
              </w:rPr>
            </w:pPr>
          </w:p>
        </w:tc>
        <w:tc>
          <w:tcPr>
            <w:tcW w:w="2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DEAFA"/>
          </w:tcPr>
          <w:p>
            <w:pPr>
              <w:jc w:val="right"/>
              <w:ind w:right="90"/>
              <w:spacing w:after="0"/>
              <w:rPr>
                <w:sz w:val="20"/>
                <w:szCs w:val="20"/>
                <w:color w:val="auto"/>
              </w:rPr>
            </w:pPr>
            <w:r>
              <w:rPr>
                <w:rFonts w:ascii="Arial" w:cs="Arial" w:eastAsia="Arial" w:hAnsi="Arial"/>
                <w:sz w:val="18"/>
                <w:szCs w:val="18"/>
                <w:color w:val="auto"/>
                <w:w w:val="96"/>
              </w:rPr>
              <w:t>12,117.2</w:t>
            </w:r>
          </w:p>
        </w:tc>
        <w:tc>
          <w:tcPr>
            <w:tcW w:w="240" w:type="dxa"/>
            <w:vAlign w:val="bottom"/>
            <w:tcBorders>
              <w:bottom w:val="single" w:sz="8" w:color="CDEAFA"/>
            </w:tcBorders>
            <w:shd w:val="clear" w:color="auto" w:fill="CDEAFA"/>
          </w:tcPr>
          <w:p>
            <w:pPr>
              <w:spacing w:after="0"/>
              <w:rPr>
                <w:sz w:val="19"/>
                <w:szCs w:val="19"/>
                <w:color w:val="auto"/>
              </w:rPr>
            </w:pPr>
          </w:p>
        </w:tc>
        <w:tc>
          <w:tcPr>
            <w:tcW w:w="24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5,567.6</w:t>
            </w:r>
          </w:p>
        </w:tc>
        <w:tc>
          <w:tcPr>
            <w:tcW w:w="240" w:type="dxa"/>
            <w:vAlign w:val="bottom"/>
            <w:tcBorders>
              <w:bottom w:val="single" w:sz="8" w:color="CDEAFA"/>
            </w:tcBorders>
            <w:shd w:val="clear" w:color="auto" w:fill="CDEAFA"/>
          </w:tcPr>
          <w:p>
            <w:pPr>
              <w:spacing w:after="0"/>
              <w:rPr>
                <w:sz w:val="19"/>
                <w:szCs w:val="19"/>
                <w:color w:val="auto"/>
              </w:rPr>
            </w:pPr>
          </w:p>
        </w:tc>
        <w:tc>
          <w:tcPr>
            <w:tcW w:w="26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4,834.4</w:t>
            </w:r>
          </w:p>
        </w:tc>
      </w:tr>
      <w:tr>
        <w:trPr>
          <w:trHeight w:val="20"/>
        </w:trPr>
        <w:tc>
          <w:tcPr>
            <w:tcW w:w="1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940" w:right="1960" w:hanging="2"/>
        <w:spacing w:after="0" w:line="231" w:lineRule="auto"/>
        <w:tabs>
          <w:tab w:leader="none" w:pos="2041" w:val="left"/>
        </w:tabs>
        <w:numPr>
          <w:ilvl w:val="0"/>
          <w:numId w:val="51"/>
        </w:numPr>
        <w:rPr>
          <w:rFonts w:ascii="Arial" w:cs="Arial" w:eastAsia="Arial" w:hAnsi="Arial"/>
          <w:sz w:val="25"/>
          <w:szCs w:val="25"/>
          <w:color w:val="auto"/>
          <w:vertAlign w:val="superscript"/>
        </w:rPr>
      </w:pPr>
      <w:r>
        <w:rPr>
          <w:rFonts w:ascii="Arial" w:cs="Arial" w:eastAsia="Arial" w:hAnsi="Arial"/>
          <w:sz w:val="15"/>
          <w:szCs w:val="15"/>
          <w:color w:val="auto"/>
        </w:rPr>
        <w:t>Effective April 1, 2020, the Company became solely responsible for the development and commercialization of Praluent in the United States and records net product sales of Praluent in the United States. Previously, Sanofi recorded net product sales of Praluent in the United States. See Note 3 for further details.</w:t>
      </w:r>
    </w:p>
    <w:p>
      <w:pPr>
        <w:spacing w:after="0" w:line="93" w:lineRule="exact"/>
        <w:rPr>
          <w:sz w:val="20"/>
          <w:szCs w:val="20"/>
          <w:color w:val="auto"/>
        </w:rPr>
      </w:pPr>
    </w:p>
    <w:p>
      <w:pPr>
        <w:ind w:left="1940" w:right="2000" w:hanging="2"/>
        <w:spacing w:after="0" w:line="198" w:lineRule="auto"/>
        <w:tabs>
          <w:tab w:leader="none" w:pos="2109"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Effective April 1, 2021, Kiniksa records net product sales of ARCALYST in the United States. Previously, the Company recorded net product sales of ARCALYST in the United States.</w:t>
      </w:r>
    </w:p>
    <w:p>
      <w:pPr>
        <w:spacing w:after="0" w:line="91" w:lineRule="exact"/>
        <w:rPr>
          <w:rFonts w:ascii="Arial" w:cs="Arial" w:eastAsia="Arial" w:hAnsi="Arial"/>
          <w:sz w:val="27"/>
          <w:szCs w:val="27"/>
          <w:color w:val="auto"/>
          <w:vertAlign w:val="superscript"/>
        </w:rPr>
      </w:pPr>
    </w:p>
    <w:p>
      <w:pPr>
        <w:ind w:left="1940" w:right="1780" w:hanging="2"/>
        <w:spacing w:after="0" w:line="198" w:lineRule="auto"/>
        <w:tabs>
          <w:tab w:leader="none" w:pos="2176"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Net product sales of REGEN-COV in the United States relate to product sold in connection with our agreements with the U.S. government. See Note 3 for further details.</w:t>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2021 and 2020, the Company had $5.059 billion and $3.112 billion, respectively, of trade accounts receivable that were recorded within Accounts receivable, net.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product sales to certain customers that accounted for more than 10% of total gross product revenue for each of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2020, and 2019. Sales to each of these customers as a percentage of the Company’s total gross product revenue are as follows:</w:t>
      </w:r>
    </w:p>
    <w:p>
      <w:pPr>
        <w:spacing w:after="0" w:line="243"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5120" w:type="dxa"/>
            <w:vAlign w:val="bottom"/>
            <w:tcBorders>
              <w:bottom w:val="single" w:sz="8" w:color="CDEAFA"/>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DEAFA"/>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CDEAFA"/>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10"/>
        </w:trPr>
        <w:tc>
          <w:tcPr>
            <w:tcW w:w="5120" w:type="dxa"/>
            <w:vAlign w:val="bottom"/>
            <w:shd w:val="clear" w:color="auto" w:fill="CDEAFA"/>
          </w:tcPr>
          <w:p>
            <w:pPr>
              <w:ind w:left="40"/>
              <w:spacing w:after="0"/>
              <w:rPr>
                <w:sz w:val="20"/>
                <w:szCs w:val="20"/>
                <w:color w:val="auto"/>
              </w:rPr>
            </w:pPr>
            <w:r>
              <w:rPr>
                <w:rFonts w:ascii="Arial" w:cs="Arial" w:eastAsia="Arial" w:hAnsi="Arial"/>
                <w:sz w:val="18"/>
                <w:szCs w:val="18"/>
                <w:color w:val="auto"/>
                <w:w w:val="99"/>
              </w:rPr>
              <w:t>Besse Medical, a subsidiary of AmerisourceBergen Corporation</w:t>
            </w:r>
          </w:p>
        </w:tc>
        <w:tc>
          <w:tcPr>
            <w:tcW w:w="880" w:type="dxa"/>
            <w:vAlign w:val="bottom"/>
            <w:shd w:val="clear" w:color="auto" w:fill="CDEAFA"/>
          </w:tcPr>
          <w:p>
            <w:pPr>
              <w:spacing w:after="0"/>
              <w:rPr>
                <w:sz w:val="18"/>
                <w:szCs w:val="18"/>
                <w:color w:val="auto"/>
              </w:rPr>
            </w:pPr>
          </w:p>
        </w:tc>
        <w:tc>
          <w:tcPr>
            <w:tcW w:w="4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DEAFA"/>
          </w:tcPr>
          <w:p>
            <w:pPr>
              <w:spacing w:after="0"/>
              <w:rPr>
                <w:sz w:val="18"/>
                <w:szCs w:val="18"/>
                <w:color w:val="auto"/>
              </w:rPr>
            </w:pPr>
          </w:p>
        </w:tc>
        <w:tc>
          <w:tcPr>
            <w:tcW w:w="12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DEAFA"/>
          </w:tcPr>
          <w:p>
            <w:pPr>
              <w:spacing w:after="0"/>
              <w:rPr>
                <w:sz w:val="18"/>
                <w:szCs w:val="18"/>
                <w:color w:val="auto"/>
              </w:rPr>
            </w:pPr>
          </w:p>
        </w:tc>
        <w:tc>
          <w:tcPr>
            <w:tcW w:w="1280" w:type="dxa"/>
            <w:vAlign w:val="bottom"/>
            <w:shd w:val="clear" w:color="auto" w:fill="CDEAFA"/>
          </w:tcPr>
          <w:p>
            <w:pPr>
              <w:ind w:left="940"/>
              <w:spacing w:after="0"/>
              <w:rPr>
                <w:sz w:val="20"/>
                <w:szCs w:val="20"/>
                <w:color w:val="auto"/>
              </w:rPr>
            </w:pPr>
            <w:r>
              <w:rPr>
                <w:rFonts w:ascii="Arial" w:cs="Arial" w:eastAsia="Arial" w:hAnsi="Arial"/>
                <w:sz w:val="18"/>
                <w:szCs w:val="18"/>
                <w:color w:val="auto"/>
                <w:w w:val="88"/>
              </w:rPr>
              <w:t>57%</w:t>
            </w:r>
          </w:p>
        </w:tc>
      </w:tr>
      <w:tr>
        <w:trPr>
          <w:trHeight w:val="216"/>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McKesson Corporation</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280" w:type="dxa"/>
            <w:vAlign w:val="bottom"/>
          </w:tcPr>
          <w:p>
            <w:pPr>
              <w:ind w:left="940"/>
              <w:spacing w:after="0"/>
              <w:rPr>
                <w:sz w:val="20"/>
                <w:szCs w:val="20"/>
                <w:color w:val="auto"/>
              </w:rPr>
            </w:pPr>
            <w:r>
              <w:rPr>
                <w:rFonts w:ascii="Arial" w:cs="Arial" w:eastAsia="Arial" w:hAnsi="Arial"/>
                <w:sz w:val="18"/>
                <w:szCs w:val="18"/>
                <w:color w:val="auto"/>
                <w:w w:val="88"/>
              </w:rPr>
              <w:t>33%</w:t>
            </w:r>
          </w:p>
        </w:tc>
      </w:tr>
      <w:tr>
        <w:trPr>
          <w:trHeight w:val="216"/>
        </w:trPr>
        <w:tc>
          <w:tcPr>
            <w:tcW w:w="6000" w:type="dxa"/>
            <w:vAlign w:val="bottom"/>
            <w:gridSpan w:val="2"/>
            <w:shd w:val="clear" w:color="auto" w:fill="CDEAFA"/>
          </w:tcPr>
          <w:p>
            <w:pPr>
              <w:ind w:left="40"/>
              <w:spacing w:after="0"/>
              <w:rPr>
                <w:sz w:val="20"/>
                <w:szCs w:val="20"/>
                <w:color w:val="auto"/>
              </w:rPr>
            </w:pPr>
            <w:r>
              <w:rPr>
                <w:rFonts w:ascii="Arial" w:cs="Arial" w:eastAsia="Arial" w:hAnsi="Arial"/>
                <w:sz w:val="18"/>
                <w:szCs w:val="18"/>
                <w:color w:val="auto"/>
              </w:rPr>
              <w:t>U.S. government</w:t>
            </w:r>
          </w:p>
        </w:tc>
        <w:tc>
          <w:tcPr>
            <w:tcW w:w="4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DEAFA"/>
          </w:tcPr>
          <w:p>
            <w:pPr>
              <w:spacing w:after="0"/>
              <w:rPr>
                <w:sz w:val="18"/>
                <w:szCs w:val="18"/>
                <w:color w:val="auto"/>
              </w:rPr>
            </w:pPr>
          </w:p>
        </w:tc>
        <w:tc>
          <w:tcPr>
            <w:tcW w:w="1280" w:type="dxa"/>
            <w:vAlign w:val="bottom"/>
            <w:shd w:val="clear" w:color="auto" w:fill="CDEAFA"/>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DEAFA"/>
          </w:tcPr>
          <w:p>
            <w:pPr>
              <w:spacing w:after="0"/>
              <w:rPr>
                <w:sz w:val="18"/>
                <w:szCs w:val="18"/>
                <w:color w:val="auto"/>
              </w:rPr>
            </w:pPr>
          </w:p>
        </w:tc>
        <w:tc>
          <w:tcPr>
            <w:tcW w:w="1280" w:type="dxa"/>
            <w:vAlign w:val="bottom"/>
            <w:shd w:val="clear" w:color="auto" w:fill="CDEAFA"/>
          </w:tcPr>
          <w:p>
            <w:pPr>
              <w:ind w:left="940"/>
              <w:spacing w:after="0"/>
              <w:rPr>
                <w:sz w:val="20"/>
                <w:szCs w:val="20"/>
                <w:color w:val="auto"/>
              </w:rPr>
            </w:pPr>
            <w:r>
              <w:rPr>
                <w:rFonts w:ascii="Arial" w:cs="Arial" w:eastAsia="Arial" w:hAnsi="Arial"/>
                <w:sz w:val="18"/>
                <w:szCs w:val="18"/>
                <w:color w:val="auto"/>
              </w:rPr>
              <w:t>—</w:t>
            </w:r>
          </w:p>
        </w:tc>
      </w:tr>
    </w:tbl>
    <w:p>
      <w:pPr>
        <w:spacing w:after="0" w:line="129" w:lineRule="exact"/>
        <w:rPr>
          <w:sz w:val="20"/>
          <w:szCs w:val="20"/>
          <w:color w:val="auto"/>
        </w:rPr>
      </w:pPr>
    </w:p>
    <w:p>
      <w:pPr>
        <w:ind w:left="1260" w:hanging="111"/>
        <w:spacing w:after="0"/>
        <w:tabs>
          <w:tab w:leader="none" w:pos="1260" w:val="left"/>
        </w:tabs>
        <w:numPr>
          <w:ilvl w:val="0"/>
          <w:numId w:val="54"/>
        </w:numPr>
        <w:rPr>
          <w:rFonts w:ascii="Arial" w:cs="Arial" w:eastAsia="Arial" w:hAnsi="Arial"/>
          <w:sz w:val="27"/>
          <w:szCs w:val="27"/>
          <w:color w:val="auto"/>
          <w:vertAlign w:val="superscript"/>
        </w:rPr>
      </w:pPr>
      <w:r>
        <w:rPr>
          <w:rFonts w:ascii="Arial" w:cs="Arial" w:eastAsia="Arial" w:hAnsi="Arial"/>
          <w:sz w:val="16"/>
          <w:szCs w:val="16"/>
          <w:color w:val="auto"/>
        </w:rPr>
        <w:t>Sales to the U.S. government represented less than 10% of total gross product revenue during the period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product sales is recorded net of applicable provisions for rebates, chargebacks, and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 The following table summarizes the provisions, and credits/payments, for sales-related deductions.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2" w:name="page123"/>
    <w:bookmarkEnd w:id="122"/>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Rebates,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Other Sales-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Chargebacks,</w:t>
            </w:r>
          </w:p>
        </w:tc>
        <w:tc>
          <w:tcPr>
            <w:tcW w:w="1620" w:type="dxa"/>
            <w:vAlign w:val="bottom"/>
            <w:gridSpan w:val="3"/>
          </w:tcPr>
          <w:p>
            <w:pPr>
              <w:ind w:left="200"/>
              <w:spacing w:after="0"/>
              <w:rPr>
                <w:sz w:val="20"/>
                <w:szCs w:val="20"/>
                <w:color w:val="auto"/>
              </w:rPr>
            </w:pPr>
            <w:r>
              <w:rPr>
                <w:rFonts w:ascii="Arial" w:cs="Arial" w:eastAsia="Arial" w:hAnsi="Arial"/>
                <w:sz w:val="18"/>
                <w:szCs w:val="18"/>
                <w:b w:val="1"/>
                <w:bCs w:val="1"/>
                <w:color w:val="auto"/>
              </w:rPr>
              <w:t>Distribution-</w:t>
            </w:r>
          </w:p>
        </w:tc>
        <w:tc>
          <w:tcPr>
            <w:tcW w:w="22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Related</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vMerge w:val="continue"/>
          </w:tcPr>
          <w:p>
            <w:pPr>
              <w:spacing w:after="0"/>
              <w:rPr>
                <w:sz w:val="20"/>
                <w:szCs w:val="20"/>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and Discounts</w:t>
            </w:r>
          </w:p>
        </w:tc>
        <w:tc>
          <w:tcPr>
            <w:tcW w:w="2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Related Fees</w:t>
            </w:r>
          </w:p>
        </w:tc>
        <w:tc>
          <w:tcPr>
            <w:tcW w:w="22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Deductions</w:t>
            </w:r>
          </w:p>
        </w:tc>
        <w:tc>
          <w:tcPr>
            <w:tcW w:w="3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580" w:type="dxa"/>
            <w:vAlign w:val="bottom"/>
            <w:tcBorders>
              <w:top w:val="single" w:sz="8" w:color="CDEAFA"/>
            </w:tcBorders>
            <w:shd w:val="clear" w:color="auto" w:fill="CDEAFA"/>
          </w:tcPr>
          <w:p>
            <w:pPr>
              <w:ind w:left="40"/>
              <w:spacing w:after="0"/>
              <w:rPr>
                <w:sz w:val="20"/>
                <w:szCs w:val="20"/>
                <w:color w:val="auto"/>
              </w:rPr>
            </w:pPr>
            <w:r>
              <w:rPr>
                <w:rFonts w:ascii="Arial" w:cs="Arial" w:eastAsia="Arial" w:hAnsi="Arial"/>
                <w:sz w:val="18"/>
                <w:szCs w:val="18"/>
                <w:color w:val="auto"/>
              </w:rPr>
              <w:t>Balance as of December 31, 2018</w:t>
            </w:r>
          </w:p>
        </w:tc>
        <w:tc>
          <w:tcPr>
            <w:tcW w:w="320" w:type="dxa"/>
            <w:vAlign w:val="bottom"/>
            <w:tcBorders>
              <w:top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41.1</w:t>
            </w:r>
          </w:p>
        </w:tc>
        <w:tc>
          <w:tcPr>
            <w:tcW w:w="220" w:type="dxa"/>
            <w:vAlign w:val="bottom"/>
            <w:tcBorders>
              <w:top w:val="single" w:sz="8" w:color="CDEAFA"/>
            </w:tcBorders>
            <w:shd w:val="clear" w:color="auto" w:fill="CDEAFA"/>
          </w:tcPr>
          <w:p>
            <w:pPr>
              <w:spacing w:after="0"/>
              <w:rPr>
                <w:sz w:val="18"/>
                <w:szCs w:val="18"/>
                <w:color w:val="auto"/>
              </w:rPr>
            </w:pPr>
          </w:p>
        </w:tc>
        <w:tc>
          <w:tcPr>
            <w:tcW w:w="220" w:type="dxa"/>
            <w:vAlign w:val="bottom"/>
            <w:tcBorders>
              <w:top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42.0</w:t>
            </w:r>
          </w:p>
        </w:tc>
        <w:tc>
          <w:tcPr>
            <w:tcW w:w="220" w:type="dxa"/>
            <w:vAlign w:val="bottom"/>
            <w:tcBorders>
              <w:top w:val="single" w:sz="8" w:color="CDEAFA"/>
            </w:tcBorders>
            <w:shd w:val="clear" w:color="auto" w:fill="CDEAFA"/>
          </w:tcPr>
          <w:p>
            <w:pPr>
              <w:spacing w:after="0"/>
              <w:rPr>
                <w:sz w:val="18"/>
                <w:szCs w:val="18"/>
                <w:color w:val="auto"/>
              </w:rPr>
            </w:pPr>
          </w:p>
        </w:tc>
        <w:tc>
          <w:tcPr>
            <w:tcW w:w="220" w:type="dxa"/>
            <w:vAlign w:val="bottom"/>
            <w:tcBorders>
              <w:top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8.3</w:t>
            </w:r>
          </w:p>
        </w:tc>
        <w:tc>
          <w:tcPr>
            <w:tcW w:w="220" w:type="dxa"/>
            <w:vAlign w:val="bottom"/>
            <w:tcBorders>
              <w:top w:val="single" w:sz="8" w:color="CDEAFA"/>
            </w:tcBorders>
            <w:shd w:val="clear" w:color="auto" w:fill="CDEAFA"/>
          </w:tcPr>
          <w:p>
            <w:pPr>
              <w:spacing w:after="0"/>
              <w:rPr>
                <w:sz w:val="18"/>
                <w:szCs w:val="18"/>
                <w:color w:val="auto"/>
              </w:rPr>
            </w:pPr>
          </w:p>
        </w:tc>
        <w:tc>
          <w:tcPr>
            <w:tcW w:w="360" w:type="dxa"/>
            <w:vAlign w:val="bottom"/>
            <w:tcBorders>
              <w:top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Provisions</w:t>
            </w:r>
          </w:p>
        </w:tc>
        <w:tc>
          <w:tcPr>
            <w:tcW w:w="3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30"/>
        </w:trPr>
        <w:tc>
          <w:tcPr>
            <w:tcW w:w="4580" w:type="dxa"/>
            <w:vAlign w:val="bottom"/>
            <w:shd w:val="clear" w:color="auto" w:fill="CDEAFA"/>
          </w:tcPr>
          <w:p>
            <w:pPr>
              <w:ind w:left="180"/>
              <w:spacing w:after="0"/>
              <w:rPr>
                <w:sz w:val="20"/>
                <w:szCs w:val="20"/>
                <w:color w:val="auto"/>
              </w:rPr>
            </w:pPr>
            <w:r>
              <w:rPr>
                <w:rFonts w:ascii="Arial" w:cs="Arial" w:eastAsia="Arial" w:hAnsi="Arial"/>
                <w:sz w:val="18"/>
                <w:szCs w:val="18"/>
                <w:color w:val="auto"/>
              </w:rPr>
              <w:t>Credits/payments</w:t>
            </w:r>
          </w:p>
        </w:tc>
        <w:tc>
          <w:tcPr>
            <w:tcW w:w="320" w:type="dxa"/>
            <w:vAlign w:val="bottom"/>
            <w:tcBorders>
              <w:bottom w:val="single" w:sz="8" w:color="auto"/>
            </w:tcBorders>
            <w:shd w:val="clear" w:color="auto" w:fill="CDEAFA"/>
          </w:tcPr>
          <w:p>
            <w:pPr>
              <w:spacing w:after="0"/>
              <w:rPr>
                <w:sz w:val="19"/>
                <w:szCs w:val="19"/>
                <w:color w:val="auto"/>
              </w:rPr>
            </w:pPr>
          </w:p>
        </w:tc>
        <w:tc>
          <w:tcPr>
            <w:tcW w:w="11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(384.0)</w:t>
            </w:r>
          </w:p>
        </w:tc>
        <w:tc>
          <w:tcPr>
            <w:tcW w:w="220" w:type="dxa"/>
            <w:vAlign w:val="bottom"/>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spacing w:after="0"/>
              <w:rPr>
                <w:sz w:val="19"/>
                <w:szCs w:val="19"/>
                <w:color w:val="auto"/>
              </w:rPr>
            </w:pPr>
          </w:p>
        </w:tc>
        <w:tc>
          <w:tcPr>
            <w:tcW w:w="11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(238.5)</w:t>
            </w:r>
          </w:p>
        </w:tc>
        <w:tc>
          <w:tcPr>
            <w:tcW w:w="220" w:type="dxa"/>
            <w:vAlign w:val="bottom"/>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spacing w:after="0"/>
              <w:rPr>
                <w:sz w:val="19"/>
                <w:szCs w:val="19"/>
                <w:color w:val="auto"/>
              </w:rPr>
            </w:pPr>
          </w:p>
        </w:tc>
        <w:tc>
          <w:tcPr>
            <w:tcW w:w="11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DEAFA"/>
          </w:tcPr>
          <w:p>
            <w:pPr>
              <w:spacing w:after="0"/>
              <w:rPr>
                <w:sz w:val="19"/>
                <w:szCs w:val="19"/>
                <w:color w:val="auto"/>
              </w:rPr>
            </w:pPr>
          </w:p>
        </w:tc>
        <w:tc>
          <w:tcPr>
            <w:tcW w:w="36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3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6"/>
        </w:trPr>
        <w:tc>
          <w:tcPr>
            <w:tcW w:w="4580" w:type="dxa"/>
            <w:vAlign w:val="bottom"/>
            <w:shd w:val="clear" w:color="auto" w:fill="CDEAFA"/>
          </w:tcPr>
          <w:p>
            <w:pPr>
              <w:ind w:left="180"/>
              <w:spacing w:after="0"/>
              <w:rPr>
                <w:sz w:val="20"/>
                <w:szCs w:val="20"/>
                <w:color w:val="auto"/>
              </w:rPr>
            </w:pPr>
            <w:r>
              <w:rPr>
                <w:rFonts w:ascii="Arial" w:cs="Arial" w:eastAsia="Arial" w:hAnsi="Arial"/>
                <w:sz w:val="18"/>
                <w:szCs w:val="18"/>
                <w:color w:val="auto"/>
              </w:rPr>
              <w:t>Provisions</w:t>
            </w:r>
          </w:p>
        </w:tc>
        <w:tc>
          <w:tcPr>
            <w:tcW w:w="320" w:type="dxa"/>
            <w:vAlign w:val="bottom"/>
            <w:shd w:val="clear" w:color="auto" w:fill="CDEAFA"/>
          </w:tcPr>
          <w:p>
            <w:pPr>
              <w:spacing w:after="0"/>
              <w:rPr>
                <w:sz w:val="18"/>
                <w:szCs w:val="18"/>
                <w:color w:val="auto"/>
              </w:rPr>
            </w:pPr>
          </w:p>
        </w:tc>
        <w:tc>
          <w:tcPr>
            <w:tcW w:w="112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762.9</w:t>
            </w:r>
          </w:p>
        </w:tc>
        <w:tc>
          <w:tcPr>
            <w:tcW w:w="22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11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279.9</w:t>
            </w:r>
          </w:p>
        </w:tc>
        <w:tc>
          <w:tcPr>
            <w:tcW w:w="22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11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CDEAFA"/>
          </w:tcPr>
          <w:p>
            <w:pPr>
              <w:spacing w:after="0"/>
              <w:rPr>
                <w:sz w:val="18"/>
                <w:szCs w:val="18"/>
                <w:color w:val="auto"/>
              </w:rPr>
            </w:pPr>
          </w:p>
        </w:tc>
        <w:tc>
          <w:tcPr>
            <w:tcW w:w="36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DEAFA"/>
            </w:tcBorders>
          </w:tcPr>
          <w:p>
            <w:pPr>
              <w:ind w:left="180"/>
              <w:spacing w:after="0"/>
              <w:rPr>
                <w:sz w:val="20"/>
                <w:szCs w:val="20"/>
                <w:color w:val="auto"/>
              </w:rPr>
            </w:pPr>
            <w:r>
              <w:rPr>
                <w:rFonts w:ascii="Arial" w:cs="Arial" w:eastAsia="Arial" w:hAnsi="Arial"/>
                <w:sz w:val="18"/>
                <w:szCs w:val="18"/>
                <w:color w:val="auto"/>
              </w:rPr>
              <w:t>Credits/payments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22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22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bottom w:val="single" w:sz="8" w:color="CDEAFA"/>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09"/>
        </w:trPr>
        <w:tc>
          <w:tcPr>
            <w:tcW w:w="4580" w:type="dxa"/>
            <w:vAlign w:val="bottom"/>
            <w:shd w:val="clear" w:color="auto" w:fill="CDEAFA"/>
          </w:tcPr>
          <w:p>
            <w:pPr>
              <w:ind w:left="40"/>
              <w:spacing w:after="0"/>
              <w:rPr>
                <w:sz w:val="20"/>
                <w:szCs w:val="20"/>
                <w:color w:val="auto"/>
              </w:rPr>
            </w:pPr>
            <w:r>
              <w:rPr>
                <w:rFonts w:ascii="Arial" w:cs="Arial" w:eastAsia="Arial" w:hAnsi="Arial"/>
                <w:sz w:val="18"/>
                <w:szCs w:val="18"/>
                <w:color w:val="auto"/>
              </w:rPr>
              <w:t>Balance as of December 31, 2020</w:t>
            </w:r>
          </w:p>
        </w:tc>
        <w:tc>
          <w:tcPr>
            <w:tcW w:w="320" w:type="dxa"/>
            <w:vAlign w:val="bottom"/>
            <w:shd w:val="clear" w:color="auto" w:fill="CDEAFA"/>
          </w:tcPr>
          <w:p>
            <w:pPr>
              <w:spacing w:after="0"/>
              <w:rPr>
                <w:sz w:val="18"/>
                <w:szCs w:val="18"/>
                <w:color w:val="auto"/>
              </w:rPr>
            </w:pPr>
          </w:p>
        </w:tc>
        <w:tc>
          <w:tcPr>
            <w:tcW w:w="112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11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77.2</w:t>
            </w:r>
          </w:p>
        </w:tc>
        <w:tc>
          <w:tcPr>
            <w:tcW w:w="22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11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DEAFA"/>
          </w:tcPr>
          <w:p>
            <w:pPr>
              <w:spacing w:after="0"/>
              <w:rPr>
                <w:sz w:val="18"/>
                <w:szCs w:val="18"/>
                <w:color w:val="auto"/>
              </w:rPr>
            </w:pPr>
          </w:p>
        </w:tc>
        <w:tc>
          <w:tcPr>
            <w:tcW w:w="36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Provisions</w:t>
            </w:r>
          </w:p>
        </w:tc>
        <w:tc>
          <w:tcPr>
            <w:tcW w:w="3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1,047.1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150.4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1,561.1</w:t>
            </w:r>
          </w:p>
        </w:tc>
        <w:tc>
          <w:tcPr>
            <w:tcW w:w="0" w:type="dxa"/>
            <w:vAlign w:val="bottom"/>
          </w:tcPr>
          <w:p>
            <w:pPr>
              <w:spacing w:after="0"/>
              <w:rPr>
                <w:sz w:val="1"/>
                <w:szCs w:val="1"/>
                <w:color w:val="auto"/>
              </w:rPr>
            </w:pPr>
          </w:p>
        </w:tc>
      </w:tr>
      <w:tr>
        <w:trPr>
          <w:trHeight w:val="230"/>
        </w:trPr>
        <w:tc>
          <w:tcPr>
            <w:tcW w:w="4580" w:type="dxa"/>
            <w:vAlign w:val="bottom"/>
            <w:shd w:val="clear" w:color="auto" w:fill="CDEAFA"/>
          </w:tcPr>
          <w:p>
            <w:pPr>
              <w:ind w:left="180"/>
              <w:spacing w:after="0"/>
              <w:rPr>
                <w:sz w:val="20"/>
                <w:szCs w:val="20"/>
                <w:color w:val="auto"/>
              </w:rPr>
            </w:pPr>
            <w:r>
              <w:rPr>
                <w:rFonts w:ascii="Arial" w:cs="Arial" w:eastAsia="Arial" w:hAnsi="Arial"/>
                <w:sz w:val="18"/>
                <w:szCs w:val="18"/>
                <w:color w:val="auto"/>
              </w:rPr>
              <w:t>Credits/payments</w:t>
            </w:r>
          </w:p>
        </w:tc>
        <w:tc>
          <w:tcPr>
            <w:tcW w:w="320" w:type="dxa"/>
            <w:vAlign w:val="bottom"/>
            <w:tcBorders>
              <w:bottom w:val="single" w:sz="8" w:color="auto"/>
            </w:tcBorders>
            <w:shd w:val="clear" w:color="auto" w:fill="CDEAFA"/>
          </w:tcPr>
          <w:p>
            <w:pPr>
              <w:spacing w:after="0"/>
              <w:rPr>
                <w:sz w:val="19"/>
                <w:szCs w:val="19"/>
                <w:color w:val="auto"/>
              </w:rPr>
            </w:pPr>
          </w:p>
        </w:tc>
        <w:tc>
          <w:tcPr>
            <w:tcW w:w="11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(1,034.7)</w:t>
            </w:r>
          </w:p>
        </w:tc>
        <w:tc>
          <w:tcPr>
            <w:tcW w:w="220" w:type="dxa"/>
            <w:vAlign w:val="bottom"/>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spacing w:after="0"/>
              <w:rPr>
                <w:sz w:val="19"/>
                <w:szCs w:val="19"/>
                <w:color w:val="auto"/>
              </w:rPr>
            </w:pPr>
          </w:p>
        </w:tc>
        <w:tc>
          <w:tcPr>
            <w:tcW w:w="11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(360.8)</w:t>
            </w:r>
          </w:p>
        </w:tc>
        <w:tc>
          <w:tcPr>
            <w:tcW w:w="220" w:type="dxa"/>
            <w:vAlign w:val="bottom"/>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spacing w:after="0"/>
              <w:rPr>
                <w:sz w:val="19"/>
                <w:szCs w:val="19"/>
                <w:color w:val="auto"/>
              </w:rPr>
            </w:pPr>
          </w:p>
        </w:tc>
        <w:tc>
          <w:tcPr>
            <w:tcW w:w="11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(127.6)</w:t>
            </w:r>
          </w:p>
        </w:tc>
        <w:tc>
          <w:tcPr>
            <w:tcW w:w="220" w:type="dxa"/>
            <w:vAlign w:val="bottom"/>
            <w:shd w:val="clear" w:color="auto" w:fill="CDEAFA"/>
          </w:tcPr>
          <w:p>
            <w:pPr>
              <w:spacing w:after="0"/>
              <w:rPr>
                <w:sz w:val="19"/>
                <w:szCs w:val="19"/>
                <w:color w:val="auto"/>
              </w:rPr>
            </w:pPr>
          </w:p>
        </w:tc>
        <w:tc>
          <w:tcPr>
            <w:tcW w:w="36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23"/>
        </w:trPr>
        <w:tc>
          <w:tcPr>
            <w:tcW w:w="4580" w:type="dxa"/>
            <w:vAlign w:val="bottom"/>
          </w:tcPr>
          <w:p>
            <w:pPr>
              <w:ind w:left="40"/>
              <w:spacing w:after="0"/>
              <w:rPr>
                <w:sz w:val="20"/>
                <w:szCs w:val="20"/>
                <w:color w:val="auto"/>
              </w:rPr>
            </w:pPr>
            <w:r>
              <w:rPr>
                <w:rFonts w:ascii="Arial" w:cs="Arial" w:eastAsia="Arial" w:hAnsi="Arial"/>
                <w:sz w:val="18"/>
                <w:szCs w:val="18"/>
                <w:color w:val="auto"/>
              </w:rPr>
              <w:t>Balance as of December 31, 2021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214.6</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License, and Other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collaborations with Sanofi are detailed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 w:type="dxa"/>
            <w:vAlign w:val="bottom"/>
          </w:tcPr>
          <w:p>
            <w:pPr>
              <w:spacing w:after="0"/>
              <w:rPr>
                <w:sz w:val="21"/>
                <w:szCs w:val="21"/>
                <w:color w:val="auto"/>
              </w:rPr>
            </w:pPr>
          </w:p>
        </w:tc>
        <w:tc>
          <w:tcPr>
            <w:tcW w:w="36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3300" w:type="dxa"/>
            <w:vAlign w:val="bottom"/>
            <w:gridSpan w:val="2"/>
          </w:tcPr>
          <w:p>
            <w:pPr>
              <w:ind w:left="600"/>
              <w:spacing w:after="0"/>
              <w:rPr>
                <w:sz w:val="20"/>
                <w:szCs w:val="20"/>
                <w:color w:val="auto"/>
              </w:rPr>
            </w:pPr>
            <w:r>
              <w:rPr>
                <w:rFonts w:ascii="Arial" w:cs="Arial" w:eastAsia="Arial" w:hAnsi="Arial"/>
                <w:sz w:val="18"/>
                <w:szCs w:val="18"/>
                <w:b w:val="1"/>
                <w:bCs w:val="1"/>
                <w:color w:val="auto"/>
              </w:rPr>
              <w:t>Statement of Operations</w:t>
            </w:r>
          </w:p>
        </w:tc>
        <w:tc>
          <w:tcPr>
            <w:tcW w:w="3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3300" w:type="dxa"/>
            <w:vAlign w:val="bottom"/>
            <w:gridSpan w:val="2"/>
          </w:tcPr>
          <w:p>
            <w:pPr>
              <w:ind w:left="1020"/>
              <w:spacing w:after="0"/>
              <w:rPr>
                <w:sz w:val="20"/>
                <w:szCs w:val="20"/>
                <w:color w:val="auto"/>
              </w:rPr>
            </w:pPr>
            <w:r>
              <w:rPr>
                <w:rFonts w:ascii="Arial" w:cs="Arial" w:eastAsia="Arial" w:hAnsi="Arial"/>
                <w:sz w:val="18"/>
                <w:szCs w:val="18"/>
                <w:b w:val="1"/>
                <w:bCs w:val="1"/>
                <w:color w:val="auto"/>
              </w:rPr>
              <w:t>Classification</w:t>
            </w:r>
          </w:p>
        </w:tc>
        <w:tc>
          <w:tcPr>
            <w:tcW w:w="30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600" w:type="dxa"/>
            <w:vAlign w:val="bottom"/>
            <w:tcBorders>
              <w:top w:val="single" w:sz="8" w:color="CDEAFA"/>
            </w:tcBorders>
            <w:shd w:val="clear" w:color="auto" w:fill="CDEAFA"/>
          </w:tcPr>
          <w:p>
            <w:pPr>
              <w:ind w:left="40"/>
              <w:spacing w:after="0"/>
              <w:rPr>
                <w:sz w:val="20"/>
                <w:szCs w:val="20"/>
                <w:color w:val="auto"/>
              </w:rPr>
            </w:pPr>
            <w:r>
              <w:rPr>
                <w:rFonts w:ascii="Arial" w:cs="Arial" w:eastAsia="Arial" w:hAnsi="Arial"/>
                <w:sz w:val="18"/>
                <w:szCs w:val="18"/>
                <w:color w:val="auto"/>
              </w:rPr>
              <w:t>Antibody:</w:t>
            </w:r>
          </w:p>
        </w:tc>
        <w:tc>
          <w:tcPr>
            <w:tcW w:w="3060" w:type="dxa"/>
            <w:vAlign w:val="bottom"/>
            <w:tcBorders>
              <w:top w:val="single" w:sz="8" w:color="auto"/>
            </w:tcBorders>
            <w:shd w:val="clear" w:color="auto" w:fill="CDEAFA"/>
          </w:tcPr>
          <w:p>
            <w:pPr>
              <w:spacing w:after="0"/>
              <w:rPr>
                <w:sz w:val="18"/>
                <w:szCs w:val="18"/>
                <w:color w:val="auto"/>
              </w:rPr>
            </w:pPr>
          </w:p>
        </w:tc>
        <w:tc>
          <w:tcPr>
            <w:tcW w:w="240" w:type="dxa"/>
            <w:vAlign w:val="bottom"/>
            <w:tcBorders>
              <w:top w:val="single" w:sz="8" w:color="CDEAFA"/>
            </w:tcBorders>
            <w:shd w:val="clear" w:color="auto" w:fill="CDEAFA"/>
          </w:tcPr>
          <w:p>
            <w:pPr>
              <w:spacing w:after="0"/>
              <w:rPr>
                <w:sz w:val="18"/>
                <w:szCs w:val="18"/>
                <w:color w:val="auto"/>
              </w:rPr>
            </w:pPr>
          </w:p>
        </w:tc>
        <w:tc>
          <w:tcPr>
            <w:tcW w:w="300" w:type="dxa"/>
            <w:vAlign w:val="bottom"/>
            <w:tcBorders>
              <w:top w:val="single" w:sz="8" w:color="auto"/>
            </w:tcBorders>
            <w:shd w:val="clear" w:color="auto" w:fill="CDEAFA"/>
          </w:tcPr>
          <w:p>
            <w:pPr>
              <w:spacing w:after="0"/>
              <w:rPr>
                <w:sz w:val="18"/>
                <w:szCs w:val="18"/>
                <w:color w:val="auto"/>
              </w:rPr>
            </w:pPr>
          </w:p>
        </w:tc>
        <w:tc>
          <w:tcPr>
            <w:tcW w:w="880" w:type="dxa"/>
            <w:vAlign w:val="bottom"/>
            <w:tcBorders>
              <w:top w:val="single" w:sz="8" w:color="auto"/>
            </w:tcBorders>
            <w:shd w:val="clear" w:color="auto" w:fill="CDEAFA"/>
          </w:tcPr>
          <w:p>
            <w:pPr>
              <w:spacing w:after="0"/>
              <w:rPr>
                <w:sz w:val="18"/>
                <w:szCs w:val="18"/>
                <w:color w:val="auto"/>
              </w:rPr>
            </w:pPr>
          </w:p>
        </w:tc>
        <w:tc>
          <w:tcPr>
            <w:tcW w:w="220" w:type="dxa"/>
            <w:vAlign w:val="bottom"/>
            <w:tcBorders>
              <w:top w:val="single" w:sz="8" w:color="CDEAFA"/>
            </w:tcBorders>
            <w:shd w:val="clear" w:color="auto" w:fill="CDEAFA"/>
          </w:tcPr>
          <w:p>
            <w:pPr>
              <w:spacing w:after="0"/>
              <w:rPr>
                <w:sz w:val="18"/>
                <w:szCs w:val="18"/>
                <w:color w:val="auto"/>
              </w:rPr>
            </w:pPr>
          </w:p>
        </w:tc>
        <w:tc>
          <w:tcPr>
            <w:tcW w:w="300" w:type="dxa"/>
            <w:vAlign w:val="bottom"/>
            <w:tcBorders>
              <w:top w:val="single" w:sz="8" w:color="auto"/>
            </w:tcBorders>
            <w:shd w:val="clear" w:color="auto" w:fill="CDEAFA"/>
          </w:tcPr>
          <w:p>
            <w:pPr>
              <w:spacing w:after="0"/>
              <w:rPr>
                <w:sz w:val="18"/>
                <w:szCs w:val="18"/>
                <w:color w:val="auto"/>
              </w:rPr>
            </w:pPr>
          </w:p>
        </w:tc>
        <w:tc>
          <w:tcPr>
            <w:tcW w:w="880" w:type="dxa"/>
            <w:vAlign w:val="bottom"/>
            <w:tcBorders>
              <w:top w:val="single" w:sz="8" w:color="auto"/>
            </w:tcBorders>
            <w:shd w:val="clear" w:color="auto" w:fill="CDEAFA"/>
          </w:tcPr>
          <w:p>
            <w:pPr>
              <w:spacing w:after="0"/>
              <w:rPr>
                <w:sz w:val="18"/>
                <w:szCs w:val="18"/>
                <w:color w:val="auto"/>
              </w:rPr>
            </w:pPr>
          </w:p>
        </w:tc>
        <w:tc>
          <w:tcPr>
            <w:tcW w:w="220" w:type="dxa"/>
            <w:vAlign w:val="bottom"/>
            <w:tcBorders>
              <w:top w:val="single" w:sz="8" w:color="CDEAFA"/>
            </w:tcBorders>
            <w:shd w:val="clear" w:color="auto" w:fill="CDEAFA"/>
          </w:tcPr>
          <w:p>
            <w:pPr>
              <w:spacing w:after="0"/>
              <w:rPr>
                <w:sz w:val="18"/>
                <w:szCs w:val="18"/>
                <w:color w:val="auto"/>
              </w:rPr>
            </w:pPr>
          </w:p>
        </w:tc>
        <w:tc>
          <w:tcPr>
            <w:tcW w:w="320" w:type="dxa"/>
            <w:vAlign w:val="bottom"/>
            <w:tcBorders>
              <w:top w:val="single" w:sz="8" w:color="auto"/>
            </w:tcBorders>
            <w:shd w:val="clear" w:color="auto" w:fill="CDEAFA"/>
          </w:tcPr>
          <w:p>
            <w:pPr>
              <w:spacing w:after="0"/>
              <w:rPr>
                <w:sz w:val="18"/>
                <w:szCs w:val="18"/>
                <w:color w:val="auto"/>
              </w:rPr>
            </w:pPr>
          </w:p>
        </w:tc>
        <w:tc>
          <w:tcPr>
            <w:tcW w:w="860" w:type="dxa"/>
            <w:vAlign w:val="bottom"/>
            <w:tcBorders>
              <w:top w:val="single" w:sz="8" w:color="auto"/>
            </w:tcBorders>
            <w:shd w:val="clear" w:color="auto" w:fill="CDEAF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00" w:type="dxa"/>
            <w:vAlign w:val="bottom"/>
          </w:tcPr>
          <w:p>
            <w:pPr>
              <w:ind w:left="180"/>
              <w:spacing w:after="0" w:line="201" w:lineRule="exact"/>
              <w:rPr>
                <w:sz w:val="20"/>
                <w:szCs w:val="20"/>
                <w:color w:val="auto"/>
              </w:rPr>
            </w:pPr>
            <w:r>
              <w:rPr>
                <w:rFonts w:ascii="Arial" w:cs="Arial" w:eastAsia="Arial" w:hAnsi="Arial"/>
                <w:sz w:val="18"/>
                <w:szCs w:val="18"/>
                <w:color w:val="auto"/>
              </w:rPr>
              <w:t>Regeneron’s share of profits in connection</w:t>
            </w:r>
          </w:p>
        </w:tc>
        <w:tc>
          <w:tcPr>
            <w:tcW w:w="33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Sanofi collaboration revenue</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with commercialization of antibodies</w:t>
            </w: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1,363.0</w:t>
            </w: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785.2</w:t>
            </w:r>
          </w:p>
        </w:tc>
        <w:tc>
          <w:tcPr>
            <w:tcW w:w="22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Sales-based milestones earned</w:t>
            </w:r>
          </w:p>
        </w:tc>
        <w:tc>
          <w:tcPr>
            <w:tcW w:w="3300" w:type="dxa"/>
            <w:vAlign w:val="bottom"/>
            <w:gridSpan w:val="2"/>
            <w:shd w:val="clear" w:color="auto" w:fill="CDEAFA"/>
          </w:tcPr>
          <w:p>
            <w:pPr>
              <w:ind w:left="60"/>
              <w:spacing w:after="0"/>
              <w:rPr>
                <w:sz w:val="20"/>
                <w:szCs w:val="20"/>
                <w:color w:val="auto"/>
              </w:rPr>
            </w:pPr>
            <w:r>
              <w:rPr>
                <w:rFonts w:ascii="Arial" w:cs="Arial" w:eastAsia="Arial" w:hAnsi="Arial"/>
                <w:sz w:val="18"/>
                <w:szCs w:val="18"/>
                <w:color w:val="auto"/>
              </w:rPr>
              <w:t>Sanofi collaboration revenue</w:t>
            </w:r>
          </w:p>
        </w:tc>
        <w:tc>
          <w:tcPr>
            <w:tcW w:w="3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DEAFA"/>
          </w:tcPr>
          <w:p>
            <w:pPr>
              <w:spacing w:after="0"/>
              <w:rPr>
                <w:sz w:val="18"/>
                <w:szCs w:val="18"/>
                <w:color w:val="auto"/>
              </w:rPr>
            </w:pPr>
          </w:p>
        </w:tc>
        <w:tc>
          <w:tcPr>
            <w:tcW w:w="3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8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00" w:type="dxa"/>
            <w:vAlign w:val="bottom"/>
          </w:tcPr>
          <w:p>
            <w:pPr>
              <w:ind w:left="180"/>
              <w:spacing w:after="0" w:line="201" w:lineRule="exact"/>
              <w:rPr>
                <w:sz w:val="20"/>
                <w:szCs w:val="20"/>
                <w:color w:val="auto"/>
              </w:rPr>
            </w:pPr>
            <w:r>
              <w:rPr>
                <w:rFonts w:ascii="Arial" w:cs="Arial" w:eastAsia="Arial" w:hAnsi="Arial"/>
                <w:sz w:val="18"/>
                <w:szCs w:val="18"/>
                <w:color w:val="auto"/>
              </w:rPr>
              <w:t>Reimbursement for manufacturing of</w:t>
            </w:r>
          </w:p>
        </w:tc>
        <w:tc>
          <w:tcPr>
            <w:tcW w:w="33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Sanofi collaboration revenue</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commercial supplies</w:t>
            </w: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488.8</w:t>
            </w: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368.0</w:t>
            </w:r>
          </w:p>
        </w:tc>
        <w:tc>
          <w:tcPr>
            <w:tcW w:w="22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00" w:type="dxa"/>
            <w:vAlign w:val="bottom"/>
            <w:shd w:val="clear" w:color="auto" w:fill="CDEAFA"/>
          </w:tcPr>
          <w:p>
            <w:pPr>
              <w:ind w:left="180"/>
              <w:spacing w:after="0" w:line="201" w:lineRule="exact"/>
              <w:rPr>
                <w:sz w:val="20"/>
                <w:szCs w:val="20"/>
                <w:color w:val="auto"/>
              </w:rPr>
            </w:pPr>
            <w:r>
              <w:rPr>
                <w:rFonts w:ascii="Arial" w:cs="Arial" w:eastAsia="Arial" w:hAnsi="Arial"/>
                <w:sz w:val="18"/>
                <w:szCs w:val="18"/>
                <w:color w:val="auto"/>
              </w:rPr>
              <w:t>Reimbursement of research and</w:t>
            </w:r>
          </w:p>
        </w:tc>
        <w:tc>
          <w:tcPr>
            <w:tcW w:w="3300" w:type="dxa"/>
            <w:vAlign w:val="bottom"/>
            <w:gridSpan w:val="2"/>
            <w:shd w:val="clear" w:color="auto" w:fill="CDEAFA"/>
          </w:tcPr>
          <w:p>
            <w:pPr>
              <w:ind w:left="60"/>
              <w:spacing w:after="0" w:line="201" w:lineRule="exact"/>
              <w:rPr>
                <w:sz w:val="20"/>
                <w:szCs w:val="20"/>
                <w:color w:val="auto"/>
              </w:rPr>
            </w:pPr>
            <w:r>
              <w:rPr>
                <w:rFonts w:ascii="Arial" w:cs="Arial" w:eastAsia="Arial" w:hAnsi="Arial"/>
                <w:sz w:val="18"/>
                <w:szCs w:val="18"/>
                <w:color w:val="auto"/>
                <w:w w:val="98"/>
              </w:rPr>
              <w:t>Reduction of Research and development</w:t>
            </w:r>
          </w:p>
        </w:tc>
        <w:tc>
          <w:tcPr>
            <w:tcW w:w="30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30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320" w:type="dxa"/>
            <w:vAlign w:val="bottom"/>
            <w:shd w:val="clear" w:color="auto" w:fill="CDEAFA"/>
          </w:tcPr>
          <w:p>
            <w:pPr>
              <w:spacing w:after="0"/>
              <w:rPr>
                <w:sz w:val="17"/>
                <w:szCs w:val="17"/>
                <w:color w:val="auto"/>
              </w:rPr>
            </w:pPr>
          </w:p>
        </w:tc>
        <w:tc>
          <w:tcPr>
            <w:tcW w:w="860" w:type="dxa"/>
            <w:vAlign w:val="bottom"/>
            <w:shd w:val="clear" w:color="auto" w:fill="CDEAF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shd w:val="clear" w:color="auto" w:fill="CDEAFA"/>
          </w:tcPr>
          <w:p>
            <w:pPr>
              <w:ind w:left="360"/>
              <w:spacing w:after="0"/>
              <w:rPr>
                <w:sz w:val="20"/>
                <w:szCs w:val="20"/>
                <w:color w:val="auto"/>
              </w:rPr>
            </w:pPr>
            <w:r>
              <w:rPr>
                <w:rFonts w:ascii="Arial" w:cs="Arial" w:eastAsia="Arial" w:hAnsi="Arial"/>
                <w:sz w:val="18"/>
                <w:szCs w:val="18"/>
                <w:color w:val="auto"/>
              </w:rPr>
              <w:t>development expenses</w:t>
            </w:r>
          </w:p>
        </w:tc>
        <w:tc>
          <w:tcPr>
            <w:tcW w:w="3300" w:type="dxa"/>
            <w:vAlign w:val="bottom"/>
            <w:gridSpan w:val="2"/>
            <w:shd w:val="clear" w:color="auto" w:fill="CDEAFA"/>
          </w:tcPr>
          <w:p>
            <w:pPr>
              <w:ind w:left="240"/>
              <w:spacing w:after="0"/>
              <w:rPr>
                <w:sz w:val="20"/>
                <w:szCs w:val="20"/>
                <w:color w:val="auto"/>
              </w:rPr>
            </w:pPr>
            <w:r>
              <w:rPr>
                <w:rFonts w:ascii="Arial" w:cs="Arial" w:eastAsia="Arial" w:hAnsi="Arial"/>
                <w:sz w:val="18"/>
                <w:szCs w:val="18"/>
                <w:color w:val="auto"/>
              </w:rPr>
              <w:t>expense</w:t>
            </w:r>
          </w:p>
        </w:tc>
        <w:tc>
          <w:tcPr>
            <w:tcW w:w="3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175.9</w:t>
            </w:r>
          </w:p>
        </w:tc>
        <w:tc>
          <w:tcPr>
            <w:tcW w:w="220" w:type="dxa"/>
            <w:vAlign w:val="bottom"/>
            <w:shd w:val="clear" w:color="auto" w:fill="CDEAFA"/>
          </w:tcPr>
          <w:p>
            <w:pPr>
              <w:spacing w:after="0"/>
              <w:rPr>
                <w:sz w:val="20"/>
                <w:szCs w:val="20"/>
                <w:color w:val="auto"/>
              </w:rPr>
            </w:pPr>
          </w:p>
        </w:tc>
        <w:tc>
          <w:tcPr>
            <w:tcW w:w="3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226.7</w:t>
            </w:r>
          </w:p>
        </w:tc>
        <w:tc>
          <w:tcPr>
            <w:tcW w:w="220" w:type="dxa"/>
            <w:vAlign w:val="bottom"/>
            <w:shd w:val="clear" w:color="auto" w:fill="CDEAFA"/>
          </w:tcPr>
          <w:p>
            <w:pPr>
              <w:spacing w:after="0"/>
              <w:rPr>
                <w:sz w:val="20"/>
                <w:szCs w:val="20"/>
                <w:color w:val="auto"/>
              </w:rPr>
            </w:pPr>
          </w:p>
        </w:tc>
        <w:tc>
          <w:tcPr>
            <w:tcW w:w="3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277.7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00" w:type="dxa"/>
            <w:vAlign w:val="bottom"/>
          </w:tcPr>
          <w:p>
            <w:pPr>
              <w:ind w:left="180"/>
              <w:spacing w:after="0" w:line="201" w:lineRule="exact"/>
              <w:rPr>
                <w:sz w:val="20"/>
                <w:szCs w:val="20"/>
                <w:color w:val="auto"/>
              </w:rPr>
            </w:pPr>
            <w:r>
              <w:rPr>
                <w:rFonts w:ascii="Arial" w:cs="Arial" w:eastAsia="Arial" w:hAnsi="Arial"/>
                <w:sz w:val="18"/>
                <w:szCs w:val="18"/>
                <w:color w:val="auto"/>
              </w:rPr>
              <w:t>Regeneron’s obligation for its share of</w:t>
            </w:r>
          </w:p>
        </w:tc>
        <w:tc>
          <w:tcPr>
            <w:tcW w:w="33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Research and development expense</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Sanofi research and development</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expenses</w:t>
            </w: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00" w:type="dxa"/>
            <w:vAlign w:val="bottom"/>
            <w:shd w:val="clear" w:color="auto" w:fill="CDEAFA"/>
          </w:tcPr>
          <w:p>
            <w:pPr>
              <w:ind w:left="180"/>
              <w:spacing w:after="0" w:line="201" w:lineRule="exact"/>
              <w:rPr>
                <w:sz w:val="20"/>
                <w:szCs w:val="20"/>
                <w:color w:val="auto"/>
              </w:rPr>
            </w:pPr>
            <w:r>
              <w:rPr>
                <w:rFonts w:ascii="Arial" w:cs="Arial" w:eastAsia="Arial" w:hAnsi="Arial"/>
                <w:sz w:val="18"/>
                <w:szCs w:val="18"/>
                <w:color w:val="auto"/>
              </w:rPr>
              <w:t>Reimbursement of commercialization-</w:t>
            </w:r>
          </w:p>
        </w:tc>
        <w:tc>
          <w:tcPr>
            <w:tcW w:w="3300" w:type="dxa"/>
            <w:vAlign w:val="bottom"/>
            <w:gridSpan w:val="2"/>
            <w:shd w:val="clear" w:color="auto" w:fill="CDEAFA"/>
          </w:tcPr>
          <w:p>
            <w:pPr>
              <w:ind w:left="60"/>
              <w:spacing w:after="0" w:line="201" w:lineRule="exact"/>
              <w:rPr>
                <w:sz w:val="20"/>
                <w:szCs w:val="20"/>
                <w:color w:val="auto"/>
              </w:rPr>
            </w:pPr>
            <w:r>
              <w:rPr>
                <w:rFonts w:ascii="Arial" w:cs="Arial" w:eastAsia="Arial" w:hAnsi="Arial"/>
                <w:sz w:val="18"/>
                <w:szCs w:val="18"/>
                <w:color w:val="auto"/>
              </w:rPr>
              <w:t>Reduction of Selling, general, and</w:t>
            </w:r>
          </w:p>
        </w:tc>
        <w:tc>
          <w:tcPr>
            <w:tcW w:w="30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30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320" w:type="dxa"/>
            <w:vAlign w:val="bottom"/>
            <w:shd w:val="clear" w:color="auto" w:fill="CDEAFA"/>
          </w:tcPr>
          <w:p>
            <w:pPr>
              <w:spacing w:after="0"/>
              <w:rPr>
                <w:sz w:val="17"/>
                <w:szCs w:val="17"/>
                <w:color w:val="auto"/>
              </w:rPr>
            </w:pPr>
          </w:p>
        </w:tc>
        <w:tc>
          <w:tcPr>
            <w:tcW w:w="860" w:type="dxa"/>
            <w:vAlign w:val="bottom"/>
            <w:shd w:val="clear" w:color="auto" w:fill="CDEAF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shd w:val="clear" w:color="auto" w:fill="CDEAFA"/>
          </w:tcPr>
          <w:p>
            <w:pPr>
              <w:ind w:left="360"/>
              <w:spacing w:after="0"/>
              <w:rPr>
                <w:sz w:val="20"/>
                <w:szCs w:val="20"/>
                <w:color w:val="auto"/>
              </w:rPr>
            </w:pPr>
            <w:r>
              <w:rPr>
                <w:rFonts w:ascii="Arial" w:cs="Arial" w:eastAsia="Arial" w:hAnsi="Arial"/>
                <w:sz w:val="18"/>
                <w:szCs w:val="18"/>
                <w:color w:val="auto"/>
              </w:rPr>
              <w:t>related expenses</w:t>
            </w:r>
          </w:p>
        </w:tc>
        <w:tc>
          <w:tcPr>
            <w:tcW w:w="3300" w:type="dxa"/>
            <w:vAlign w:val="bottom"/>
            <w:gridSpan w:val="2"/>
            <w:shd w:val="clear" w:color="auto" w:fill="CDEAFA"/>
          </w:tcPr>
          <w:p>
            <w:pPr>
              <w:ind w:left="240"/>
              <w:spacing w:after="0"/>
              <w:rPr>
                <w:sz w:val="20"/>
                <w:szCs w:val="20"/>
                <w:color w:val="auto"/>
              </w:rPr>
            </w:pPr>
            <w:r>
              <w:rPr>
                <w:rFonts w:ascii="Arial" w:cs="Arial" w:eastAsia="Arial" w:hAnsi="Arial"/>
                <w:sz w:val="18"/>
                <w:szCs w:val="18"/>
                <w:color w:val="auto"/>
              </w:rPr>
              <w:t>administrative expense</w:t>
            </w:r>
          </w:p>
        </w:tc>
        <w:tc>
          <w:tcPr>
            <w:tcW w:w="3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320.5</w:t>
            </w:r>
          </w:p>
        </w:tc>
        <w:tc>
          <w:tcPr>
            <w:tcW w:w="220" w:type="dxa"/>
            <w:vAlign w:val="bottom"/>
            <w:shd w:val="clear" w:color="auto" w:fill="CDEAFA"/>
          </w:tcPr>
          <w:p>
            <w:pPr>
              <w:spacing w:after="0"/>
              <w:rPr>
                <w:sz w:val="20"/>
                <w:szCs w:val="20"/>
                <w:color w:val="auto"/>
              </w:rPr>
            </w:pPr>
          </w:p>
        </w:tc>
        <w:tc>
          <w:tcPr>
            <w:tcW w:w="3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359.4</w:t>
            </w:r>
          </w:p>
        </w:tc>
        <w:tc>
          <w:tcPr>
            <w:tcW w:w="220" w:type="dxa"/>
            <w:vAlign w:val="bottom"/>
            <w:shd w:val="clear" w:color="auto" w:fill="CDEAFA"/>
          </w:tcPr>
          <w:p>
            <w:pPr>
              <w:spacing w:after="0"/>
              <w:rPr>
                <w:sz w:val="20"/>
                <w:szCs w:val="20"/>
                <w:color w:val="auto"/>
              </w:rPr>
            </w:pPr>
          </w:p>
        </w:tc>
        <w:tc>
          <w:tcPr>
            <w:tcW w:w="3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479.9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DEAFA"/>
          </w:tcPr>
          <w:p>
            <w:pPr>
              <w:ind w:left="40"/>
              <w:spacing w:after="0"/>
              <w:rPr>
                <w:sz w:val="20"/>
                <w:szCs w:val="20"/>
                <w:color w:val="auto"/>
              </w:rPr>
            </w:pPr>
            <w:r>
              <w:rPr>
                <w:rFonts w:ascii="Arial" w:cs="Arial" w:eastAsia="Arial" w:hAnsi="Arial"/>
                <w:sz w:val="18"/>
                <w:szCs w:val="18"/>
                <w:color w:val="auto"/>
              </w:rPr>
              <w:t>Immuno-oncology:</w:t>
            </w:r>
          </w:p>
        </w:tc>
        <w:tc>
          <w:tcPr>
            <w:tcW w:w="30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88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88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860" w:type="dxa"/>
            <w:vAlign w:val="bottom"/>
            <w:shd w:val="clear" w:color="auto" w:fill="CDEAF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00" w:type="dxa"/>
            <w:vAlign w:val="bottom"/>
          </w:tcPr>
          <w:p>
            <w:pPr>
              <w:ind w:left="180"/>
              <w:spacing w:after="0" w:line="201" w:lineRule="exact"/>
              <w:rPr>
                <w:sz w:val="20"/>
                <w:szCs w:val="20"/>
                <w:color w:val="auto"/>
              </w:rPr>
            </w:pPr>
            <w:r>
              <w:rPr>
                <w:rFonts w:ascii="Arial" w:cs="Arial" w:eastAsia="Arial" w:hAnsi="Arial"/>
                <w:sz w:val="18"/>
                <w:szCs w:val="18"/>
                <w:color w:val="auto"/>
              </w:rPr>
              <w:t>Regeneron’s share of losses in connection</w:t>
            </w:r>
          </w:p>
        </w:tc>
        <w:tc>
          <w:tcPr>
            <w:tcW w:w="33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Sanofi collaboration revenue</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with commercialization of Libtayo</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outside the United States</w:t>
            </w: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00" w:type="dxa"/>
            <w:vAlign w:val="bottom"/>
            <w:shd w:val="clear" w:color="auto" w:fill="CDEAFA"/>
          </w:tcPr>
          <w:p>
            <w:pPr>
              <w:ind w:left="180"/>
              <w:spacing w:after="0" w:line="201" w:lineRule="exact"/>
              <w:rPr>
                <w:sz w:val="20"/>
                <w:szCs w:val="20"/>
                <w:color w:val="auto"/>
              </w:rPr>
            </w:pPr>
            <w:r>
              <w:rPr>
                <w:rFonts w:ascii="Arial" w:cs="Arial" w:eastAsia="Arial" w:hAnsi="Arial"/>
                <w:sz w:val="18"/>
                <w:szCs w:val="18"/>
                <w:color w:val="auto"/>
              </w:rPr>
              <w:t>Reimbursement for manufacturing of</w:t>
            </w:r>
          </w:p>
        </w:tc>
        <w:tc>
          <w:tcPr>
            <w:tcW w:w="3300" w:type="dxa"/>
            <w:vAlign w:val="bottom"/>
            <w:gridSpan w:val="2"/>
            <w:shd w:val="clear" w:color="auto" w:fill="CDEAFA"/>
          </w:tcPr>
          <w:p>
            <w:pPr>
              <w:ind w:left="60"/>
              <w:spacing w:after="0" w:line="201" w:lineRule="exact"/>
              <w:rPr>
                <w:sz w:val="20"/>
                <w:szCs w:val="20"/>
                <w:color w:val="auto"/>
              </w:rPr>
            </w:pPr>
            <w:r>
              <w:rPr>
                <w:rFonts w:ascii="Arial" w:cs="Arial" w:eastAsia="Arial" w:hAnsi="Arial"/>
                <w:sz w:val="18"/>
                <w:szCs w:val="18"/>
                <w:color w:val="auto"/>
              </w:rPr>
              <w:t>Sanofi collaboration revenue</w:t>
            </w:r>
          </w:p>
        </w:tc>
        <w:tc>
          <w:tcPr>
            <w:tcW w:w="30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30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320" w:type="dxa"/>
            <w:vAlign w:val="bottom"/>
            <w:shd w:val="clear" w:color="auto" w:fill="CDEAFA"/>
          </w:tcPr>
          <w:p>
            <w:pPr>
              <w:spacing w:after="0"/>
              <w:rPr>
                <w:sz w:val="17"/>
                <w:szCs w:val="17"/>
                <w:color w:val="auto"/>
              </w:rPr>
            </w:pPr>
          </w:p>
        </w:tc>
        <w:tc>
          <w:tcPr>
            <w:tcW w:w="860" w:type="dxa"/>
            <w:vAlign w:val="bottom"/>
            <w:shd w:val="clear" w:color="auto" w:fill="CDEAF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shd w:val="clear" w:color="auto" w:fill="CDEAFA"/>
          </w:tcPr>
          <w:p>
            <w:pPr>
              <w:ind w:left="360"/>
              <w:spacing w:after="0"/>
              <w:rPr>
                <w:sz w:val="20"/>
                <w:szCs w:val="20"/>
                <w:color w:val="auto"/>
              </w:rPr>
            </w:pPr>
            <w:r>
              <w:rPr>
                <w:rFonts w:ascii="Arial" w:cs="Arial" w:eastAsia="Arial" w:hAnsi="Arial"/>
                <w:sz w:val="18"/>
                <w:szCs w:val="18"/>
                <w:color w:val="auto"/>
              </w:rPr>
              <w:t>commercial supplies</w:t>
            </w:r>
          </w:p>
        </w:tc>
        <w:tc>
          <w:tcPr>
            <w:tcW w:w="3060" w:type="dxa"/>
            <w:vAlign w:val="bottom"/>
            <w:shd w:val="clear" w:color="auto" w:fill="CDEAFA"/>
          </w:tcPr>
          <w:p>
            <w:pPr>
              <w:spacing w:after="0"/>
              <w:rPr>
                <w:sz w:val="20"/>
                <w:szCs w:val="20"/>
                <w:color w:val="auto"/>
              </w:rPr>
            </w:pPr>
          </w:p>
        </w:tc>
        <w:tc>
          <w:tcPr>
            <w:tcW w:w="240" w:type="dxa"/>
            <w:vAlign w:val="bottom"/>
            <w:shd w:val="clear" w:color="auto" w:fill="CDEAFA"/>
          </w:tcPr>
          <w:p>
            <w:pPr>
              <w:spacing w:after="0"/>
              <w:rPr>
                <w:sz w:val="20"/>
                <w:szCs w:val="20"/>
                <w:color w:val="auto"/>
              </w:rPr>
            </w:pPr>
          </w:p>
        </w:tc>
        <w:tc>
          <w:tcPr>
            <w:tcW w:w="3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DEAFA"/>
          </w:tcPr>
          <w:p>
            <w:pPr>
              <w:spacing w:after="0"/>
              <w:rPr>
                <w:sz w:val="20"/>
                <w:szCs w:val="20"/>
                <w:color w:val="auto"/>
              </w:rPr>
            </w:pPr>
          </w:p>
        </w:tc>
        <w:tc>
          <w:tcPr>
            <w:tcW w:w="3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DEAFA"/>
          </w:tcPr>
          <w:p>
            <w:pPr>
              <w:spacing w:after="0"/>
              <w:rPr>
                <w:sz w:val="20"/>
                <w:szCs w:val="20"/>
                <w:color w:val="auto"/>
              </w:rPr>
            </w:pPr>
          </w:p>
        </w:tc>
        <w:tc>
          <w:tcPr>
            <w:tcW w:w="320" w:type="dxa"/>
            <w:vAlign w:val="bottom"/>
            <w:shd w:val="clear" w:color="auto" w:fill="CDEAFA"/>
          </w:tcPr>
          <w:p>
            <w:pPr>
              <w:spacing w:after="0"/>
              <w:rPr>
                <w:sz w:val="20"/>
                <w:szCs w:val="20"/>
                <w:color w:val="auto"/>
              </w:rPr>
            </w:pPr>
          </w:p>
        </w:tc>
        <w:tc>
          <w:tcPr>
            <w:tcW w:w="8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00" w:type="dxa"/>
            <w:vAlign w:val="bottom"/>
          </w:tcPr>
          <w:p>
            <w:pPr>
              <w:ind w:left="180"/>
              <w:spacing w:after="0" w:line="201" w:lineRule="exact"/>
              <w:rPr>
                <w:sz w:val="20"/>
                <w:szCs w:val="20"/>
                <w:color w:val="auto"/>
              </w:rPr>
            </w:pPr>
            <w:r>
              <w:rPr>
                <w:rFonts w:ascii="Arial" w:cs="Arial" w:eastAsia="Arial" w:hAnsi="Arial"/>
                <w:sz w:val="18"/>
                <w:szCs w:val="18"/>
                <w:color w:val="auto"/>
              </w:rPr>
              <w:t>Reimbursement of research and</w:t>
            </w:r>
          </w:p>
        </w:tc>
        <w:tc>
          <w:tcPr>
            <w:tcW w:w="330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8"/>
              </w:rPr>
              <w:t>Reduction of Research and development</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development expenses</w:t>
            </w:r>
          </w:p>
        </w:tc>
        <w:tc>
          <w:tcPr>
            <w:tcW w:w="3300" w:type="dxa"/>
            <w:vAlign w:val="bottom"/>
            <w:gridSpan w:val="2"/>
          </w:tcPr>
          <w:p>
            <w:pPr>
              <w:ind w:left="240"/>
              <w:spacing w:after="0"/>
              <w:rPr>
                <w:sz w:val="20"/>
                <w:szCs w:val="20"/>
                <w:color w:val="auto"/>
              </w:rPr>
            </w:pPr>
            <w:r>
              <w:rPr>
                <w:rFonts w:ascii="Arial" w:cs="Arial" w:eastAsia="Arial" w:hAnsi="Arial"/>
                <w:sz w:val="18"/>
                <w:szCs w:val="18"/>
                <w:color w:val="auto"/>
              </w:rPr>
              <w:t>expense</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166.2</w:t>
            </w:r>
          </w:p>
        </w:tc>
        <w:tc>
          <w:tcPr>
            <w:tcW w:w="22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00" w:type="dxa"/>
            <w:vAlign w:val="bottom"/>
            <w:shd w:val="clear" w:color="auto" w:fill="CDEAFA"/>
          </w:tcPr>
          <w:p>
            <w:pPr>
              <w:ind w:left="180"/>
              <w:spacing w:after="0" w:line="201" w:lineRule="exact"/>
              <w:rPr>
                <w:sz w:val="20"/>
                <w:szCs w:val="20"/>
                <w:color w:val="auto"/>
              </w:rPr>
            </w:pPr>
            <w:r>
              <w:rPr>
                <w:rFonts w:ascii="Arial" w:cs="Arial" w:eastAsia="Arial" w:hAnsi="Arial"/>
                <w:sz w:val="18"/>
                <w:szCs w:val="18"/>
                <w:color w:val="auto"/>
              </w:rPr>
              <w:t>Reimbursement of commercialization-</w:t>
            </w:r>
          </w:p>
        </w:tc>
        <w:tc>
          <w:tcPr>
            <w:tcW w:w="3300" w:type="dxa"/>
            <w:vAlign w:val="bottom"/>
            <w:gridSpan w:val="2"/>
            <w:shd w:val="clear" w:color="auto" w:fill="CDEAFA"/>
          </w:tcPr>
          <w:p>
            <w:pPr>
              <w:ind w:left="60"/>
              <w:spacing w:after="0" w:line="201" w:lineRule="exact"/>
              <w:rPr>
                <w:sz w:val="20"/>
                <w:szCs w:val="20"/>
                <w:color w:val="auto"/>
              </w:rPr>
            </w:pPr>
            <w:r>
              <w:rPr>
                <w:rFonts w:ascii="Arial" w:cs="Arial" w:eastAsia="Arial" w:hAnsi="Arial"/>
                <w:sz w:val="18"/>
                <w:szCs w:val="18"/>
                <w:color w:val="auto"/>
              </w:rPr>
              <w:t>Reduction of Selling, general, and</w:t>
            </w:r>
          </w:p>
        </w:tc>
        <w:tc>
          <w:tcPr>
            <w:tcW w:w="30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30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320" w:type="dxa"/>
            <w:vAlign w:val="bottom"/>
            <w:shd w:val="clear" w:color="auto" w:fill="CDEAFA"/>
          </w:tcPr>
          <w:p>
            <w:pPr>
              <w:spacing w:after="0"/>
              <w:rPr>
                <w:sz w:val="17"/>
                <w:szCs w:val="17"/>
                <w:color w:val="auto"/>
              </w:rPr>
            </w:pPr>
          </w:p>
        </w:tc>
        <w:tc>
          <w:tcPr>
            <w:tcW w:w="860" w:type="dxa"/>
            <w:vAlign w:val="bottom"/>
            <w:shd w:val="clear" w:color="auto" w:fill="CDEAF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shd w:val="clear" w:color="auto" w:fill="CDEAFA"/>
          </w:tcPr>
          <w:p>
            <w:pPr>
              <w:ind w:left="360"/>
              <w:spacing w:after="0"/>
              <w:rPr>
                <w:sz w:val="20"/>
                <w:szCs w:val="20"/>
                <w:color w:val="auto"/>
              </w:rPr>
            </w:pPr>
            <w:r>
              <w:rPr>
                <w:rFonts w:ascii="Arial" w:cs="Arial" w:eastAsia="Arial" w:hAnsi="Arial"/>
                <w:sz w:val="18"/>
                <w:szCs w:val="18"/>
                <w:color w:val="auto"/>
              </w:rPr>
              <w:t>related expenses</w:t>
            </w:r>
          </w:p>
        </w:tc>
        <w:tc>
          <w:tcPr>
            <w:tcW w:w="3300" w:type="dxa"/>
            <w:vAlign w:val="bottom"/>
            <w:gridSpan w:val="2"/>
            <w:shd w:val="clear" w:color="auto" w:fill="CDEAFA"/>
          </w:tcPr>
          <w:p>
            <w:pPr>
              <w:ind w:left="240"/>
              <w:spacing w:after="0"/>
              <w:rPr>
                <w:sz w:val="20"/>
                <w:szCs w:val="20"/>
                <w:color w:val="auto"/>
              </w:rPr>
            </w:pPr>
            <w:r>
              <w:rPr>
                <w:rFonts w:ascii="Arial" w:cs="Arial" w:eastAsia="Arial" w:hAnsi="Arial"/>
                <w:sz w:val="18"/>
                <w:szCs w:val="18"/>
                <w:color w:val="auto"/>
              </w:rPr>
              <w:t>administrative expense</w:t>
            </w:r>
          </w:p>
        </w:tc>
        <w:tc>
          <w:tcPr>
            <w:tcW w:w="3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DEAFA"/>
          </w:tcPr>
          <w:p>
            <w:pPr>
              <w:spacing w:after="0"/>
              <w:rPr>
                <w:sz w:val="20"/>
                <w:szCs w:val="20"/>
                <w:color w:val="auto"/>
              </w:rPr>
            </w:pPr>
          </w:p>
        </w:tc>
        <w:tc>
          <w:tcPr>
            <w:tcW w:w="3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DEAFA"/>
          </w:tcPr>
          <w:p>
            <w:pPr>
              <w:spacing w:after="0"/>
              <w:rPr>
                <w:sz w:val="20"/>
                <w:szCs w:val="20"/>
                <w:color w:val="auto"/>
              </w:rPr>
            </w:pPr>
          </w:p>
        </w:tc>
        <w:tc>
          <w:tcPr>
            <w:tcW w:w="3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00" w:type="dxa"/>
            <w:vAlign w:val="bottom"/>
          </w:tcPr>
          <w:p>
            <w:pPr>
              <w:ind w:left="180"/>
              <w:spacing w:after="0" w:line="201" w:lineRule="exact"/>
              <w:rPr>
                <w:sz w:val="20"/>
                <w:szCs w:val="20"/>
                <w:color w:val="auto"/>
              </w:rPr>
            </w:pPr>
            <w:r>
              <w:rPr>
                <w:rFonts w:ascii="Arial" w:cs="Arial" w:eastAsia="Arial" w:hAnsi="Arial"/>
                <w:sz w:val="18"/>
                <w:szCs w:val="18"/>
                <w:color w:val="auto"/>
              </w:rPr>
              <w:t>Regeneron’s obligation for its share of</w:t>
            </w:r>
          </w:p>
        </w:tc>
        <w:tc>
          <w:tcPr>
            <w:tcW w:w="33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Sanofi commercial expenses</w:t>
            </w:r>
          </w:p>
        </w:tc>
        <w:tc>
          <w:tcPr>
            <w:tcW w:w="3300" w:type="dxa"/>
            <w:vAlign w:val="bottom"/>
            <w:gridSpan w:val="2"/>
          </w:tcPr>
          <w:p>
            <w:pPr>
              <w:ind w:left="240"/>
              <w:spacing w:after="0"/>
              <w:rPr>
                <w:sz w:val="20"/>
                <w:szCs w:val="20"/>
                <w:color w:val="auto"/>
              </w:rPr>
            </w:pPr>
            <w:r>
              <w:rPr>
                <w:rFonts w:ascii="Arial" w:cs="Arial" w:eastAsia="Arial" w:hAnsi="Arial"/>
                <w:sz w:val="18"/>
                <w:szCs w:val="18"/>
                <w:color w:val="auto"/>
              </w:rPr>
              <w:t>expense</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00" w:type="dxa"/>
            <w:vAlign w:val="bottom"/>
            <w:shd w:val="clear" w:color="auto" w:fill="CDEAFA"/>
          </w:tcPr>
          <w:p>
            <w:pPr>
              <w:ind w:left="180"/>
              <w:spacing w:after="0" w:line="201" w:lineRule="exact"/>
              <w:rPr>
                <w:sz w:val="20"/>
                <w:szCs w:val="20"/>
                <w:color w:val="auto"/>
              </w:rPr>
            </w:pPr>
            <w:r>
              <w:rPr>
                <w:rFonts w:ascii="Arial" w:cs="Arial" w:eastAsia="Arial" w:hAnsi="Arial"/>
                <w:sz w:val="18"/>
                <w:szCs w:val="18"/>
                <w:color w:val="auto"/>
                <w:w w:val="97"/>
              </w:rPr>
              <w:t>Regeneron’s obligation for Sanofi’s share of</w:t>
            </w:r>
          </w:p>
        </w:tc>
        <w:tc>
          <w:tcPr>
            <w:tcW w:w="3300" w:type="dxa"/>
            <w:vAlign w:val="bottom"/>
            <w:gridSpan w:val="2"/>
            <w:shd w:val="clear" w:color="auto" w:fill="CDEAFA"/>
          </w:tcPr>
          <w:p>
            <w:pPr>
              <w:ind w:left="60"/>
              <w:spacing w:after="0" w:line="201" w:lineRule="exact"/>
              <w:rPr>
                <w:sz w:val="20"/>
                <w:szCs w:val="20"/>
                <w:color w:val="auto"/>
              </w:rPr>
            </w:pPr>
            <w:r>
              <w:rPr>
                <w:rFonts w:ascii="Arial" w:cs="Arial" w:eastAsia="Arial" w:hAnsi="Arial"/>
                <w:sz w:val="18"/>
                <w:szCs w:val="18"/>
                <w:color w:val="auto"/>
              </w:rPr>
              <w:t>Cost of goods sold</w:t>
            </w:r>
          </w:p>
        </w:tc>
        <w:tc>
          <w:tcPr>
            <w:tcW w:w="30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300" w:type="dxa"/>
            <w:vAlign w:val="bottom"/>
            <w:shd w:val="clear" w:color="auto" w:fill="CDEAFA"/>
          </w:tcPr>
          <w:p>
            <w:pPr>
              <w:spacing w:after="0"/>
              <w:rPr>
                <w:sz w:val="17"/>
                <w:szCs w:val="17"/>
                <w:color w:val="auto"/>
              </w:rPr>
            </w:pPr>
          </w:p>
        </w:tc>
        <w:tc>
          <w:tcPr>
            <w:tcW w:w="880" w:type="dxa"/>
            <w:vAlign w:val="bottom"/>
            <w:shd w:val="clear" w:color="auto" w:fill="CDEAFA"/>
          </w:tcPr>
          <w:p>
            <w:pPr>
              <w:spacing w:after="0"/>
              <w:rPr>
                <w:sz w:val="17"/>
                <w:szCs w:val="17"/>
                <w:color w:val="auto"/>
              </w:rPr>
            </w:pPr>
          </w:p>
        </w:tc>
        <w:tc>
          <w:tcPr>
            <w:tcW w:w="220" w:type="dxa"/>
            <w:vAlign w:val="bottom"/>
            <w:shd w:val="clear" w:color="auto" w:fill="CDEAFA"/>
          </w:tcPr>
          <w:p>
            <w:pPr>
              <w:spacing w:after="0"/>
              <w:rPr>
                <w:sz w:val="17"/>
                <w:szCs w:val="17"/>
                <w:color w:val="auto"/>
              </w:rPr>
            </w:pPr>
          </w:p>
        </w:tc>
        <w:tc>
          <w:tcPr>
            <w:tcW w:w="320" w:type="dxa"/>
            <w:vAlign w:val="bottom"/>
            <w:shd w:val="clear" w:color="auto" w:fill="CDEAFA"/>
          </w:tcPr>
          <w:p>
            <w:pPr>
              <w:spacing w:after="0"/>
              <w:rPr>
                <w:sz w:val="17"/>
                <w:szCs w:val="17"/>
                <w:color w:val="auto"/>
              </w:rPr>
            </w:pPr>
          </w:p>
        </w:tc>
        <w:tc>
          <w:tcPr>
            <w:tcW w:w="860" w:type="dxa"/>
            <w:vAlign w:val="bottom"/>
            <w:shd w:val="clear" w:color="auto" w:fill="CDEAF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shd w:val="clear" w:color="auto" w:fill="CDEAFA"/>
          </w:tcPr>
          <w:p>
            <w:pPr>
              <w:ind w:left="360"/>
              <w:spacing w:after="0"/>
              <w:rPr>
                <w:sz w:val="20"/>
                <w:szCs w:val="20"/>
                <w:color w:val="auto"/>
              </w:rPr>
            </w:pPr>
            <w:r>
              <w:rPr>
                <w:rFonts w:ascii="Arial" w:cs="Arial" w:eastAsia="Arial" w:hAnsi="Arial"/>
                <w:sz w:val="18"/>
                <w:szCs w:val="18"/>
                <w:color w:val="auto"/>
              </w:rPr>
              <w:t>Libtayo U.S. gross profits</w:t>
            </w:r>
          </w:p>
        </w:tc>
        <w:tc>
          <w:tcPr>
            <w:tcW w:w="3060" w:type="dxa"/>
            <w:vAlign w:val="bottom"/>
            <w:shd w:val="clear" w:color="auto" w:fill="CDEAFA"/>
          </w:tcPr>
          <w:p>
            <w:pPr>
              <w:spacing w:after="0"/>
              <w:rPr>
                <w:sz w:val="20"/>
                <w:szCs w:val="20"/>
                <w:color w:val="auto"/>
              </w:rPr>
            </w:pPr>
          </w:p>
        </w:tc>
        <w:tc>
          <w:tcPr>
            <w:tcW w:w="240" w:type="dxa"/>
            <w:vAlign w:val="bottom"/>
            <w:shd w:val="clear" w:color="auto" w:fill="CDEAFA"/>
          </w:tcPr>
          <w:p>
            <w:pPr>
              <w:spacing w:after="0"/>
              <w:rPr>
                <w:sz w:val="20"/>
                <w:szCs w:val="20"/>
                <w:color w:val="auto"/>
              </w:rPr>
            </w:pPr>
          </w:p>
        </w:tc>
        <w:tc>
          <w:tcPr>
            <w:tcW w:w="3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(133.0)</w:t>
            </w:r>
          </w:p>
        </w:tc>
        <w:tc>
          <w:tcPr>
            <w:tcW w:w="220" w:type="dxa"/>
            <w:vAlign w:val="bottom"/>
            <w:shd w:val="clear" w:color="auto" w:fill="CDEAFA"/>
          </w:tcPr>
          <w:p>
            <w:pPr>
              <w:spacing w:after="0"/>
              <w:rPr>
                <w:sz w:val="20"/>
                <w:szCs w:val="20"/>
                <w:color w:val="auto"/>
              </w:rPr>
            </w:pPr>
          </w:p>
        </w:tc>
        <w:tc>
          <w:tcPr>
            <w:tcW w:w="3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(119.1)</w:t>
            </w:r>
          </w:p>
        </w:tc>
        <w:tc>
          <w:tcPr>
            <w:tcW w:w="220" w:type="dxa"/>
            <w:vAlign w:val="bottom"/>
            <w:shd w:val="clear" w:color="auto" w:fill="CDEAFA"/>
          </w:tcPr>
          <w:p>
            <w:pPr>
              <w:spacing w:after="0"/>
              <w:rPr>
                <w:sz w:val="20"/>
                <w:szCs w:val="20"/>
                <w:color w:val="auto"/>
              </w:rPr>
            </w:pPr>
          </w:p>
        </w:tc>
        <w:tc>
          <w:tcPr>
            <w:tcW w:w="3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00" w:type="dxa"/>
            <w:vAlign w:val="bottom"/>
          </w:tcPr>
          <w:p>
            <w:pPr>
              <w:ind w:left="180"/>
              <w:spacing w:after="0" w:line="201" w:lineRule="exact"/>
              <w:rPr>
                <w:sz w:val="20"/>
                <w:szCs w:val="20"/>
                <w:color w:val="auto"/>
              </w:rPr>
            </w:pPr>
            <w:r>
              <w:rPr>
                <w:rFonts w:ascii="Arial" w:cs="Arial" w:eastAsia="Arial" w:hAnsi="Arial"/>
                <w:sz w:val="18"/>
                <w:szCs w:val="18"/>
                <w:color w:val="auto"/>
                <w:w w:val="99"/>
              </w:rPr>
              <w:t>Amounts recognized in connection with up-</w:t>
            </w:r>
          </w:p>
        </w:tc>
        <w:tc>
          <w:tcPr>
            <w:tcW w:w="33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Other operating income</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front payments received</w:t>
            </w: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210.6</w:t>
            </w:r>
          </w:p>
        </w:tc>
        <w:tc>
          <w:tcPr>
            <w:tcW w:w="22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300" w:type="dxa"/>
            <w:vAlign w:val="bottom"/>
            <w:gridSpan w:val="2"/>
          </w:tcPr>
          <w:p>
            <w:pPr>
              <w:ind w:left="1520"/>
              <w:spacing w:after="0"/>
              <w:rPr>
                <w:sz w:val="20"/>
                <w:szCs w:val="20"/>
                <w:color w:val="auto"/>
              </w:rPr>
            </w:pPr>
            <w:r>
              <w:rPr>
                <w:rFonts w:ascii="Arial" w:cs="Arial" w:eastAsia="Arial" w:hAnsi="Arial"/>
                <w:sz w:val="18"/>
                <w:szCs w:val="18"/>
                <w:color w:val="auto"/>
              </w:rPr>
              <w:t>F-15</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C0C0C0"/>
            </w:tcBorders>
          </w:tcPr>
          <w:p>
            <w:pPr>
              <w:spacing w:after="0"/>
              <w:rPr>
                <w:sz w:val="21"/>
                <w:szCs w:val="21"/>
                <w:color w:val="auto"/>
              </w:rPr>
            </w:pPr>
          </w:p>
        </w:tc>
        <w:tc>
          <w:tcPr>
            <w:tcW w:w="3600" w:type="dxa"/>
            <w:vAlign w:val="bottom"/>
            <w:tcBorders>
              <w:bottom w:val="single" w:sz="8" w:color="C0C0C0"/>
            </w:tcBorders>
          </w:tcPr>
          <w:p>
            <w:pPr>
              <w:spacing w:after="0"/>
              <w:rPr>
                <w:sz w:val="21"/>
                <w:szCs w:val="21"/>
                <w:color w:val="auto"/>
              </w:rPr>
            </w:pPr>
          </w:p>
        </w:tc>
        <w:tc>
          <w:tcPr>
            <w:tcW w:w="306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86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i w:val="1"/>
          <w:iCs w:val="1"/>
          <w:color w:val="auto"/>
        </w:rPr>
        <w:t>Antibody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is party to a global, strategic collaboration with Sanofi to research, develop, and commercialize fully human monoclonal antibodies (the “Antibody Collaboration”), which currently consists of Dupixent</w:t>
      </w:r>
      <w:r>
        <w:rPr>
          <w:rFonts w:ascii="Arial" w:cs="Arial" w:eastAsia="Arial" w:hAnsi="Arial"/>
          <w:sz w:val="26"/>
          <w:szCs w:val="26"/>
          <w:color w:val="auto"/>
          <w:vertAlign w:val="superscript"/>
        </w:rPr>
        <w:t>®</w:t>
      </w:r>
      <w:r>
        <w:rPr>
          <w:rFonts w:ascii="Arial" w:cs="Arial" w:eastAsia="Arial" w:hAnsi="Arial"/>
          <w:sz w:val="16"/>
          <w:szCs w:val="16"/>
          <w:color w:val="auto"/>
        </w:rPr>
        <w:t>, Kevzara</w:t>
      </w:r>
      <w:r>
        <w:rPr>
          <w:rFonts w:ascii="Arial" w:cs="Arial" w:eastAsia="Arial" w:hAnsi="Arial"/>
          <w:sz w:val="26"/>
          <w:szCs w:val="26"/>
          <w:color w:val="auto"/>
          <w:vertAlign w:val="superscript"/>
        </w:rPr>
        <w:t>®</w:t>
      </w:r>
      <w:r>
        <w:rPr>
          <w:rFonts w:ascii="Arial" w:cs="Arial" w:eastAsia="Arial" w:hAnsi="Arial"/>
          <w:sz w:val="16"/>
          <w:szCs w:val="16"/>
          <w:color w:val="auto"/>
        </w:rPr>
        <w:t>, and itepekimab</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terms of the Antibody License and Collaboration Agreement (“LCA”), Sanofi is generally responsible for funding 80%–100% of agreed-upon development costs. We are obligated to reimburse Sanofi for 30%–50% of worldwide development expenses that were funded by Sanofi (collectively, the “development balance”) based on our share of collaboration profits from commercialization of collaboration products. However, we are only required to apply 10% of our share of the profits from the Antibody Collaboration in any calendar quarter to reimburse Sanofi for these development costs. The Company’s contingent reimbursement obligation (development balance) to Sanofi under the Antibody Collaboration was approximately $3.152 billion as of December 31, 2021.</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2018, the Company and Sanofi entered into a letter agreement (the “Letter Agreement”) in connection with, among other matters, the allocation of additional funds to certain activities relating to dupilumab and itepekimab (collectively, the “Dupilumab/Itepekimab Eligible Investments”). Refer to the “</w:t>
      </w:r>
      <w:r>
        <w:rPr>
          <w:rFonts w:ascii="Arial" w:cs="Arial" w:eastAsia="Arial" w:hAnsi="Arial"/>
          <w:sz w:val="18"/>
          <w:szCs w:val="18"/>
          <w:i w:val="1"/>
          <w:iCs w:val="1"/>
          <w:color w:val="auto"/>
        </w:rPr>
        <w:t>Immuno-Oncology</w:t>
      </w:r>
      <w:r>
        <w:rPr>
          <w:rFonts w:ascii="Arial" w:cs="Arial" w:eastAsia="Arial" w:hAnsi="Arial"/>
          <w:sz w:val="18"/>
          <w:szCs w:val="18"/>
          <w:color w:val="auto"/>
        </w:rPr>
        <w:t>” section below for further details regarding the Letter Agreement and Note 11 for additional information regarding shares purchased by us from Sanofi.</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Sanofi leads commercialization activities for products under the Antibody Collaboration, subject to the Company’s right to co-commercialize such products. The Company co-commercializes Dupixent in the United States and in certain countries outside the United States. The parties equally share profits and losses from sales within the United States. The parties share profits outside the United States on a sliding scale based on sales starting at 65% (Sanofi)/35% (Regeneron) and ending at 55% (Sanofi)/45% (Regeneron), and losses outside the United States at 55% (Sanofi)/45% (Regeneron).</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profit and loss sharing, the Company is entitled to receive sales milestone payments from Sanofi. In each of 2020 and 2021, the Company earned, and recognized as revenue, a $50.0 million sales-based milestone from Sanofi, upon aggregate annual sales of antibodies outside the United States (including Praluent) exceeding $1.0 billion and $1.5 billion, respectively, on a rolling twelve-month basis. We are entitled to receive up to an aggregate of $150.0 million in additional sales milestone payments from Sanofi, which includes the next sales milestone payment of $50.0 million that would be earned when such sales outside the United States exceed $2.0 billion on a rolling twelve-month basis.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became solely responsible for the development and commercialization of Praluent in the United States, and Sanofi, at its sole cost, became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 See Note 15 for discussion of legal proceedings related to Praluent.</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significant promised goods and services in connection with the Antibody Collaboration consist of providing research and development services, including the manufacturing of clinical supplies, and providing commercial-related services, including the manufacturing of commercial supplies. We recognize amounts in connection with the Antibody Collaboration based on the amount we have the right to invoice and such amount corresponds directly with our performance to date; therefore, we do not disclose the value of the transaction price (i.e., the amount of consideration we expect to be entitled to) allocated to our remaining unsatisfied obligations.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The following table summarizes contract balances in connection with the Company’s Antibody Collaboration with Sanofi:</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3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DEAFA"/>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360" w:type="dxa"/>
            <w:vAlign w:val="bottom"/>
            <w:shd w:val="clear" w:color="auto" w:fill="CDEAFA"/>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504.8</w:t>
            </w:r>
          </w:p>
        </w:tc>
        <w:tc>
          <w:tcPr>
            <w:tcW w:w="160" w:type="dxa"/>
            <w:vAlign w:val="bottom"/>
            <w:shd w:val="clear" w:color="auto" w:fill="CDEAFA"/>
          </w:tcPr>
          <w:p>
            <w:pPr>
              <w:spacing w:after="0"/>
              <w:rPr>
                <w:sz w:val="18"/>
                <w:szCs w:val="18"/>
                <w:color w:val="auto"/>
              </w:rPr>
            </w:pPr>
          </w:p>
        </w:tc>
        <w:tc>
          <w:tcPr>
            <w:tcW w:w="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368.7</w:t>
            </w:r>
          </w:p>
        </w:tc>
        <w:tc>
          <w:tcPr>
            <w:tcW w:w="16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party to a collaboration with Sanofi to research,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 In connection with the execution of the original Immuno-oncology Discovery and Development Agreement in 2015 (“2015 IO Discovery Agreement”), which has been replaced by the Amended IO Discovery Agreement (as discussed below), Sanofi made a $265.0 million non-refundable up-front payment to the Company. Pursuant to the 2015 IO Discovery Agreement, the Company was to identify and validate potential immuno-oncology targets and develop therapeutic antibodies against such targets through clinical proof-of-concept.</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obligated to reimburse Sanofi for half of the development costs it funded that are attributable to clinical development of antibody product candidates from our share of future profits from commercialized IO Collaboration products. However, the Company is only required to apply 10% of its share of the profits from IO Collaboration products in any calendar quarter towards reimbursing Sanofi for these development costs. The Company’s contingent reimbursement obligation to Sanofi under the IO Collaboration was approximately $103 million as of December 31, 2021.</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December 31, 2018, the Company and Sanofi entered into the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 (y) the prepayment for certain IO Development Activities regarding the BCMAxCD3 Program and the MUC16xCD3 Program, and (z) the reimbursement of costs incurred by the Company under the 2015 IO Discovery Agreement during the fourth quarter of 2018.</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Amended IO Discovery Agreement, the Company was required to conduct development activities with respect to (i) the BCMAxCD3 Program through the earlier of clinical proof-of-concept or the expenditure of $70.0 million and (ii) the MUC16xCD3 Program through the earlier of clinical proof-of-concept or the expenditure of $50.0 million. During the first quarter of 2021, Sanofi did not exercise its options to license rights to these product candidates; as a result, we retain the exclusive right to develop and commercialize such product candidates and Sanofi will receive a royalty on sales (if any). In addition, the Company has no further obligations to develop drug product candidates under the Amended IO Discovery Agreement.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execution of the IO License and Collaboration Agreement in 2015, Sanofi made a $375.0 million non-refundable up-front payment to the Company. Under the terms of the IO License and Collaboration Agreement, the parties are co-developing and co-commercializing Libtayo (cemiplimab). The parties share equally, on an ongoing basis, agreed-upon development and commercialization expenses for Libtayo. Pursuant to the Letter Agreement, the Libtayo development budget was increased and the Company allowed Sanofi to satisfy in whole or in part its funding obligations with respect to the Libtayo development and Dupilumab/Itepekimab Eligible Investments incurred in periods through September 30, 2020 by selling certain shares of our Common Stock owned by Sanofi; if Sanofi desired to sell such shares, we were able to elect to purchase, in whole or in part, such shares from Sanofi. See Note 11 for additional information regarding shares purchased by us from Sanofi.</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principal control over the development of Libtayo and leads commercialization activities in the United States (see Note 2 for related product sales information), while Sanofi leads commercialization activities outside of the United States. Sanofi co-commercializes Libtayo in the United States. Each party has the right to co-commercialize licensed products in countries where it is not the lead commercialization party. The parties share equally in profits and losses in connection with the commercialization of Libtayo. In addition, the Company will be entitled to a milestone payment of $375.0 million in the event that global sales of Libtayo equal or exceed $2.0 billion in any consecutive twelve-month period.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5" w:name="page126"/>
    <w:bookmarkEnd w:id="125"/>
    <w:p>
      <w:pPr>
        <w:jc w:val="both"/>
        <w:spacing w:after="0" w:line="257" w:lineRule="auto"/>
        <w:rPr>
          <w:sz w:val="20"/>
          <w:szCs w:val="20"/>
          <w:color w:val="auto"/>
        </w:rPr>
      </w:pPr>
      <w:r>
        <w:rPr>
          <w:rFonts w:ascii="Arial" w:cs="Arial" w:eastAsia="Arial" w:hAnsi="Arial"/>
          <w:sz w:val="18"/>
          <w:szCs w:val="18"/>
          <w:color w:val="auto"/>
        </w:rPr>
        <w:t>In 2018, we and Sanofi entered into a license agreement with Bristol-Myers Squibb Company, E. R. Squibb &amp; Sons, L.L.C., and Ono Pharmaceutical Co., Ltd. to obtain a license under certain patents owned and/or exclusively licensed by one or more of those parties that includes the right to develop and sell Libtayo. Under the agreement, we and Sanofi made an up-front payment of $20.0 million and are obligated to pay royalties of 8.0% on worldwide sales of Libtayo through December 31, 2023, and royalties of 2.5% from January 1, 2024 through December 31, 2026. The up-front payment was shared, and the royalties are shared, equally by us and Sanofi.</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inception of the IO Collaboration,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Sanofi being unable to benefit on its own or together with other resources that are readily available as the license provides access to Regeneron’s complex and specialized know-how and (ii) the research and development services, including manufacturing in support of such services, were expected to significantly modify the initial license. Therefore, the promised goods and services were considered a combined unit of account. Consequently, the $640.0 million in aggregate up-front payments made by Sanofi during 2015 in connection with the execution of the IO Collaboration was recorded within other liabilities and has been included in the transaction price.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2021, we updated our estimate of the total research and development costs expected to be incurred (which resulted in a change to the estimate of the stage of completion) in connection with the IO Collaboration, and, as a result, recorded a cumulative catch-up adjustment of $66.9 million as a reduction to other operating income. During 2020, we updated our estimate of the total research and development costs expected to be incurred (which resulted in a change to the estimate of the stage of completion) in connection with the Sanofi IO Collaboration, and, as a result, recorded a cumulative catch-up adjustment of $135.4 million as an increase to other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IO Collaboration with Sanofi:</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3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DEAFA"/>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5360" w:type="dxa"/>
            <w:vAlign w:val="bottom"/>
            <w:shd w:val="clear" w:color="auto" w:fill="CDEAFA"/>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DEAFA"/>
          </w:tcPr>
          <w:p>
            <w:pPr>
              <w:spacing w:after="0"/>
              <w:rPr>
                <w:sz w:val="18"/>
                <w:szCs w:val="18"/>
                <w:color w:val="auto"/>
              </w:rPr>
            </w:pPr>
          </w:p>
        </w:tc>
        <w:tc>
          <w:tcPr>
            <w:tcW w:w="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360" w:type="dxa"/>
            <w:vAlign w:val="bottom"/>
            <w:shd w:val="clear" w:color="auto" w:fill="CDEAFA"/>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276.1</w:t>
            </w:r>
          </w:p>
        </w:tc>
        <w:tc>
          <w:tcPr>
            <w:tcW w:w="160" w:type="dxa"/>
            <w:vAlign w:val="bottom"/>
            <w:shd w:val="clear" w:color="auto" w:fill="CDEAFA"/>
          </w:tcPr>
          <w:p>
            <w:pPr>
              <w:spacing w:after="0"/>
              <w:rPr>
                <w:sz w:val="18"/>
                <w:szCs w:val="18"/>
                <w:color w:val="auto"/>
              </w:rPr>
            </w:pPr>
          </w:p>
        </w:tc>
        <w:tc>
          <w:tcPr>
            <w:tcW w:w="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payments received from Sanofi for which recognition has been deferred.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the estimated consideration under the IO Collaboration related to the Company’s obligation that was unsatisfied (or partially unsatisfied) as of December 31, 2021 was $570.3 million. This amount is expected to be recognized over the remaining period in which the Company is obligated to satisfy its obligation in connection with performing development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party to a license and collaboration agreement with Bayer for the global development and commercialization of EYLEA and aflibercept 8 mg outside the United States. All agreed-upon development expenses incurred by the Company and Bayer are shared equally. The Company is also obligated to use commercially reasonable efforts to supply clinical and commercial bulk product.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Bayer markets EYLEA outside the United States, where, for countries other than Japan, the companies share equally in profits and losses from sales. In Japan, the Company was entitled to receive a tiered percentage of between 33.5% and 40.0% of EYLEA net product sales through 2021, and thereafter, the companies share equally in profits and losses from sales. Within the United States, the Company is responsible for commercialization and retains profits from such sales. The Company is obligated to reimburse Bayer out of its share of the collaboration profits (including the Company’s percentage of sales in Japan) for 50% of the agreed upon development expenses that Bayer has incurred in accordance with a formula based on the amount of development expenses that Bayer has incurred and the Company’s share of the collaboration profits, or at a faster rate at the Company’s option. The Company’s contingent reimbursement obligation to Bayer was approximately $282 million as of December 31, 2021.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Amounts recognized in our Statements of Operations in connection with our Bayer collaboration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 w:type="dxa"/>
            <w:vAlign w:val="bottom"/>
          </w:tcPr>
          <w:p>
            <w:pPr>
              <w:spacing w:after="0"/>
              <w:rPr>
                <w:sz w:val="21"/>
                <w:szCs w:val="21"/>
                <w:color w:val="auto"/>
              </w:rPr>
            </w:pPr>
          </w:p>
        </w:tc>
        <w:tc>
          <w:tcPr>
            <w:tcW w:w="34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3120" w:type="dxa"/>
            <w:vAlign w:val="bottom"/>
            <w:gridSpan w:val="2"/>
          </w:tcPr>
          <w:p>
            <w:pPr>
              <w:ind w:left="520"/>
              <w:spacing w:after="0"/>
              <w:rPr>
                <w:sz w:val="20"/>
                <w:szCs w:val="20"/>
                <w:color w:val="auto"/>
              </w:rPr>
            </w:pPr>
            <w:r>
              <w:rPr>
                <w:rFonts w:ascii="Arial" w:cs="Arial" w:eastAsia="Arial" w:hAnsi="Arial"/>
                <w:sz w:val="18"/>
                <w:szCs w:val="18"/>
                <w:b w:val="1"/>
                <w:bCs w:val="1"/>
                <w:color w:val="auto"/>
              </w:rPr>
              <w:t>Statement of Operations</w:t>
            </w:r>
          </w:p>
        </w:tc>
        <w:tc>
          <w:tcPr>
            <w:tcW w:w="3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420" w:type="dxa"/>
            <w:vAlign w:val="bottom"/>
            <w:vMerge w:val="continue"/>
          </w:tcPr>
          <w:p>
            <w:pPr>
              <w:spacing w:after="0"/>
              <w:rPr>
                <w:sz w:val="19"/>
                <w:szCs w:val="19"/>
                <w:color w:val="auto"/>
              </w:rPr>
            </w:pPr>
          </w:p>
        </w:tc>
        <w:tc>
          <w:tcPr>
            <w:tcW w:w="3120" w:type="dxa"/>
            <w:vAlign w:val="bottom"/>
            <w:gridSpan w:val="2"/>
          </w:tcPr>
          <w:p>
            <w:pPr>
              <w:ind w:left="940"/>
              <w:spacing w:after="0"/>
              <w:rPr>
                <w:sz w:val="20"/>
                <w:szCs w:val="20"/>
                <w:color w:val="auto"/>
              </w:rPr>
            </w:pPr>
            <w:r>
              <w:rPr>
                <w:rFonts w:ascii="Arial" w:cs="Arial" w:eastAsia="Arial" w:hAnsi="Arial"/>
                <w:sz w:val="18"/>
                <w:szCs w:val="18"/>
                <w:b w:val="1"/>
                <w:bCs w:val="1"/>
                <w:color w:val="auto"/>
              </w:rPr>
              <w:t>Classification</w:t>
            </w:r>
          </w:p>
        </w:tc>
        <w:tc>
          <w:tcPr>
            <w:tcW w:w="300" w:type="dxa"/>
            <w:vAlign w:val="bottom"/>
          </w:tcPr>
          <w:p>
            <w:pPr>
              <w:spacing w:after="0"/>
              <w:rPr>
                <w:sz w:val="19"/>
                <w:szCs w:val="19"/>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420" w:type="dxa"/>
            <w:vAlign w:val="bottom"/>
            <w:tcBorders>
              <w:top w:val="single" w:sz="8" w:color="CDEAFA"/>
            </w:tcBorders>
            <w:shd w:val="clear" w:color="auto" w:fill="CDEAFA"/>
          </w:tcPr>
          <w:p>
            <w:pPr>
              <w:ind w:left="40"/>
              <w:spacing w:after="0" w:line="182" w:lineRule="exact"/>
              <w:rPr>
                <w:sz w:val="20"/>
                <w:szCs w:val="20"/>
                <w:color w:val="auto"/>
              </w:rPr>
            </w:pPr>
            <w:r>
              <w:rPr>
                <w:rFonts w:ascii="Arial" w:cs="Arial" w:eastAsia="Arial" w:hAnsi="Arial"/>
                <w:sz w:val="18"/>
                <w:szCs w:val="18"/>
                <w:color w:val="auto"/>
              </w:rPr>
              <w:t>Regeneron’s net profit in connection with</w:t>
            </w:r>
          </w:p>
        </w:tc>
        <w:tc>
          <w:tcPr>
            <w:tcW w:w="2900" w:type="dxa"/>
            <w:vAlign w:val="bottom"/>
            <w:tcBorders>
              <w:top w:val="single" w:sz="8" w:color="auto"/>
            </w:tcBorders>
            <w:shd w:val="clear" w:color="auto" w:fill="CDEAFA"/>
          </w:tcPr>
          <w:p>
            <w:pPr>
              <w:ind w:left="60"/>
              <w:spacing w:after="0" w:line="182" w:lineRule="exact"/>
              <w:rPr>
                <w:sz w:val="20"/>
                <w:szCs w:val="20"/>
                <w:color w:val="auto"/>
              </w:rPr>
            </w:pPr>
            <w:r>
              <w:rPr>
                <w:rFonts w:ascii="Arial" w:cs="Arial" w:eastAsia="Arial" w:hAnsi="Arial"/>
                <w:sz w:val="18"/>
                <w:szCs w:val="18"/>
                <w:color w:val="auto"/>
              </w:rPr>
              <w:t>Other collaboration revenue</w:t>
            </w:r>
          </w:p>
        </w:tc>
        <w:tc>
          <w:tcPr>
            <w:tcW w:w="220" w:type="dxa"/>
            <w:vAlign w:val="bottom"/>
            <w:tcBorders>
              <w:top w:val="single" w:sz="8" w:color="CDEAFA"/>
            </w:tcBorders>
            <w:shd w:val="clear" w:color="auto" w:fill="CDEAFA"/>
          </w:tcPr>
          <w:p>
            <w:pPr>
              <w:spacing w:after="0"/>
              <w:rPr>
                <w:sz w:val="15"/>
                <w:szCs w:val="15"/>
                <w:color w:val="auto"/>
              </w:rPr>
            </w:pPr>
          </w:p>
        </w:tc>
        <w:tc>
          <w:tcPr>
            <w:tcW w:w="300" w:type="dxa"/>
            <w:vAlign w:val="bottom"/>
            <w:tcBorders>
              <w:top w:val="single" w:sz="8" w:color="auto"/>
            </w:tcBorders>
            <w:shd w:val="clear" w:color="auto" w:fill="CDEAFA"/>
          </w:tcPr>
          <w:p>
            <w:pPr>
              <w:spacing w:after="0"/>
              <w:rPr>
                <w:sz w:val="15"/>
                <w:szCs w:val="15"/>
                <w:color w:val="auto"/>
              </w:rPr>
            </w:pPr>
          </w:p>
        </w:tc>
        <w:tc>
          <w:tcPr>
            <w:tcW w:w="840" w:type="dxa"/>
            <w:vAlign w:val="bottom"/>
            <w:tcBorders>
              <w:top w:val="single" w:sz="8" w:color="auto"/>
            </w:tcBorders>
            <w:shd w:val="clear" w:color="auto" w:fill="CDEAFA"/>
          </w:tcPr>
          <w:p>
            <w:pPr>
              <w:spacing w:after="0"/>
              <w:rPr>
                <w:sz w:val="15"/>
                <w:szCs w:val="15"/>
                <w:color w:val="auto"/>
              </w:rPr>
            </w:pPr>
          </w:p>
        </w:tc>
        <w:tc>
          <w:tcPr>
            <w:tcW w:w="200" w:type="dxa"/>
            <w:vAlign w:val="bottom"/>
            <w:tcBorders>
              <w:top w:val="single" w:sz="8" w:color="CDEAFA"/>
            </w:tcBorders>
            <w:shd w:val="clear" w:color="auto" w:fill="CDEAFA"/>
          </w:tcPr>
          <w:p>
            <w:pPr>
              <w:spacing w:after="0"/>
              <w:rPr>
                <w:sz w:val="15"/>
                <w:szCs w:val="15"/>
                <w:color w:val="auto"/>
              </w:rPr>
            </w:pPr>
          </w:p>
        </w:tc>
        <w:tc>
          <w:tcPr>
            <w:tcW w:w="280" w:type="dxa"/>
            <w:vAlign w:val="bottom"/>
            <w:tcBorders>
              <w:top w:val="single" w:sz="8" w:color="auto"/>
            </w:tcBorders>
            <w:shd w:val="clear" w:color="auto" w:fill="CDEAFA"/>
          </w:tcPr>
          <w:p>
            <w:pPr>
              <w:spacing w:after="0"/>
              <w:rPr>
                <w:sz w:val="15"/>
                <w:szCs w:val="15"/>
                <w:color w:val="auto"/>
              </w:rPr>
            </w:pPr>
          </w:p>
        </w:tc>
        <w:tc>
          <w:tcPr>
            <w:tcW w:w="840" w:type="dxa"/>
            <w:vAlign w:val="bottom"/>
            <w:tcBorders>
              <w:top w:val="single" w:sz="8" w:color="auto"/>
            </w:tcBorders>
            <w:shd w:val="clear" w:color="auto" w:fill="CDEAFA"/>
          </w:tcPr>
          <w:p>
            <w:pPr>
              <w:spacing w:after="0"/>
              <w:rPr>
                <w:sz w:val="15"/>
                <w:szCs w:val="15"/>
                <w:color w:val="auto"/>
              </w:rPr>
            </w:pPr>
          </w:p>
        </w:tc>
        <w:tc>
          <w:tcPr>
            <w:tcW w:w="200" w:type="dxa"/>
            <w:vAlign w:val="bottom"/>
            <w:tcBorders>
              <w:top w:val="single" w:sz="8" w:color="CDEAFA"/>
            </w:tcBorders>
            <w:shd w:val="clear" w:color="auto" w:fill="CDEAFA"/>
          </w:tcPr>
          <w:p>
            <w:pPr>
              <w:spacing w:after="0"/>
              <w:rPr>
                <w:sz w:val="15"/>
                <w:szCs w:val="15"/>
                <w:color w:val="auto"/>
              </w:rPr>
            </w:pPr>
          </w:p>
        </w:tc>
        <w:tc>
          <w:tcPr>
            <w:tcW w:w="300" w:type="dxa"/>
            <w:vAlign w:val="bottom"/>
            <w:tcBorders>
              <w:top w:val="single" w:sz="8" w:color="auto"/>
            </w:tcBorders>
            <w:shd w:val="clear" w:color="auto" w:fill="CDEAFA"/>
          </w:tcPr>
          <w:p>
            <w:pPr>
              <w:spacing w:after="0"/>
              <w:rPr>
                <w:sz w:val="15"/>
                <w:szCs w:val="15"/>
                <w:color w:val="auto"/>
              </w:rPr>
            </w:pPr>
          </w:p>
        </w:tc>
        <w:tc>
          <w:tcPr>
            <w:tcW w:w="820" w:type="dxa"/>
            <w:vAlign w:val="bottom"/>
            <w:tcBorders>
              <w:top w:val="single" w:sz="8" w:color="auto"/>
            </w:tcBorders>
            <w:shd w:val="clear" w:color="auto" w:fill="CDEAFA"/>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shd w:val="clear" w:color="auto" w:fill="CDEAFA"/>
          </w:tcPr>
          <w:p>
            <w:pPr>
              <w:ind w:left="220"/>
              <w:spacing w:after="0"/>
              <w:rPr>
                <w:sz w:val="20"/>
                <w:szCs w:val="20"/>
                <w:color w:val="auto"/>
              </w:rPr>
            </w:pPr>
            <w:r>
              <w:rPr>
                <w:rFonts w:ascii="Arial" w:cs="Arial" w:eastAsia="Arial" w:hAnsi="Arial"/>
                <w:sz w:val="18"/>
                <w:szCs w:val="18"/>
                <w:color w:val="auto"/>
              </w:rPr>
              <w:t>commercialization of EYLEA outside</w:t>
            </w:r>
          </w:p>
        </w:tc>
        <w:tc>
          <w:tcPr>
            <w:tcW w:w="290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20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840" w:type="dxa"/>
            <w:vAlign w:val="bottom"/>
            <w:shd w:val="clear" w:color="auto" w:fill="CDEAFA"/>
          </w:tcPr>
          <w:p>
            <w:pPr>
              <w:spacing w:after="0"/>
              <w:rPr>
                <w:sz w:val="18"/>
                <w:szCs w:val="18"/>
                <w:color w:val="auto"/>
              </w:rPr>
            </w:pPr>
          </w:p>
        </w:tc>
        <w:tc>
          <w:tcPr>
            <w:tcW w:w="20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20" w:type="dxa"/>
            <w:vAlign w:val="bottom"/>
            <w:shd w:val="clear" w:color="auto" w:fill="CDEAFA"/>
          </w:tcPr>
          <w:p>
            <w:pPr>
              <w:ind w:left="220"/>
              <w:spacing w:after="0"/>
              <w:rPr>
                <w:sz w:val="20"/>
                <w:szCs w:val="20"/>
                <w:color w:val="auto"/>
              </w:rPr>
            </w:pPr>
            <w:r>
              <w:rPr>
                <w:rFonts w:ascii="Arial" w:cs="Arial" w:eastAsia="Arial" w:hAnsi="Arial"/>
                <w:sz w:val="18"/>
                <w:szCs w:val="18"/>
                <w:color w:val="auto"/>
              </w:rPr>
              <w:t>the United States</w:t>
            </w:r>
          </w:p>
        </w:tc>
        <w:tc>
          <w:tcPr>
            <w:tcW w:w="2900" w:type="dxa"/>
            <w:vAlign w:val="bottom"/>
            <w:shd w:val="clear" w:color="auto" w:fill="CDEAFA"/>
          </w:tcPr>
          <w:p>
            <w:pPr>
              <w:spacing w:after="0"/>
              <w:rPr>
                <w:sz w:val="20"/>
                <w:szCs w:val="20"/>
                <w:color w:val="auto"/>
              </w:rPr>
            </w:pPr>
          </w:p>
        </w:tc>
        <w:tc>
          <w:tcPr>
            <w:tcW w:w="220" w:type="dxa"/>
            <w:vAlign w:val="bottom"/>
            <w:shd w:val="clear" w:color="auto" w:fill="CDEAFA"/>
          </w:tcPr>
          <w:p>
            <w:pPr>
              <w:spacing w:after="0"/>
              <w:rPr>
                <w:sz w:val="20"/>
                <w:szCs w:val="20"/>
                <w:color w:val="auto"/>
              </w:rPr>
            </w:pPr>
          </w:p>
        </w:tc>
        <w:tc>
          <w:tcPr>
            <w:tcW w:w="3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1,349.2</w:t>
            </w:r>
          </w:p>
        </w:tc>
        <w:tc>
          <w:tcPr>
            <w:tcW w:w="200" w:type="dxa"/>
            <w:vAlign w:val="bottom"/>
            <w:shd w:val="clear" w:color="auto" w:fill="CDEAFA"/>
          </w:tcPr>
          <w:p>
            <w:pPr>
              <w:spacing w:after="0"/>
              <w:rPr>
                <w:sz w:val="20"/>
                <w:szCs w:val="20"/>
                <w:color w:val="auto"/>
              </w:rPr>
            </w:pPr>
          </w:p>
        </w:tc>
        <w:tc>
          <w:tcPr>
            <w:tcW w:w="2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1,107.9</w:t>
            </w:r>
          </w:p>
        </w:tc>
        <w:tc>
          <w:tcPr>
            <w:tcW w:w="200" w:type="dxa"/>
            <w:vAlign w:val="bottom"/>
            <w:shd w:val="clear" w:color="auto" w:fill="CDEAFA"/>
          </w:tcPr>
          <w:p>
            <w:pPr>
              <w:spacing w:after="0"/>
              <w:rPr>
                <w:sz w:val="20"/>
                <w:szCs w:val="20"/>
                <w:color w:val="auto"/>
              </w:rPr>
            </w:pPr>
          </w:p>
        </w:tc>
        <w:tc>
          <w:tcPr>
            <w:tcW w:w="3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1,091.4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420" w:type="dxa"/>
            <w:vAlign w:val="bottom"/>
          </w:tcPr>
          <w:p>
            <w:pPr>
              <w:ind w:left="40"/>
              <w:spacing w:after="0" w:line="201" w:lineRule="exact"/>
              <w:rPr>
                <w:sz w:val="20"/>
                <w:szCs w:val="20"/>
                <w:color w:val="auto"/>
              </w:rPr>
            </w:pPr>
            <w:r>
              <w:rPr>
                <w:rFonts w:ascii="Arial" w:cs="Arial" w:eastAsia="Arial" w:hAnsi="Arial"/>
                <w:sz w:val="18"/>
                <w:szCs w:val="18"/>
                <w:color w:val="auto"/>
              </w:rPr>
              <w:t>Reimbursement for manufacturing of</w:t>
            </w:r>
          </w:p>
        </w:tc>
        <w:tc>
          <w:tcPr>
            <w:tcW w:w="31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Other collaboration revenue</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commercial supplies</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20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420" w:type="dxa"/>
            <w:vAlign w:val="bottom"/>
            <w:shd w:val="clear" w:color="auto" w:fill="CDEAFA"/>
          </w:tcPr>
          <w:p>
            <w:pPr>
              <w:ind w:left="40"/>
              <w:spacing w:after="0" w:line="201" w:lineRule="exact"/>
              <w:rPr>
                <w:sz w:val="20"/>
                <w:szCs w:val="20"/>
                <w:color w:val="auto"/>
              </w:rPr>
            </w:pPr>
            <w:r>
              <w:rPr>
                <w:rFonts w:ascii="Arial" w:cs="Arial" w:eastAsia="Arial" w:hAnsi="Arial"/>
                <w:sz w:val="18"/>
                <w:szCs w:val="18"/>
                <w:color w:val="auto"/>
                <w:w w:val="99"/>
              </w:rPr>
              <w:t>Reimbursement of development expenses</w:t>
            </w:r>
          </w:p>
        </w:tc>
        <w:tc>
          <w:tcPr>
            <w:tcW w:w="3120" w:type="dxa"/>
            <w:vAlign w:val="bottom"/>
            <w:gridSpan w:val="2"/>
            <w:shd w:val="clear" w:color="auto" w:fill="CDEAFA"/>
          </w:tcPr>
          <w:p>
            <w:pPr>
              <w:ind w:left="60"/>
              <w:spacing w:after="0" w:line="201" w:lineRule="exact"/>
              <w:rPr>
                <w:sz w:val="20"/>
                <w:szCs w:val="20"/>
                <w:color w:val="auto"/>
              </w:rPr>
            </w:pPr>
            <w:r>
              <w:rPr>
                <w:rFonts w:ascii="Arial" w:cs="Arial" w:eastAsia="Arial" w:hAnsi="Arial"/>
                <w:sz w:val="18"/>
                <w:szCs w:val="18"/>
                <w:color w:val="auto"/>
              </w:rPr>
              <w:t>Reduction of Research and</w:t>
            </w:r>
          </w:p>
        </w:tc>
        <w:tc>
          <w:tcPr>
            <w:tcW w:w="300" w:type="dxa"/>
            <w:vAlign w:val="bottom"/>
            <w:shd w:val="clear" w:color="auto" w:fill="CDEAFA"/>
          </w:tcPr>
          <w:p>
            <w:pPr>
              <w:spacing w:after="0"/>
              <w:rPr>
                <w:sz w:val="17"/>
                <w:szCs w:val="17"/>
                <w:color w:val="auto"/>
              </w:rPr>
            </w:pPr>
          </w:p>
        </w:tc>
        <w:tc>
          <w:tcPr>
            <w:tcW w:w="840" w:type="dxa"/>
            <w:vAlign w:val="bottom"/>
            <w:shd w:val="clear" w:color="auto" w:fill="CDEAFA"/>
          </w:tcPr>
          <w:p>
            <w:pPr>
              <w:spacing w:after="0"/>
              <w:rPr>
                <w:sz w:val="17"/>
                <w:szCs w:val="17"/>
                <w:color w:val="auto"/>
              </w:rPr>
            </w:pPr>
          </w:p>
        </w:tc>
        <w:tc>
          <w:tcPr>
            <w:tcW w:w="200" w:type="dxa"/>
            <w:vAlign w:val="bottom"/>
            <w:shd w:val="clear" w:color="auto" w:fill="CDEAFA"/>
          </w:tcPr>
          <w:p>
            <w:pPr>
              <w:spacing w:after="0"/>
              <w:rPr>
                <w:sz w:val="17"/>
                <w:szCs w:val="17"/>
                <w:color w:val="auto"/>
              </w:rPr>
            </w:pPr>
          </w:p>
        </w:tc>
        <w:tc>
          <w:tcPr>
            <w:tcW w:w="280" w:type="dxa"/>
            <w:vAlign w:val="bottom"/>
            <w:shd w:val="clear" w:color="auto" w:fill="CDEAFA"/>
          </w:tcPr>
          <w:p>
            <w:pPr>
              <w:spacing w:after="0"/>
              <w:rPr>
                <w:sz w:val="17"/>
                <w:szCs w:val="17"/>
                <w:color w:val="auto"/>
              </w:rPr>
            </w:pPr>
          </w:p>
        </w:tc>
        <w:tc>
          <w:tcPr>
            <w:tcW w:w="840" w:type="dxa"/>
            <w:vAlign w:val="bottom"/>
            <w:shd w:val="clear" w:color="auto" w:fill="CDEAFA"/>
          </w:tcPr>
          <w:p>
            <w:pPr>
              <w:spacing w:after="0"/>
              <w:rPr>
                <w:sz w:val="17"/>
                <w:szCs w:val="17"/>
                <w:color w:val="auto"/>
              </w:rPr>
            </w:pPr>
          </w:p>
        </w:tc>
        <w:tc>
          <w:tcPr>
            <w:tcW w:w="200" w:type="dxa"/>
            <w:vAlign w:val="bottom"/>
            <w:shd w:val="clear" w:color="auto" w:fill="CDEAFA"/>
          </w:tcPr>
          <w:p>
            <w:pPr>
              <w:spacing w:after="0"/>
              <w:rPr>
                <w:sz w:val="17"/>
                <w:szCs w:val="17"/>
                <w:color w:val="auto"/>
              </w:rPr>
            </w:pPr>
          </w:p>
        </w:tc>
        <w:tc>
          <w:tcPr>
            <w:tcW w:w="300" w:type="dxa"/>
            <w:vAlign w:val="bottom"/>
            <w:shd w:val="clear" w:color="auto" w:fill="CDEAFA"/>
          </w:tcPr>
          <w:p>
            <w:pPr>
              <w:spacing w:after="0"/>
              <w:rPr>
                <w:sz w:val="17"/>
                <w:szCs w:val="17"/>
                <w:color w:val="auto"/>
              </w:rPr>
            </w:pPr>
          </w:p>
        </w:tc>
        <w:tc>
          <w:tcPr>
            <w:tcW w:w="820" w:type="dxa"/>
            <w:vAlign w:val="bottom"/>
            <w:shd w:val="clear" w:color="auto" w:fill="CDEAF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20" w:type="dxa"/>
            <w:vAlign w:val="bottom"/>
            <w:shd w:val="clear" w:color="auto" w:fill="CDEAFA"/>
          </w:tcPr>
          <w:p>
            <w:pPr>
              <w:spacing w:after="0"/>
              <w:rPr>
                <w:sz w:val="20"/>
                <w:szCs w:val="20"/>
                <w:color w:val="auto"/>
              </w:rPr>
            </w:pPr>
          </w:p>
        </w:tc>
        <w:tc>
          <w:tcPr>
            <w:tcW w:w="3120" w:type="dxa"/>
            <w:vAlign w:val="bottom"/>
            <w:gridSpan w:val="2"/>
            <w:shd w:val="clear" w:color="auto" w:fill="CDEAFA"/>
          </w:tcPr>
          <w:p>
            <w:pPr>
              <w:ind w:left="240"/>
              <w:spacing w:after="0"/>
              <w:rPr>
                <w:sz w:val="20"/>
                <w:szCs w:val="20"/>
                <w:color w:val="auto"/>
              </w:rPr>
            </w:pPr>
            <w:r>
              <w:rPr>
                <w:rFonts w:ascii="Arial" w:cs="Arial" w:eastAsia="Arial" w:hAnsi="Arial"/>
                <w:sz w:val="18"/>
                <w:szCs w:val="18"/>
                <w:color w:val="auto"/>
              </w:rPr>
              <w:t>development expense</w:t>
            </w:r>
          </w:p>
        </w:tc>
        <w:tc>
          <w:tcPr>
            <w:tcW w:w="3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DEAFA"/>
          </w:tcPr>
          <w:p>
            <w:pPr>
              <w:spacing w:after="0"/>
              <w:rPr>
                <w:sz w:val="20"/>
                <w:szCs w:val="20"/>
                <w:color w:val="auto"/>
              </w:rPr>
            </w:pPr>
          </w:p>
        </w:tc>
        <w:tc>
          <w:tcPr>
            <w:tcW w:w="2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46.7</w:t>
            </w:r>
          </w:p>
        </w:tc>
        <w:tc>
          <w:tcPr>
            <w:tcW w:w="200" w:type="dxa"/>
            <w:vAlign w:val="bottom"/>
            <w:shd w:val="clear" w:color="auto" w:fill="CDEAFA"/>
          </w:tcPr>
          <w:p>
            <w:pPr>
              <w:spacing w:after="0"/>
              <w:rPr>
                <w:sz w:val="20"/>
                <w:szCs w:val="20"/>
                <w:color w:val="auto"/>
              </w:rPr>
            </w:pPr>
          </w:p>
        </w:tc>
        <w:tc>
          <w:tcPr>
            <w:tcW w:w="3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420" w:type="dxa"/>
            <w:vAlign w:val="bottom"/>
          </w:tcPr>
          <w:p>
            <w:pPr>
              <w:ind w:left="40"/>
              <w:spacing w:after="0" w:line="201" w:lineRule="exact"/>
              <w:rPr>
                <w:sz w:val="20"/>
                <w:szCs w:val="20"/>
                <w:color w:val="auto"/>
              </w:rPr>
            </w:pPr>
            <w:r>
              <w:rPr>
                <w:rFonts w:ascii="Arial" w:cs="Arial" w:eastAsia="Arial" w:hAnsi="Arial"/>
                <w:sz w:val="18"/>
                <w:szCs w:val="18"/>
                <w:color w:val="auto"/>
              </w:rPr>
              <w:t>Regeneron’s obligation for its share of</w:t>
            </w:r>
          </w:p>
        </w:tc>
        <w:tc>
          <w:tcPr>
            <w:tcW w:w="31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Research and development expense</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Bayer research and development</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432"/>
        </w:trPr>
        <w:tc>
          <w:tcPr>
            <w:tcW w:w="6880" w:type="dxa"/>
            <w:vAlign w:val="bottom"/>
            <w:gridSpan w:val="4"/>
          </w:tcPr>
          <w:p>
            <w:pPr>
              <w:spacing w:after="0"/>
              <w:rPr>
                <w:sz w:val="20"/>
                <w:szCs w:val="20"/>
                <w:color w:val="auto"/>
              </w:rPr>
            </w:pPr>
            <w:r>
              <w:rPr>
                <w:rFonts w:ascii="Arial" w:cs="Arial" w:eastAsia="Arial" w:hAnsi="Arial"/>
                <w:sz w:val="18"/>
                <w:szCs w:val="18"/>
                <w:color w:val="auto"/>
                <w:w w:val="92"/>
              </w:rPr>
              <w:t>The following table summarizes contract balances in connection with our Bayer collaboration: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3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DEAFA"/>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360" w:type="dxa"/>
            <w:vAlign w:val="bottom"/>
            <w:shd w:val="clear" w:color="auto" w:fill="CDEAFA"/>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355.5</w:t>
            </w:r>
          </w:p>
        </w:tc>
        <w:tc>
          <w:tcPr>
            <w:tcW w:w="160" w:type="dxa"/>
            <w:vAlign w:val="bottom"/>
            <w:shd w:val="clear" w:color="auto" w:fill="CDEAFA"/>
          </w:tcPr>
          <w:p>
            <w:pPr>
              <w:spacing w:after="0"/>
              <w:rPr>
                <w:sz w:val="18"/>
                <w:szCs w:val="18"/>
                <w:color w:val="auto"/>
              </w:rPr>
            </w:pPr>
          </w:p>
        </w:tc>
        <w:tc>
          <w:tcPr>
            <w:tcW w:w="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129.4</w:t>
            </w:r>
          </w:p>
        </w:tc>
        <w:tc>
          <w:tcPr>
            <w:tcW w:w="16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Teva are parties to a collaboration agreement (the “Teva Collaboration Agreement”) to develop and commercialize fasinumab globally, excluding certain Asian countries that are subject to our collaboration agreement with Mitsubishi Tanabe Pharma Corporation. In connection with the agreement, Teva made a $250.0 million non-refundable up-front payment in 2016. The Company leads global development activities, and the parties share development costs equally, on an ongoing basis, under a global development plan. The Company is also responsible for the manufacture and supply of fasinumab globally.</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Within the United States, the Company will lead commercialization activities, and the parties will share equally in any profits and losses in connection with commercialization of fasinumab. In the territory outside the United States, Teva will lead commercialization activities and the Company will supply product to Teva at a tiered purchase price, which is calculated as a percentage of net sales of the product (subject to adjustment in certain circumstances).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Company had received an aggregate $120.0 million of development milestones from Teva. The Company is entitled to receive up to an aggregate of $340.0 million in additional development milestones and up to an aggregate of $1.890 billion in contingent payments upon achievement of specified annual net sales amounts.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inception of the Teva Collaboration Agreement,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Teva being unable to benefit from the license on its own or together with other resources that are readily available as the license provides access to Regeneron’s complex and specialized know-how and (ii) the research and development services, including manufacturing in support of such services, were expected to significantly modify the initial license. Therefore, the promised goods and services were considered a combined unit of account. Consequently, the $250.0 million up-front payment and development milestones received from Teva, as described above, have been recorded within other liabilities and included in the transaction price.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the Teva Collaboration Agreement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60" w:type="dxa"/>
            <w:vAlign w:val="bottom"/>
          </w:tcPr>
          <w:p>
            <w:pPr>
              <w:spacing w:after="0"/>
              <w:rPr>
                <w:sz w:val="21"/>
                <w:szCs w:val="21"/>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(In millions)</w:t>
            </w:r>
          </w:p>
        </w:tc>
        <w:tc>
          <w:tcPr>
            <w:tcW w:w="2580" w:type="dxa"/>
            <w:vAlign w:val="bottom"/>
            <w:gridSpan w:val="2"/>
          </w:tcPr>
          <w:p>
            <w:pPr>
              <w:ind w:left="240"/>
              <w:spacing w:after="0"/>
              <w:rPr>
                <w:sz w:val="20"/>
                <w:szCs w:val="20"/>
                <w:color w:val="auto"/>
              </w:rPr>
            </w:pPr>
            <w:r>
              <w:rPr>
                <w:rFonts w:ascii="Arial" w:cs="Arial" w:eastAsia="Arial" w:hAnsi="Arial"/>
                <w:sz w:val="18"/>
                <w:szCs w:val="18"/>
                <w:b w:val="1"/>
                <w:bCs w:val="1"/>
                <w:color w:val="auto"/>
              </w:rPr>
              <w:t>Statement of Operations</w:t>
            </w:r>
          </w:p>
        </w:tc>
        <w:tc>
          <w:tcPr>
            <w:tcW w:w="3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880" w:type="dxa"/>
            <w:vAlign w:val="bottom"/>
            <w:vMerge w:val="continue"/>
          </w:tcPr>
          <w:p>
            <w:pPr>
              <w:spacing w:after="0"/>
              <w:rPr>
                <w:sz w:val="19"/>
                <w:szCs w:val="19"/>
                <w:color w:val="auto"/>
              </w:rPr>
            </w:pPr>
          </w:p>
        </w:tc>
        <w:tc>
          <w:tcPr>
            <w:tcW w:w="2580" w:type="dxa"/>
            <w:vAlign w:val="bottom"/>
            <w:gridSpan w:val="2"/>
          </w:tcPr>
          <w:p>
            <w:pPr>
              <w:ind w:left="660"/>
              <w:spacing w:after="0"/>
              <w:rPr>
                <w:sz w:val="20"/>
                <w:szCs w:val="20"/>
                <w:color w:val="auto"/>
              </w:rPr>
            </w:pPr>
            <w:r>
              <w:rPr>
                <w:rFonts w:ascii="Arial" w:cs="Arial" w:eastAsia="Arial" w:hAnsi="Arial"/>
                <w:sz w:val="18"/>
                <w:szCs w:val="18"/>
                <w:b w:val="1"/>
                <w:bCs w:val="1"/>
                <w:color w:val="auto"/>
              </w:rPr>
              <w:t>Classification</w:t>
            </w:r>
          </w:p>
        </w:tc>
        <w:tc>
          <w:tcPr>
            <w:tcW w:w="3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880" w:type="dxa"/>
            <w:vAlign w:val="bottom"/>
            <w:tcBorders>
              <w:top w:val="single" w:sz="8" w:color="CDEAFA"/>
            </w:tcBorders>
            <w:shd w:val="clear" w:color="auto" w:fill="CDEAFA"/>
          </w:tcPr>
          <w:p>
            <w:pPr>
              <w:ind w:left="60"/>
              <w:spacing w:after="0" w:line="195" w:lineRule="exact"/>
              <w:rPr>
                <w:sz w:val="20"/>
                <w:szCs w:val="20"/>
                <w:color w:val="auto"/>
              </w:rPr>
            </w:pPr>
            <w:r>
              <w:rPr>
                <w:rFonts w:ascii="Arial" w:cs="Arial" w:eastAsia="Arial" w:hAnsi="Arial"/>
                <w:sz w:val="18"/>
                <w:szCs w:val="18"/>
                <w:color w:val="auto"/>
              </w:rPr>
              <w:t>Reimbursement of research and</w:t>
            </w:r>
          </w:p>
        </w:tc>
        <w:tc>
          <w:tcPr>
            <w:tcW w:w="2380" w:type="dxa"/>
            <w:vAlign w:val="bottom"/>
            <w:tcBorders>
              <w:top w:val="single" w:sz="8" w:color="auto"/>
            </w:tcBorders>
            <w:shd w:val="clear" w:color="auto" w:fill="CDEAFA"/>
          </w:tcPr>
          <w:p>
            <w:pPr>
              <w:ind w:left="40"/>
              <w:spacing w:after="0" w:line="195" w:lineRule="exact"/>
              <w:rPr>
                <w:sz w:val="20"/>
                <w:szCs w:val="20"/>
                <w:color w:val="auto"/>
              </w:rPr>
            </w:pPr>
            <w:r>
              <w:rPr>
                <w:rFonts w:ascii="Arial" w:cs="Arial" w:eastAsia="Arial" w:hAnsi="Arial"/>
                <w:sz w:val="18"/>
                <w:szCs w:val="18"/>
                <w:color w:val="auto"/>
              </w:rPr>
              <w:t>Reduction of Research and</w:t>
            </w:r>
          </w:p>
        </w:tc>
        <w:tc>
          <w:tcPr>
            <w:tcW w:w="200" w:type="dxa"/>
            <w:vAlign w:val="bottom"/>
            <w:tcBorders>
              <w:top w:val="single" w:sz="8" w:color="CDEAFA"/>
            </w:tcBorders>
            <w:shd w:val="clear" w:color="auto" w:fill="CDEAFA"/>
          </w:tcPr>
          <w:p>
            <w:pPr>
              <w:spacing w:after="0"/>
              <w:rPr>
                <w:sz w:val="16"/>
                <w:szCs w:val="16"/>
                <w:color w:val="auto"/>
              </w:rPr>
            </w:pPr>
          </w:p>
        </w:tc>
        <w:tc>
          <w:tcPr>
            <w:tcW w:w="320" w:type="dxa"/>
            <w:vAlign w:val="bottom"/>
            <w:tcBorders>
              <w:top w:val="single" w:sz="8" w:color="auto"/>
            </w:tcBorders>
            <w:shd w:val="clear" w:color="auto" w:fill="CDEAFA"/>
          </w:tcPr>
          <w:p>
            <w:pPr>
              <w:spacing w:after="0"/>
              <w:rPr>
                <w:sz w:val="16"/>
                <w:szCs w:val="16"/>
                <w:color w:val="auto"/>
              </w:rPr>
            </w:pPr>
          </w:p>
        </w:tc>
        <w:tc>
          <w:tcPr>
            <w:tcW w:w="920" w:type="dxa"/>
            <w:vAlign w:val="bottom"/>
            <w:tcBorders>
              <w:top w:val="single" w:sz="8" w:color="auto"/>
            </w:tcBorders>
            <w:shd w:val="clear" w:color="auto" w:fill="CDEAFA"/>
          </w:tcPr>
          <w:p>
            <w:pPr>
              <w:spacing w:after="0"/>
              <w:rPr>
                <w:sz w:val="16"/>
                <w:szCs w:val="16"/>
                <w:color w:val="auto"/>
              </w:rPr>
            </w:pPr>
          </w:p>
        </w:tc>
        <w:tc>
          <w:tcPr>
            <w:tcW w:w="200" w:type="dxa"/>
            <w:vAlign w:val="bottom"/>
            <w:tcBorders>
              <w:top w:val="single" w:sz="8" w:color="CDEAFA"/>
            </w:tcBorders>
            <w:shd w:val="clear" w:color="auto" w:fill="CDEAFA"/>
          </w:tcPr>
          <w:p>
            <w:pPr>
              <w:spacing w:after="0"/>
              <w:rPr>
                <w:sz w:val="16"/>
                <w:szCs w:val="16"/>
                <w:color w:val="auto"/>
              </w:rPr>
            </w:pPr>
          </w:p>
        </w:tc>
        <w:tc>
          <w:tcPr>
            <w:tcW w:w="300" w:type="dxa"/>
            <w:vAlign w:val="bottom"/>
            <w:tcBorders>
              <w:top w:val="single" w:sz="8" w:color="auto"/>
            </w:tcBorders>
            <w:shd w:val="clear" w:color="auto" w:fill="CDEAFA"/>
          </w:tcPr>
          <w:p>
            <w:pPr>
              <w:spacing w:after="0"/>
              <w:rPr>
                <w:sz w:val="16"/>
                <w:szCs w:val="16"/>
                <w:color w:val="auto"/>
              </w:rPr>
            </w:pPr>
          </w:p>
        </w:tc>
        <w:tc>
          <w:tcPr>
            <w:tcW w:w="920" w:type="dxa"/>
            <w:vAlign w:val="bottom"/>
            <w:tcBorders>
              <w:top w:val="single" w:sz="8" w:color="auto"/>
            </w:tcBorders>
            <w:shd w:val="clear" w:color="auto" w:fill="CDEAFA"/>
          </w:tcPr>
          <w:p>
            <w:pPr>
              <w:spacing w:after="0"/>
              <w:rPr>
                <w:sz w:val="16"/>
                <w:szCs w:val="16"/>
                <w:color w:val="auto"/>
              </w:rPr>
            </w:pPr>
          </w:p>
        </w:tc>
        <w:tc>
          <w:tcPr>
            <w:tcW w:w="200" w:type="dxa"/>
            <w:vAlign w:val="bottom"/>
            <w:tcBorders>
              <w:top w:val="single" w:sz="8" w:color="CDEAFA"/>
            </w:tcBorders>
            <w:shd w:val="clear" w:color="auto" w:fill="CDEAFA"/>
          </w:tcPr>
          <w:p>
            <w:pPr>
              <w:spacing w:after="0"/>
              <w:rPr>
                <w:sz w:val="16"/>
                <w:szCs w:val="16"/>
                <w:color w:val="auto"/>
              </w:rPr>
            </w:pPr>
          </w:p>
        </w:tc>
        <w:tc>
          <w:tcPr>
            <w:tcW w:w="300" w:type="dxa"/>
            <w:vAlign w:val="bottom"/>
            <w:tcBorders>
              <w:top w:val="single" w:sz="8" w:color="auto"/>
            </w:tcBorders>
            <w:shd w:val="clear" w:color="auto" w:fill="CDEAFA"/>
          </w:tcPr>
          <w:p>
            <w:pPr>
              <w:spacing w:after="0"/>
              <w:rPr>
                <w:sz w:val="16"/>
                <w:szCs w:val="16"/>
                <w:color w:val="auto"/>
              </w:rPr>
            </w:pPr>
          </w:p>
        </w:tc>
        <w:tc>
          <w:tcPr>
            <w:tcW w:w="920" w:type="dxa"/>
            <w:vAlign w:val="bottom"/>
            <w:tcBorders>
              <w:top w:val="single" w:sz="8" w:color="auto"/>
            </w:tcBorders>
            <w:shd w:val="clear" w:color="auto" w:fill="CDEAFA"/>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880" w:type="dxa"/>
            <w:vAlign w:val="bottom"/>
            <w:shd w:val="clear" w:color="auto" w:fill="CDEAFA"/>
          </w:tcPr>
          <w:p>
            <w:pPr>
              <w:ind w:left="240"/>
              <w:spacing w:after="0"/>
              <w:rPr>
                <w:sz w:val="20"/>
                <w:szCs w:val="20"/>
                <w:color w:val="auto"/>
              </w:rPr>
            </w:pPr>
            <w:r>
              <w:rPr>
                <w:rFonts w:ascii="Arial" w:cs="Arial" w:eastAsia="Arial" w:hAnsi="Arial"/>
                <w:sz w:val="18"/>
                <w:szCs w:val="18"/>
                <w:color w:val="auto"/>
              </w:rPr>
              <w:t>development expenses</w:t>
            </w:r>
          </w:p>
        </w:tc>
        <w:tc>
          <w:tcPr>
            <w:tcW w:w="2580" w:type="dxa"/>
            <w:vAlign w:val="bottom"/>
            <w:gridSpan w:val="2"/>
            <w:shd w:val="clear" w:color="auto" w:fill="CDEAFA"/>
          </w:tcPr>
          <w:p>
            <w:pPr>
              <w:ind w:left="220"/>
              <w:spacing w:after="0"/>
              <w:rPr>
                <w:sz w:val="20"/>
                <w:szCs w:val="20"/>
                <w:color w:val="auto"/>
              </w:rPr>
            </w:pPr>
            <w:r>
              <w:rPr>
                <w:rFonts w:ascii="Arial" w:cs="Arial" w:eastAsia="Arial" w:hAnsi="Arial"/>
                <w:sz w:val="18"/>
                <w:szCs w:val="18"/>
                <w:color w:val="auto"/>
              </w:rPr>
              <w:t>development expense</w:t>
            </w:r>
          </w:p>
        </w:tc>
        <w:tc>
          <w:tcPr>
            <w:tcW w:w="32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DEAFA"/>
          </w:tcPr>
          <w:p>
            <w:pPr>
              <w:spacing w:after="0"/>
              <w:rPr>
                <w:sz w:val="20"/>
                <w:szCs w:val="20"/>
                <w:color w:val="auto"/>
              </w:rPr>
            </w:pPr>
          </w:p>
        </w:tc>
        <w:tc>
          <w:tcPr>
            <w:tcW w:w="3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109.4</w:t>
            </w:r>
          </w:p>
        </w:tc>
        <w:tc>
          <w:tcPr>
            <w:tcW w:w="200" w:type="dxa"/>
            <w:vAlign w:val="bottom"/>
            <w:shd w:val="clear" w:color="auto" w:fill="CDEAFA"/>
          </w:tcPr>
          <w:p>
            <w:pPr>
              <w:spacing w:after="0"/>
              <w:rPr>
                <w:sz w:val="20"/>
                <w:szCs w:val="20"/>
                <w:color w:val="auto"/>
              </w:rPr>
            </w:pPr>
          </w:p>
        </w:tc>
        <w:tc>
          <w:tcPr>
            <w:tcW w:w="3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122.9</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880" w:type="dxa"/>
            <w:vAlign w:val="bottom"/>
          </w:tcPr>
          <w:p>
            <w:pPr>
              <w:ind w:left="60"/>
              <w:spacing w:after="0" w:line="201" w:lineRule="exact"/>
              <w:rPr>
                <w:sz w:val="20"/>
                <w:szCs w:val="20"/>
                <w:color w:val="auto"/>
              </w:rPr>
            </w:pPr>
            <w:r>
              <w:rPr>
                <w:rFonts w:ascii="Arial" w:cs="Arial" w:eastAsia="Arial" w:hAnsi="Arial"/>
                <w:sz w:val="18"/>
                <w:szCs w:val="18"/>
                <w:color w:val="auto"/>
              </w:rPr>
              <w:t>Amounts recognized in connection</w:t>
            </w:r>
          </w:p>
        </w:tc>
        <w:tc>
          <w:tcPr>
            <w:tcW w:w="25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Other operating income</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ind w:left="240"/>
              <w:spacing w:after="0"/>
              <w:rPr>
                <w:sz w:val="20"/>
                <w:szCs w:val="20"/>
                <w:color w:val="auto"/>
              </w:rPr>
            </w:pPr>
            <w:r>
              <w:rPr>
                <w:rFonts w:ascii="Arial" w:cs="Arial" w:eastAsia="Arial" w:hAnsi="Arial"/>
                <w:sz w:val="18"/>
                <w:szCs w:val="18"/>
                <w:color w:val="auto"/>
              </w:rPr>
              <w:t>with up-front and development</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880" w:type="dxa"/>
            <w:vAlign w:val="bottom"/>
          </w:tcPr>
          <w:p>
            <w:pPr>
              <w:ind w:left="240"/>
              <w:spacing w:after="0"/>
              <w:rPr>
                <w:sz w:val="20"/>
                <w:szCs w:val="20"/>
                <w:color w:val="auto"/>
              </w:rPr>
            </w:pPr>
            <w:r>
              <w:rPr>
                <w:rFonts w:ascii="Arial" w:cs="Arial" w:eastAsia="Arial" w:hAnsi="Arial"/>
                <w:sz w:val="18"/>
                <w:szCs w:val="18"/>
                <w:color w:val="auto"/>
              </w:rPr>
              <w:t>milestone payments received</w:t>
            </w: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580" w:type="dxa"/>
            <w:vAlign w:val="bottom"/>
            <w:gridSpan w:val="2"/>
          </w:tcPr>
          <w:p>
            <w:pPr>
              <w:ind w:left="1920"/>
              <w:spacing w:after="0"/>
              <w:rPr>
                <w:sz w:val="20"/>
                <w:szCs w:val="20"/>
                <w:color w:val="auto"/>
              </w:rPr>
            </w:pPr>
            <w:r>
              <w:rPr>
                <w:rFonts w:ascii="Arial" w:cs="Arial" w:eastAsia="Arial" w:hAnsi="Arial"/>
                <w:sz w:val="18"/>
                <w:szCs w:val="18"/>
                <w:color w:val="auto"/>
              </w:rPr>
              <w:t>F-19</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C0C0C0"/>
            </w:tcBorders>
          </w:tcPr>
          <w:p>
            <w:pPr>
              <w:spacing w:after="0"/>
              <w:rPr>
                <w:sz w:val="21"/>
                <w:szCs w:val="21"/>
                <w:color w:val="auto"/>
              </w:rPr>
            </w:pPr>
          </w:p>
        </w:tc>
        <w:tc>
          <w:tcPr>
            <w:tcW w:w="2880" w:type="dxa"/>
            <w:vAlign w:val="bottom"/>
            <w:tcBorders>
              <w:bottom w:val="single" w:sz="8" w:color="C0C0C0"/>
            </w:tcBorders>
          </w:tcPr>
          <w:p>
            <w:pPr>
              <w:spacing w:after="0"/>
              <w:rPr>
                <w:sz w:val="21"/>
                <w:szCs w:val="21"/>
                <w:color w:val="auto"/>
              </w:rPr>
            </w:pPr>
          </w:p>
        </w:tc>
        <w:tc>
          <w:tcPr>
            <w:tcW w:w="238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10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9" w:right="339" w:bottom="1440" w:gutter="0" w:footer="0" w:header="0"/>
        </w:sectPr>
      </w:pPr>
    </w:p>
    <w:bookmarkStart w:id="127" w:name="page128"/>
    <w:bookmarkEnd w:id="127"/>
    <w:p>
      <w:pPr>
        <w:jc w:val="both"/>
        <w:spacing w:after="0" w:line="263" w:lineRule="auto"/>
        <w:rPr>
          <w:sz w:val="20"/>
          <w:szCs w:val="20"/>
          <w:color w:val="auto"/>
        </w:rPr>
      </w:pPr>
      <w:r>
        <w:rPr>
          <w:rFonts w:ascii="Arial" w:cs="Arial" w:eastAsia="Arial" w:hAnsi="Arial"/>
          <w:sz w:val="18"/>
          <w:szCs w:val="18"/>
          <w:color w:val="auto"/>
        </w:rPr>
        <w:t>During 2020, we updated our estimate of the total research and development costs expected to be incurred (which resulted in a change to the estimate of the stage of completion) in connection with the Teva Collaboration Agreement, and, as a result, recognized a cumulative catch-up adjustment of $25.6 million as a reduction to other operating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Teva Collaboration Agreement:</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3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21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As of December 31,</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DEAFA"/>
            </w:tcBorders>
            <w:vMerge w:val="continue"/>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CDEAFA"/>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DEAFA"/>
          </w:tcPr>
          <w:p>
            <w:pPr>
              <w:ind w:left="40"/>
              <w:spacing w:after="0"/>
              <w:rPr>
                <w:sz w:val="20"/>
                <w:szCs w:val="20"/>
                <w:color w:val="auto"/>
              </w:rPr>
            </w:pPr>
            <w:r>
              <w:rPr>
                <w:rFonts w:ascii="Arial" w:cs="Arial" w:eastAsia="Arial" w:hAnsi="Arial"/>
                <w:sz w:val="18"/>
                <w:szCs w:val="18"/>
                <w:color w:val="auto"/>
              </w:rPr>
              <w:t>Accounts receivable, net</w:t>
            </w:r>
          </w:p>
        </w:tc>
        <w:tc>
          <w:tcPr>
            <w:tcW w:w="780" w:type="dxa"/>
            <w:vAlign w:val="bottom"/>
            <w:shd w:val="clear" w:color="auto" w:fill="CDEAFA"/>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DEAFA"/>
          </w:tcPr>
          <w:p>
            <w:pPr>
              <w:jc w:val="right"/>
              <w:spacing w:after="0"/>
              <w:rPr>
                <w:sz w:val="20"/>
                <w:szCs w:val="20"/>
                <w:color w:val="auto"/>
              </w:rPr>
            </w:pPr>
            <w:r>
              <w:rPr>
                <w:rFonts w:ascii="Arial" w:cs="Arial" w:eastAsia="Arial" w:hAnsi="Arial"/>
                <w:sz w:val="18"/>
                <w:szCs w:val="18"/>
                <w:color w:val="auto"/>
                <w:w w:val="85"/>
              </w:rPr>
              <w:t>11.0</w:t>
            </w:r>
          </w:p>
        </w:tc>
        <w:tc>
          <w:tcPr>
            <w:tcW w:w="160" w:type="dxa"/>
            <w:vAlign w:val="bottom"/>
            <w:shd w:val="clear" w:color="auto" w:fill="CDEAFA"/>
          </w:tcPr>
          <w:p>
            <w:pPr>
              <w:spacing w:after="0"/>
              <w:rPr>
                <w:sz w:val="18"/>
                <w:szCs w:val="18"/>
                <w:color w:val="auto"/>
              </w:rPr>
            </w:pPr>
          </w:p>
        </w:tc>
        <w:tc>
          <w:tcPr>
            <w:tcW w:w="760" w:type="dxa"/>
            <w:vAlign w:val="bottom"/>
            <w:shd w:val="clear" w:color="auto" w:fill="CDEAFA"/>
          </w:tcPr>
          <w:p>
            <w:pPr>
              <w:jc w:val="right"/>
              <w:ind w:right="5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DEAFA"/>
          </w:tcPr>
          <w:p>
            <w:pPr>
              <w:jc w:val="right"/>
              <w:spacing w:after="0"/>
              <w:rPr>
                <w:sz w:val="20"/>
                <w:szCs w:val="20"/>
                <w:color w:val="auto"/>
              </w:rPr>
            </w:pPr>
            <w:r>
              <w:rPr>
                <w:rFonts w:ascii="Arial" w:cs="Arial" w:eastAsia="Arial" w:hAnsi="Arial"/>
                <w:sz w:val="18"/>
                <w:szCs w:val="18"/>
                <w:color w:val="auto"/>
                <w:w w:val="85"/>
              </w:rPr>
              <w:t>27.7</w:t>
            </w:r>
          </w:p>
        </w:tc>
        <w:tc>
          <w:tcPr>
            <w:tcW w:w="0" w:type="dxa"/>
            <w:vAlign w:val="bottom"/>
          </w:tcPr>
          <w:p>
            <w:pPr>
              <w:spacing w:after="0"/>
              <w:rPr>
                <w:sz w:val="1"/>
                <w:szCs w:val="1"/>
                <w:color w:val="auto"/>
              </w:rPr>
            </w:pPr>
          </w:p>
        </w:tc>
      </w:t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39.7</w:t>
            </w:r>
          </w:p>
        </w:tc>
        <w:tc>
          <w:tcPr>
            <w:tcW w:w="160" w:type="dxa"/>
            <w:vAlign w:val="bottom"/>
          </w:tcPr>
          <w:p>
            <w:pPr>
              <w:spacing w:after="0"/>
              <w:rPr>
                <w:sz w:val="20"/>
                <w:szCs w:val="20"/>
                <w:color w:val="auto"/>
              </w:rPr>
            </w:pPr>
          </w:p>
        </w:tc>
        <w:tc>
          <w:tcPr>
            <w:tcW w:w="7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66.8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and development milestone payments received from Teva for which recognition has been deferred.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the estimated consideration under the Teva Collaboration Agreement related to the Company’s obligation that was unsatisfied (or partially unsatisfied) as of December 31, 2021 was $87.4 million. This amount is expected to be recognized over the remaining period in which the Company is obligated to satisfy its obligation in connection with performing development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Intellia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2016, we entered into a license and collaboration agreement with Intellia Therapeutics, Inc. to advance CRISPR/Cas9 gene-editing technology for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therapeutic development. The parties collaborate to conduct research for the discovery, development, and commercialization of new therapies,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research and technology development of the CRISPR/ Cas9 platform.</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2016 agreement, the parties agreed to a target selection process, whereby the Company may obtain exclusive rights in up to 10 targets to be chosen by the Company during the collaboration term, subject to various adjustments and limitations set forth in the agreement. Certain targets that either we or Intellia select pursuant to the target selection process may be subject to a co-development and co-commercialization arrangement at our option or Intellia’s option, as applicable.</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2020, we expanded our existing collaboration with Intellia to provide us with rights to develop products for additional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CRISPR/Cas9-based therapeutic targets and for the parties to jointly develop potential products for the treatment of hemophilia A and B. In addition, we also received non-exclusive rights to independently develop and commercialize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edited products. In connection with the agreement, we made a $70.0 million up-front payment and purchased shares of Intellia common stock for an aggregate purchase price of $30.0 million. The up-front payment and the amount paid in excess of the fair market value of the shares purchased, or $15.0 million, were recorded to Research and development expense during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U.S. Government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 (casirivimab and imdevimab)</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we announced an expansion of our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2020, we entered into an agreement with entities acting at the direction of BARDA and the U.S. Department of Defense to manufacture and deliver filled and finished drug product of REGEN-COV to the U.S. government. The agreement, as subsequently amended, provided for payments to the Company of up to $465.9 million in the aggregate for bulk manufacturing of the drug substance, as well as fill/finish, storage, and other activities.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was obligated to purchase 1.25 million doses of drug product, which we delivered by June 30, 2021, resulting in payments to the Company of $2.625 billion.</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September 2021, the Company announced an amendment to its January 2021 agreement to supply the U.S. government with an additional 1.4 million doses of REGEN-COV. Pursuant to the agreement, the U.S. government was obligated to purchase all filled and finished doses of such additional drug product delivered by January 31, 2022, resulting in payments to the Company of $2.940 billion in the aggregate. Roche supplied a portion of the doses to Regeneron to fulfill our agreement with the U.S. government (see “Roche” below for further details regarding our collaboration agreement with Roche).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8" w:name="page129"/>
    <w:bookmarkEnd w:id="128"/>
    <w:p>
      <w:pPr>
        <w:jc w:val="both"/>
        <w:spacing w:after="0" w:line="277" w:lineRule="auto"/>
        <w:rPr>
          <w:sz w:val="20"/>
          <w:szCs w:val="20"/>
          <w:color w:val="auto"/>
        </w:rPr>
      </w:pPr>
      <w:r>
        <w:rPr>
          <w:rFonts w:ascii="Arial" w:cs="Arial" w:eastAsia="Arial" w:hAnsi="Arial"/>
          <w:sz w:val="18"/>
          <w:szCs w:val="18"/>
          <w:color w:val="auto"/>
        </w:rPr>
        <w:t>As of December 31, 2021, the Company had completed its final deliveries of drug product under the agreements described above. See Note 2 for REGEN-COV net product sales recognized in connection with these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Roche</w:t>
      </w:r>
    </w:p>
    <w:p>
      <w:pPr>
        <w:spacing w:after="0" w:line="22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August 2020, we entered into a collaboration agreement (the “Roche Collaboration Agreement”) with Roche to develop, manufacture, and distribute the casirivimab and imdevimab antibody cocktail (known as REGEN-COV in the United States and Ronapreve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other countries). We lead global development activities for casirivimab and imdevimab, and the parties jointly fund certain ongoing studies, as well as any mutually agreed additional new global studies to evaluate further the potential of casirivimab and imdevimab in treating or preventing COVID-19.</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agreement,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Other collaboration revenue. If Regeneron is to make a true-up payment to Roche, such amount will be recorded to Cost of goods sold.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the Roche Collaboration Agreement are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374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(In millions)</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Statement of Operations</w:t>
            </w:r>
          </w:p>
        </w:tc>
        <w:tc>
          <w:tcPr>
            <w:tcW w:w="3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3740" w:type="dxa"/>
            <w:vAlign w:val="bottom"/>
            <w:vMerge w:val="continue"/>
          </w:tcPr>
          <w:p>
            <w:pPr>
              <w:spacing w:after="0"/>
              <w:rPr>
                <w:sz w:val="19"/>
                <w:szCs w:val="19"/>
                <w:color w:val="auto"/>
              </w:rPr>
            </w:pP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Classification</w:t>
            </w:r>
          </w:p>
        </w:tc>
        <w:tc>
          <w:tcPr>
            <w:tcW w:w="340" w:type="dxa"/>
            <w:vAlign w:val="bottom"/>
          </w:tcPr>
          <w:p>
            <w:pPr>
              <w:spacing w:after="0"/>
              <w:rPr>
                <w:sz w:val="19"/>
                <w:szCs w:val="19"/>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2"/>
        </w:trPr>
        <w:tc>
          <w:tcPr>
            <w:tcW w:w="3740" w:type="dxa"/>
            <w:vAlign w:val="bottom"/>
            <w:tcBorders>
              <w:top w:val="single" w:sz="8" w:color="CDEAFA"/>
            </w:tcBorders>
            <w:shd w:val="clear" w:color="auto" w:fill="CDEAFA"/>
          </w:tcPr>
          <w:p>
            <w:pPr>
              <w:ind w:left="60"/>
              <w:spacing w:after="0" w:line="182" w:lineRule="exact"/>
              <w:rPr>
                <w:sz w:val="20"/>
                <w:szCs w:val="20"/>
                <w:color w:val="auto"/>
              </w:rPr>
            </w:pPr>
            <w:r>
              <w:rPr>
                <w:rFonts w:ascii="Arial" w:cs="Arial" w:eastAsia="Arial" w:hAnsi="Arial"/>
                <w:sz w:val="18"/>
                <w:szCs w:val="18"/>
                <w:color w:val="auto"/>
              </w:rPr>
              <w:t>Global gross profit true-up payment from</w:t>
            </w:r>
          </w:p>
        </w:tc>
        <w:tc>
          <w:tcPr>
            <w:tcW w:w="2580" w:type="dxa"/>
            <w:vAlign w:val="bottom"/>
            <w:tcBorders>
              <w:top w:val="single" w:sz="8" w:color="auto"/>
            </w:tcBorders>
            <w:shd w:val="clear" w:color="auto" w:fill="CDEAFA"/>
          </w:tcPr>
          <w:p>
            <w:pPr>
              <w:ind w:left="40"/>
              <w:spacing w:after="0" w:line="182" w:lineRule="exact"/>
              <w:rPr>
                <w:sz w:val="20"/>
                <w:szCs w:val="20"/>
                <w:color w:val="auto"/>
              </w:rPr>
            </w:pPr>
            <w:r>
              <w:rPr>
                <w:rFonts w:ascii="Arial" w:cs="Arial" w:eastAsia="Arial" w:hAnsi="Arial"/>
                <w:sz w:val="18"/>
                <w:szCs w:val="18"/>
                <w:color w:val="auto"/>
              </w:rPr>
              <w:t>Other collaboration revenue</w:t>
            </w:r>
          </w:p>
        </w:tc>
        <w:tc>
          <w:tcPr>
            <w:tcW w:w="200" w:type="dxa"/>
            <w:vAlign w:val="bottom"/>
            <w:tcBorders>
              <w:top w:val="single" w:sz="8" w:color="CDEAFA"/>
            </w:tcBorders>
            <w:shd w:val="clear" w:color="auto" w:fill="CDEAFA"/>
          </w:tcPr>
          <w:p>
            <w:pPr>
              <w:spacing w:after="0"/>
              <w:rPr>
                <w:sz w:val="15"/>
                <w:szCs w:val="15"/>
                <w:color w:val="auto"/>
              </w:rPr>
            </w:pPr>
          </w:p>
        </w:tc>
        <w:tc>
          <w:tcPr>
            <w:tcW w:w="340" w:type="dxa"/>
            <w:vAlign w:val="bottom"/>
            <w:tcBorders>
              <w:top w:val="single" w:sz="8" w:color="auto"/>
            </w:tcBorders>
            <w:shd w:val="clear" w:color="auto" w:fill="CDEAFA"/>
          </w:tcPr>
          <w:p>
            <w:pPr>
              <w:spacing w:after="0"/>
              <w:rPr>
                <w:sz w:val="15"/>
                <w:szCs w:val="15"/>
                <w:color w:val="auto"/>
              </w:rPr>
            </w:pPr>
          </w:p>
        </w:tc>
        <w:tc>
          <w:tcPr>
            <w:tcW w:w="1080" w:type="dxa"/>
            <w:vAlign w:val="bottom"/>
            <w:tcBorders>
              <w:top w:val="single" w:sz="8" w:color="auto"/>
            </w:tcBorders>
            <w:shd w:val="clear" w:color="auto" w:fill="CDEAFA"/>
          </w:tcPr>
          <w:p>
            <w:pPr>
              <w:spacing w:after="0"/>
              <w:rPr>
                <w:sz w:val="15"/>
                <w:szCs w:val="15"/>
                <w:color w:val="auto"/>
              </w:rPr>
            </w:pPr>
          </w:p>
        </w:tc>
        <w:tc>
          <w:tcPr>
            <w:tcW w:w="180" w:type="dxa"/>
            <w:vAlign w:val="bottom"/>
            <w:tcBorders>
              <w:top w:val="single" w:sz="8" w:color="CDEAFA"/>
            </w:tcBorders>
            <w:shd w:val="clear" w:color="auto" w:fill="CDEAFA"/>
          </w:tcPr>
          <w:p>
            <w:pPr>
              <w:spacing w:after="0"/>
              <w:rPr>
                <w:sz w:val="15"/>
                <w:szCs w:val="15"/>
                <w:color w:val="auto"/>
              </w:rPr>
            </w:pPr>
          </w:p>
        </w:tc>
        <w:tc>
          <w:tcPr>
            <w:tcW w:w="360" w:type="dxa"/>
            <w:vAlign w:val="bottom"/>
            <w:tcBorders>
              <w:top w:val="single" w:sz="8" w:color="auto"/>
            </w:tcBorders>
            <w:shd w:val="clear" w:color="auto" w:fill="CDEAFA"/>
          </w:tcPr>
          <w:p>
            <w:pPr>
              <w:spacing w:after="0"/>
              <w:rPr>
                <w:sz w:val="15"/>
                <w:szCs w:val="15"/>
                <w:color w:val="auto"/>
              </w:rPr>
            </w:pPr>
          </w:p>
        </w:tc>
        <w:tc>
          <w:tcPr>
            <w:tcW w:w="1060" w:type="dxa"/>
            <w:vAlign w:val="bottom"/>
            <w:tcBorders>
              <w:top w:val="single" w:sz="8" w:color="auto"/>
            </w:tcBorders>
            <w:shd w:val="clear" w:color="auto" w:fill="CDEAFA"/>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DEAFA"/>
          </w:tcPr>
          <w:p>
            <w:pPr>
              <w:ind w:left="240"/>
              <w:spacing w:after="0"/>
              <w:rPr>
                <w:sz w:val="20"/>
                <w:szCs w:val="20"/>
                <w:color w:val="auto"/>
              </w:rPr>
            </w:pPr>
            <w:r>
              <w:rPr>
                <w:rFonts w:ascii="Arial" w:cs="Arial" w:eastAsia="Arial" w:hAnsi="Arial"/>
                <w:sz w:val="18"/>
                <w:szCs w:val="18"/>
                <w:color w:val="auto"/>
              </w:rPr>
              <w:t>Roche in connection with sales of</w:t>
            </w:r>
          </w:p>
        </w:tc>
        <w:tc>
          <w:tcPr>
            <w:tcW w:w="2580" w:type="dxa"/>
            <w:vAlign w:val="bottom"/>
            <w:shd w:val="clear" w:color="auto" w:fill="CDEAFA"/>
          </w:tcPr>
          <w:p>
            <w:pPr>
              <w:spacing w:after="0"/>
              <w:rPr>
                <w:sz w:val="18"/>
                <w:szCs w:val="18"/>
                <w:color w:val="auto"/>
              </w:rPr>
            </w:pPr>
          </w:p>
        </w:tc>
        <w:tc>
          <w:tcPr>
            <w:tcW w:w="20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108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360" w:type="dxa"/>
            <w:vAlign w:val="bottom"/>
            <w:shd w:val="clear" w:color="auto" w:fill="CDEAFA"/>
          </w:tcPr>
          <w:p>
            <w:pPr>
              <w:spacing w:after="0"/>
              <w:rPr>
                <w:sz w:val="18"/>
                <w:szCs w:val="18"/>
                <w:color w:val="auto"/>
              </w:rPr>
            </w:pPr>
          </w:p>
        </w:tc>
        <w:tc>
          <w:tcPr>
            <w:tcW w:w="106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DEAFA"/>
          </w:tcPr>
          <w:p>
            <w:pPr>
              <w:ind w:left="240"/>
              <w:spacing w:after="0"/>
              <w:rPr>
                <w:sz w:val="20"/>
                <w:szCs w:val="20"/>
                <w:color w:val="auto"/>
              </w:rPr>
            </w:pPr>
            <w:r>
              <w:rPr>
                <w:rFonts w:ascii="Arial" w:cs="Arial" w:eastAsia="Arial" w:hAnsi="Arial"/>
                <w:sz w:val="18"/>
                <w:szCs w:val="18"/>
                <w:color w:val="auto"/>
              </w:rPr>
              <w:t>casirivimab and imdevimab</w:t>
            </w:r>
          </w:p>
        </w:tc>
        <w:tc>
          <w:tcPr>
            <w:tcW w:w="2580" w:type="dxa"/>
            <w:vAlign w:val="bottom"/>
            <w:shd w:val="clear" w:color="auto" w:fill="CDEAFA"/>
          </w:tcPr>
          <w:p>
            <w:pPr>
              <w:spacing w:after="0"/>
              <w:rPr>
                <w:sz w:val="20"/>
                <w:szCs w:val="20"/>
                <w:color w:val="auto"/>
              </w:rPr>
            </w:pPr>
          </w:p>
        </w:tc>
        <w:tc>
          <w:tcPr>
            <w:tcW w:w="200" w:type="dxa"/>
            <w:vAlign w:val="bottom"/>
            <w:shd w:val="clear" w:color="auto" w:fill="CDEAFA"/>
          </w:tcPr>
          <w:p>
            <w:pPr>
              <w:spacing w:after="0"/>
              <w:rPr>
                <w:sz w:val="20"/>
                <w:szCs w:val="20"/>
                <w:color w:val="auto"/>
              </w:rPr>
            </w:pPr>
          </w:p>
        </w:tc>
        <w:tc>
          <w:tcPr>
            <w:tcW w:w="340" w:type="dxa"/>
            <w:vAlign w:val="bottom"/>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361.8</w:t>
            </w:r>
          </w:p>
        </w:tc>
        <w:tc>
          <w:tcPr>
            <w:tcW w:w="180" w:type="dxa"/>
            <w:vAlign w:val="bottom"/>
            <w:shd w:val="clear" w:color="auto" w:fill="CDEAFA"/>
          </w:tcPr>
          <w:p>
            <w:pPr>
              <w:spacing w:after="0"/>
              <w:rPr>
                <w:sz w:val="20"/>
                <w:szCs w:val="20"/>
                <w:color w:val="auto"/>
              </w:rPr>
            </w:pPr>
          </w:p>
        </w:tc>
        <w:tc>
          <w:tcPr>
            <w:tcW w:w="360" w:type="dxa"/>
            <w:vAlign w:val="bottom"/>
            <w:shd w:val="clear" w:color="auto" w:fill="CDEAFA"/>
          </w:tcPr>
          <w:p>
            <w:pPr>
              <w:spacing w:after="0"/>
              <w:rPr>
                <w:sz w:val="20"/>
                <w:szCs w:val="20"/>
                <w:color w:val="auto"/>
              </w:rPr>
            </w:pPr>
          </w:p>
        </w:tc>
        <w:tc>
          <w:tcPr>
            <w:tcW w:w="10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40" w:type="dxa"/>
            <w:vAlign w:val="bottom"/>
          </w:tcPr>
          <w:p>
            <w:pPr>
              <w:ind w:left="60"/>
              <w:spacing w:after="0" w:line="201" w:lineRule="exact"/>
              <w:rPr>
                <w:sz w:val="20"/>
                <w:szCs w:val="20"/>
                <w:color w:val="auto"/>
              </w:rPr>
            </w:pPr>
            <w:r>
              <w:rPr>
                <w:rFonts w:ascii="Arial" w:cs="Arial" w:eastAsia="Arial" w:hAnsi="Arial"/>
                <w:sz w:val="18"/>
                <w:szCs w:val="18"/>
                <w:color w:val="auto"/>
              </w:rPr>
              <w:t>Reimbursement of research and development</w:t>
            </w:r>
          </w:p>
        </w:tc>
        <w:tc>
          <w:tcPr>
            <w:tcW w:w="27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Reduction of Research and</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expenses</w:t>
            </w:r>
          </w:p>
        </w:tc>
        <w:tc>
          <w:tcPr>
            <w:tcW w:w="2780" w:type="dxa"/>
            <w:vAlign w:val="bottom"/>
            <w:gridSpan w:val="2"/>
          </w:tcPr>
          <w:p>
            <w:pPr>
              <w:ind w:left="220"/>
              <w:spacing w:after="0"/>
              <w:rPr>
                <w:sz w:val="20"/>
                <w:szCs w:val="20"/>
                <w:color w:val="auto"/>
              </w:rPr>
            </w:pPr>
            <w:r>
              <w:rPr>
                <w:rFonts w:ascii="Arial" w:cs="Arial" w:eastAsia="Arial" w:hAnsi="Arial"/>
                <w:sz w:val="18"/>
                <w:szCs w:val="18"/>
                <w:color w:val="auto"/>
              </w:rPr>
              <w:t>development expense</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128.1</w:t>
            </w:r>
          </w:p>
        </w:tc>
        <w:tc>
          <w:tcPr>
            <w:tcW w:w="18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2"/>
        </w:trPr>
        <w:tc>
          <w:tcPr>
            <w:tcW w:w="3740" w:type="dxa"/>
            <w:vAlign w:val="bottom"/>
            <w:shd w:val="clear" w:color="auto" w:fill="CDEAFA"/>
          </w:tcPr>
          <w:p>
            <w:pPr>
              <w:ind w:left="60"/>
              <w:spacing w:after="0" w:line="201" w:lineRule="exact"/>
              <w:rPr>
                <w:sz w:val="20"/>
                <w:szCs w:val="20"/>
                <w:color w:val="auto"/>
              </w:rPr>
            </w:pPr>
            <w:r>
              <w:rPr>
                <w:rFonts w:ascii="Arial" w:cs="Arial" w:eastAsia="Arial" w:hAnsi="Arial"/>
                <w:sz w:val="18"/>
                <w:szCs w:val="18"/>
                <w:color w:val="auto"/>
                <w:w w:val="96"/>
              </w:rPr>
              <w:t>Global gross profit true-up payment to Roche in</w:t>
            </w:r>
          </w:p>
        </w:tc>
        <w:tc>
          <w:tcPr>
            <w:tcW w:w="2780" w:type="dxa"/>
            <w:vAlign w:val="bottom"/>
            <w:gridSpan w:val="2"/>
            <w:shd w:val="clear" w:color="auto" w:fill="CDEAFA"/>
          </w:tcPr>
          <w:p>
            <w:pPr>
              <w:ind w:left="40"/>
              <w:spacing w:after="0" w:line="201" w:lineRule="exact"/>
              <w:rPr>
                <w:sz w:val="20"/>
                <w:szCs w:val="20"/>
                <w:color w:val="auto"/>
              </w:rPr>
            </w:pPr>
            <w:r>
              <w:rPr>
                <w:rFonts w:ascii="Arial" w:cs="Arial" w:eastAsia="Arial" w:hAnsi="Arial"/>
                <w:sz w:val="18"/>
                <w:szCs w:val="18"/>
                <w:color w:val="auto"/>
              </w:rPr>
              <w:t>Cost of goods sold</w:t>
            </w:r>
          </w:p>
        </w:tc>
        <w:tc>
          <w:tcPr>
            <w:tcW w:w="340" w:type="dxa"/>
            <w:vAlign w:val="bottom"/>
            <w:shd w:val="clear" w:color="auto" w:fill="CDEAFA"/>
          </w:tcPr>
          <w:p>
            <w:pPr>
              <w:spacing w:after="0"/>
              <w:rPr>
                <w:sz w:val="17"/>
                <w:szCs w:val="17"/>
                <w:color w:val="auto"/>
              </w:rPr>
            </w:pPr>
          </w:p>
        </w:tc>
        <w:tc>
          <w:tcPr>
            <w:tcW w:w="1080" w:type="dxa"/>
            <w:vAlign w:val="bottom"/>
            <w:shd w:val="clear" w:color="auto" w:fill="CDEAFA"/>
          </w:tcPr>
          <w:p>
            <w:pPr>
              <w:spacing w:after="0"/>
              <w:rPr>
                <w:sz w:val="17"/>
                <w:szCs w:val="17"/>
                <w:color w:val="auto"/>
              </w:rPr>
            </w:pPr>
          </w:p>
        </w:tc>
        <w:tc>
          <w:tcPr>
            <w:tcW w:w="180" w:type="dxa"/>
            <w:vAlign w:val="bottom"/>
            <w:shd w:val="clear" w:color="auto" w:fill="CDEAFA"/>
          </w:tcPr>
          <w:p>
            <w:pPr>
              <w:spacing w:after="0"/>
              <w:rPr>
                <w:sz w:val="17"/>
                <w:szCs w:val="17"/>
                <w:color w:val="auto"/>
              </w:rPr>
            </w:pPr>
          </w:p>
        </w:tc>
        <w:tc>
          <w:tcPr>
            <w:tcW w:w="360" w:type="dxa"/>
            <w:vAlign w:val="bottom"/>
            <w:shd w:val="clear" w:color="auto" w:fill="CDEAFA"/>
          </w:tcPr>
          <w:p>
            <w:pPr>
              <w:spacing w:after="0"/>
              <w:rPr>
                <w:sz w:val="17"/>
                <w:szCs w:val="17"/>
                <w:color w:val="auto"/>
              </w:rPr>
            </w:pPr>
          </w:p>
        </w:tc>
        <w:tc>
          <w:tcPr>
            <w:tcW w:w="1060" w:type="dxa"/>
            <w:vAlign w:val="bottom"/>
            <w:shd w:val="clear" w:color="auto" w:fill="CDEAF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DEAFA"/>
          </w:tcPr>
          <w:p>
            <w:pPr>
              <w:ind w:left="240"/>
              <w:spacing w:after="0"/>
              <w:rPr>
                <w:sz w:val="20"/>
                <w:szCs w:val="20"/>
                <w:color w:val="auto"/>
              </w:rPr>
            </w:pPr>
            <w:r>
              <w:rPr>
                <w:rFonts w:ascii="Arial" w:cs="Arial" w:eastAsia="Arial" w:hAnsi="Arial"/>
                <w:sz w:val="18"/>
                <w:szCs w:val="18"/>
                <w:color w:val="auto"/>
              </w:rPr>
              <w:t>connection with sales of casirivimab and</w:t>
            </w:r>
          </w:p>
        </w:tc>
        <w:tc>
          <w:tcPr>
            <w:tcW w:w="2580" w:type="dxa"/>
            <w:vAlign w:val="bottom"/>
            <w:shd w:val="clear" w:color="auto" w:fill="CDEAFA"/>
          </w:tcPr>
          <w:p>
            <w:pPr>
              <w:spacing w:after="0"/>
              <w:rPr>
                <w:sz w:val="18"/>
                <w:szCs w:val="18"/>
                <w:color w:val="auto"/>
              </w:rPr>
            </w:pPr>
          </w:p>
        </w:tc>
        <w:tc>
          <w:tcPr>
            <w:tcW w:w="20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108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360" w:type="dxa"/>
            <w:vAlign w:val="bottom"/>
            <w:shd w:val="clear" w:color="auto" w:fill="CDEAFA"/>
          </w:tcPr>
          <w:p>
            <w:pPr>
              <w:spacing w:after="0"/>
              <w:rPr>
                <w:sz w:val="18"/>
                <w:szCs w:val="18"/>
                <w:color w:val="auto"/>
              </w:rPr>
            </w:pPr>
          </w:p>
        </w:tc>
        <w:tc>
          <w:tcPr>
            <w:tcW w:w="106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DEAFA"/>
          </w:tcPr>
          <w:p>
            <w:pPr>
              <w:ind w:left="240"/>
              <w:spacing w:after="0"/>
              <w:rPr>
                <w:sz w:val="20"/>
                <w:szCs w:val="20"/>
                <w:color w:val="auto"/>
              </w:rPr>
            </w:pPr>
            <w:r>
              <w:rPr>
                <w:rFonts w:ascii="Arial" w:cs="Arial" w:eastAsia="Arial" w:hAnsi="Arial"/>
                <w:sz w:val="18"/>
                <w:szCs w:val="18"/>
                <w:color w:val="auto"/>
              </w:rPr>
              <w:t>imdevimab</w:t>
            </w:r>
          </w:p>
        </w:tc>
        <w:tc>
          <w:tcPr>
            <w:tcW w:w="2580" w:type="dxa"/>
            <w:vAlign w:val="bottom"/>
            <w:shd w:val="clear" w:color="auto" w:fill="CDEAFA"/>
          </w:tcPr>
          <w:p>
            <w:pPr>
              <w:spacing w:after="0"/>
              <w:rPr>
                <w:sz w:val="20"/>
                <w:szCs w:val="20"/>
                <w:color w:val="auto"/>
              </w:rPr>
            </w:pPr>
          </w:p>
        </w:tc>
        <w:tc>
          <w:tcPr>
            <w:tcW w:w="200" w:type="dxa"/>
            <w:vAlign w:val="bottom"/>
            <w:shd w:val="clear" w:color="auto" w:fill="CDEAFA"/>
          </w:tcPr>
          <w:p>
            <w:pPr>
              <w:spacing w:after="0"/>
              <w:rPr>
                <w:sz w:val="20"/>
                <w:szCs w:val="20"/>
                <w:color w:val="auto"/>
              </w:rPr>
            </w:pPr>
          </w:p>
        </w:tc>
        <w:tc>
          <w:tcPr>
            <w:tcW w:w="340" w:type="dxa"/>
            <w:vAlign w:val="bottom"/>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259.6</w:t>
            </w:r>
          </w:p>
        </w:tc>
        <w:tc>
          <w:tcPr>
            <w:tcW w:w="180" w:type="dxa"/>
            <w:vAlign w:val="bottom"/>
            <w:shd w:val="clear" w:color="auto" w:fill="CDEAFA"/>
          </w:tcPr>
          <w:p>
            <w:pPr>
              <w:spacing w:after="0"/>
              <w:rPr>
                <w:sz w:val="20"/>
                <w:szCs w:val="20"/>
                <w:color w:val="auto"/>
              </w:rPr>
            </w:pPr>
          </w:p>
        </w:tc>
        <w:tc>
          <w:tcPr>
            <w:tcW w:w="360" w:type="dxa"/>
            <w:vAlign w:val="bottom"/>
            <w:shd w:val="clear" w:color="auto" w:fill="CDEAFA"/>
          </w:tcPr>
          <w:p>
            <w:pPr>
              <w:spacing w:after="0"/>
              <w:rPr>
                <w:sz w:val="20"/>
                <w:szCs w:val="20"/>
                <w:color w:val="auto"/>
              </w:rPr>
            </w:pPr>
          </w:p>
        </w:tc>
        <w:tc>
          <w:tcPr>
            <w:tcW w:w="10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Roche Collaboration Agreement:</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3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DEAFA"/>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360" w:type="dxa"/>
            <w:vAlign w:val="bottom"/>
            <w:shd w:val="clear" w:color="auto" w:fill="CDEAFA"/>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DEAFA"/>
          </w:tcPr>
          <w:p>
            <w:pPr>
              <w:spacing w:after="0"/>
              <w:rPr>
                <w:sz w:val="18"/>
                <w:szCs w:val="18"/>
                <w:color w:val="auto"/>
              </w:rPr>
            </w:pPr>
          </w:p>
        </w:tc>
        <w:tc>
          <w:tcPr>
            <w:tcW w:w="9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DEAFA"/>
          </w:tcPr>
          <w:p>
            <w:pPr>
              <w:spacing w:after="0"/>
              <w:rPr>
                <w:sz w:val="18"/>
                <w:szCs w:val="18"/>
                <w:color w:val="auto"/>
              </w:rPr>
            </w:pPr>
          </w:p>
        </w:tc>
        <w:tc>
          <w:tcPr>
            <w:tcW w:w="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268.8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Alnylam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the Company and Alnylam Pharmaceuticals, Inc. entered into a global, strategic collaboration to discover, develop, and commercialize RNA interference (“RNAi”) therapeutics for a broad range of diseases by addressing therapeutic disease targets expressed in the eye and central nervous system (“CNS”), in addition to a select number of targets expressed in the liver. Under the terms of the agreement, we made an up-front payment of $400.0 million to Alnylam, which was recorded in Research and development expense during 2019. For each program, we provide Alnylam with a specified amount of funding at program initiation and at lead candidate designation, and Alnylam is eligible to receive up to an aggregate of $200.0 million in clinical proof-of-principle milestones for eye and CNS programs.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INDs (or their equivalent in certain other countries) for programs in the eye and CNS.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collaboration, we also purchased shares of Alnylam common stock for aggregate cash consideration of $400.0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9" w:name="page130"/>
    <w:bookmarkEnd w:id="129"/>
    <w:p>
      <w:pPr>
        <w:jc w:val="both"/>
        <w:spacing w:after="0" w:line="254" w:lineRule="auto"/>
        <w:rPr>
          <w:sz w:val="20"/>
          <w:szCs w:val="20"/>
          <w:color w:val="auto"/>
        </w:rPr>
      </w:pPr>
      <w:r>
        <w:rPr>
          <w:rFonts w:ascii="Arial" w:cs="Arial" w:eastAsia="Arial" w:hAnsi="Arial"/>
          <w:sz w:val="18"/>
          <w:szCs w:val="18"/>
          <w:color w:val="auto"/>
        </w:rPr>
        <w:t>In addition, during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such siRNA therapeutic (cemdisiran) and a fully human monoclonal antibody targeting C5 being developed by us (pozelimab), with us as the licensee. Under the C5 siRNA Co-Commercialization Collaboration Agreement, the parties share costs equally and will split profits (if commercialized); and under the License Agreement, the licensee is responsible for its own costs and expenses. The C5 siRNA License Agreement contains a flat low double-digit royalty payable to Alnylam on our potential future net sales of the combination product only subject to customary reductions, as well as up to $325.0 million in sales milestones.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Other</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collaboration agreements discussed above, the Company has various other collaboration agreements that are not individually significant to its operating results or financial condition at this time. Pursuant to the terms of those agreements, the Company may be required to pay, or it may receive, additional amounts contingent upon the occurrence of various future events (e.g., upon the achievement of various development and commercial milestones) which in the aggregate could be significant. The Company may also incur, or get reimbursed for, significant research and development costs if the related product candidate(s) were to advance to late stage clinical trials. In addition, if any products related to these collaborations are approved for sale, the Company may be required to pay, or it may receive, royalties on future sales. The payment or receipt of these amounts, however, is contingent upon the occurrence of various future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Marketable securities as of December 31, 2021 and 2020 consist of both available-for-sale debt securities of investment grade issuers (see below and Note 5) as well as equity securities of publicly traded companies (see Note 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10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0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w:t>
            </w:r>
          </w:p>
        </w:tc>
      </w:tr>
      <w:tr>
        <w:trPr>
          <w:trHeight w:val="169"/>
        </w:trPr>
        <w:tc>
          <w:tcPr>
            <w:tcW w:w="60" w:type="dxa"/>
            <w:vAlign w:val="bottom"/>
          </w:tcPr>
          <w:p>
            <w:pPr>
              <w:spacing w:after="0"/>
              <w:rPr>
                <w:sz w:val="14"/>
                <w:szCs w:val="14"/>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7"/>
                <w:szCs w:val="17"/>
                <w:b w:val="1"/>
                <w:bCs w:val="1"/>
                <w:color w:val="auto"/>
              </w:rPr>
              <w:t>As of December 31, 2021</w:t>
            </w:r>
          </w:p>
        </w:tc>
        <w:tc>
          <w:tcPr>
            <w:tcW w:w="280" w:type="dxa"/>
            <w:vAlign w:val="bottom"/>
          </w:tcPr>
          <w:p>
            <w:pPr>
              <w:spacing w:after="0"/>
              <w:rPr>
                <w:sz w:val="14"/>
                <w:szCs w:val="14"/>
                <w:color w:val="auto"/>
              </w:rPr>
            </w:pPr>
          </w:p>
        </w:tc>
        <w:tc>
          <w:tcPr>
            <w:tcW w:w="1420" w:type="dxa"/>
            <w:vAlign w:val="bottom"/>
            <w:gridSpan w:val="2"/>
          </w:tcPr>
          <w:p>
            <w:pPr>
              <w:ind w:left="60"/>
              <w:spacing w:after="0" w:line="149" w:lineRule="exact"/>
              <w:rPr>
                <w:sz w:val="20"/>
                <w:szCs w:val="20"/>
                <w:color w:val="auto"/>
              </w:rPr>
            </w:pPr>
            <w:r>
              <w:rPr>
                <w:rFonts w:ascii="Arial" w:cs="Arial" w:eastAsia="Arial" w:hAnsi="Arial"/>
                <w:sz w:val="17"/>
                <w:szCs w:val="17"/>
                <w:b w:val="1"/>
                <w:bCs w:val="1"/>
                <w:color w:val="auto"/>
              </w:rPr>
              <w:t>Cost Basis</w:t>
            </w:r>
          </w:p>
        </w:tc>
        <w:tc>
          <w:tcPr>
            <w:tcW w:w="102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Gains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390"/>
              <w:spacing w:after="0" w:line="156" w:lineRule="exact"/>
              <w:rPr>
                <w:sz w:val="20"/>
                <w:szCs w:val="20"/>
                <w:color w:val="auto"/>
              </w:rPr>
            </w:pPr>
            <w:r>
              <w:rPr>
                <w:rFonts w:ascii="Arial" w:cs="Arial" w:eastAsia="Arial" w:hAnsi="Arial"/>
                <w:sz w:val="18"/>
                <w:szCs w:val="18"/>
                <w:b w:val="1"/>
                <w:bCs w:val="1"/>
                <w:color w:val="auto"/>
                <w:w w:val="90"/>
              </w:rPr>
              <w:t>Losses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410"/>
              <w:spacing w:after="0" w:line="149" w:lineRule="exact"/>
              <w:rPr>
                <w:sz w:val="20"/>
                <w:szCs w:val="20"/>
                <w:color w:val="auto"/>
              </w:rPr>
            </w:pPr>
            <w:r>
              <w:rPr>
                <w:rFonts w:ascii="Arial" w:cs="Arial" w:eastAsia="Arial" w:hAnsi="Arial"/>
                <w:sz w:val="17"/>
                <w:szCs w:val="17"/>
                <w:b w:val="1"/>
                <w:bCs w:val="1"/>
                <w:color w:val="auto"/>
              </w:rPr>
              <w:t>Value</w:t>
            </w:r>
          </w:p>
        </w:tc>
      </w:tr>
      <w:tr>
        <w:trPr>
          <w:trHeight w:val="34"/>
        </w:trPr>
        <w:tc>
          <w:tcPr>
            <w:tcW w:w="60" w:type="dxa"/>
            <w:vAlign w:val="bottom"/>
            <w:tcBorders>
              <w:bottom w:val="single" w:sz="8" w:color="CDEAFA"/>
            </w:tcBorders>
          </w:tcPr>
          <w:p>
            <w:pPr>
              <w:spacing w:after="0"/>
              <w:rPr>
                <w:sz w:val="2"/>
                <w:szCs w:val="2"/>
                <w:color w:val="auto"/>
              </w:rPr>
            </w:pPr>
          </w:p>
        </w:tc>
        <w:tc>
          <w:tcPr>
            <w:tcW w:w="1900" w:type="dxa"/>
            <w:vAlign w:val="bottom"/>
            <w:tcBorders>
              <w:top w:val="single" w:sz="8" w:color="auto"/>
              <w:bottom w:val="single" w:sz="8" w:color="CDEAFA"/>
            </w:tcBorders>
          </w:tcPr>
          <w:p>
            <w:pPr>
              <w:spacing w:after="0"/>
              <w:rPr>
                <w:sz w:val="2"/>
                <w:szCs w:val="2"/>
                <w:color w:val="auto"/>
              </w:rPr>
            </w:pPr>
          </w:p>
        </w:tc>
        <w:tc>
          <w:tcPr>
            <w:tcW w:w="2780" w:type="dxa"/>
            <w:vAlign w:val="bottom"/>
            <w:tcBorders>
              <w:bottom w:val="single" w:sz="8" w:color="CDEAFA"/>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DEAFA"/>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DEAFA"/>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DEAFA"/>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60" w:type="dxa"/>
            <w:vAlign w:val="bottom"/>
            <w:shd w:val="clear" w:color="auto" w:fill="CDEAFA"/>
          </w:tcPr>
          <w:p>
            <w:pPr>
              <w:spacing w:after="0"/>
              <w:rPr>
                <w:sz w:val="18"/>
                <w:szCs w:val="18"/>
                <w:color w:val="auto"/>
              </w:rPr>
            </w:pPr>
          </w:p>
        </w:tc>
        <w:tc>
          <w:tcPr>
            <w:tcW w:w="46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7,518.4</w:t>
            </w:r>
          </w:p>
        </w:tc>
        <w:tc>
          <w:tcPr>
            <w:tcW w:w="220" w:type="dxa"/>
            <w:vAlign w:val="bottom"/>
            <w:shd w:val="clear" w:color="auto" w:fill="CDEAFA"/>
          </w:tcPr>
          <w:p>
            <w:pPr>
              <w:spacing w:after="0"/>
              <w:rPr>
                <w:sz w:val="18"/>
                <w:szCs w:val="18"/>
                <w:color w:val="auto"/>
              </w:rPr>
            </w:pPr>
          </w:p>
        </w:tc>
        <w:tc>
          <w:tcPr>
            <w:tcW w:w="1020" w:type="dxa"/>
            <w:vAlign w:val="bottom"/>
            <w:shd w:val="clear" w:color="auto" w:fill="CDEAFA"/>
          </w:tcPr>
          <w:p>
            <w:pPr>
              <w:jc w:val="right"/>
              <w:ind w:right="6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w w:val="96"/>
              </w:rPr>
              <w:t>10.2</w:t>
            </w: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DEAFA"/>
          </w:tcPr>
          <w:p>
            <w:pPr>
              <w:spacing w:after="0"/>
              <w:rPr>
                <w:sz w:val="18"/>
                <w:szCs w:val="18"/>
                <w:color w:val="auto"/>
              </w:rPr>
            </w:pPr>
          </w:p>
        </w:tc>
        <w:tc>
          <w:tcPr>
            <w:tcW w:w="360" w:type="dxa"/>
            <w:vAlign w:val="bottom"/>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7,487.7</w:t>
            </w:r>
          </w:p>
        </w:tc>
      </w:tr>
      <w:tr>
        <w:trPr>
          <w:trHeight w:val="216"/>
        </w:trPr>
        <w:tc>
          <w:tcPr>
            <w:tcW w:w="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109.0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108.5</w:t>
            </w:r>
          </w:p>
        </w:tc>
      </w:tr>
      <w:tr>
        <w:trPr>
          <w:trHeight w:val="216"/>
        </w:trPr>
        <w:tc>
          <w:tcPr>
            <w:tcW w:w="60" w:type="dxa"/>
            <w:vAlign w:val="bottom"/>
            <w:shd w:val="clear" w:color="auto" w:fill="CDEAFA"/>
          </w:tcPr>
          <w:p>
            <w:pPr>
              <w:spacing w:after="0"/>
              <w:rPr>
                <w:sz w:val="18"/>
                <w:szCs w:val="18"/>
                <w:color w:val="auto"/>
              </w:rPr>
            </w:pPr>
          </w:p>
        </w:tc>
        <w:tc>
          <w:tcPr>
            <w:tcW w:w="46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Sovereign bonds</w:t>
            </w:r>
          </w:p>
        </w:tc>
        <w:tc>
          <w:tcPr>
            <w:tcW w:w="280" w:type="dxa"/>
            <w:vAlign w:val="bottom"/>
            <w:shd w:val="clear" w:color="auto" w:fill="CDEAFA"/>
          </w:tcPr>
          <w:p>
            <w:pPr>
              <w:spacing w:after="0"/>
              <w:rPr>
                <w:sz w:val="18"/>
                <w:szCs w:val="18"/>
                <w:color w:val="auto"/>
              </w:rPr>
            </w:pPr>
          </w:p>
        </w:tc>
        <w:tc>
          <w:tcPr>
            <w:tcW w:w="12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DEAFA"/>
          </w:tcPr>
          <w:p>
            <w:pPr>
              <w:spacing w:after="0"/>
              <w:rPr>
                <w:sz w:val="18"/>
                <w:szCs w:val="18"/>
                <w:color w:val="auto"/>
              </w:rPr>
            </w:pPr>
          </w:p>
        </w:tc>
        <w:tc>
          <w:tcPr>
            <w:tcW w:w="1020" w:type="dxa"/>
            <w:vAlign w:val="bottom"/>
            <w:shd w:val="clear" w:color="auto" w:fill="CDEAFA"/>
          </w:tcPr>
          <w:p>
            <w:pPr>
              <w:spacing w:after="0"/>
              <w:rPr>
                <w:sz w:val="18"/>
                <w:szCs w:val="18"/>
                <w:color w:val="auto"/>
              </w:rPr>
            </w:pPr>
          </w:p>
        </w:tc>
        <w:tc>
          <w:tcPr>
            <w:tcW w:w="4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spacing w:after="0"/>
              <w:rPr>
                <w:sz w:val="18"/>
                <w:szCs w:val="18"/>
                <w:color w:val="auto"/>
              </w:rPr>
            </w:pPr>
          </w:p>
        </w:tc>
        <w:tc>
          <w:tcPr>
            <w:tcW w:w="10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DEAFA"/>
          </w:tcPr>
          <w:p>
            <w:pPr>
              <w:spacing w:after="0"/>
              <w:rPr>
                <w:sz w:val="18"/>
                <w:szCs w:val="18"/>
                <w:color w:val="auto"/>
              </w:rPr>
            </w:pPr>
          </w:p>
        </w:tc>
        <w:tc>
          <w:tcPr>
            <w:tcW w:w="360" w:type="dxa"/>
            <w:vAlign w:val="bottom"/>
            <w:shd w:val="clear" w:color="auto" w:fill="CDEAFA"/>
          </w:tcPr>
          <w:p>
            <w:pPr>
              <w:spacing w:after="0"/>
              <w:rPr>
                <w:sz w:val="18"/>
                <w:szCs w:val="18"/>
                <w:color w:val="auto"/>
              </w:rPr>
            </w:pPr>
          </w:p>
        </w:tc>
        <w:tc>
          <w:tcPr>
            <w:tcW w:w="10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64.4</w:t>
            </w:r>
          </w:p>
        </w:tc>
      </w:tr>
      <w:tr>
        <w:trPr>
          <w:trHeight w:val="216"/>
        </w:trPr>
        <w:tc>
          <w:tcPr>
            <w:tcW w:w="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439.7</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439.6</w:t>
            </w:r>
          </w:p>
        </w:tc>
      </w:tr>
      <w:tr>
        <w:trPr>
          <w:trHeight w:val="216"/>
        </w:trPr>
        <w:tc>
          <w:tcPr>
            <w:tcW w:w="60" w:type="dxa"/>
            <w:vAlign w:val="bottom"/>
            <w:shd w:val="clear" w:color="auto" w:fill="CDEAFA"/>
          </w:tcPr>
          <w:p>
            <w:pPr>
              <w:spacing w:after="0"/>
              <w:rPr>
                <w:sz w:val="18"/>
                <w:szCs w:val="18"/>
                <w:color w:val="auto"/>
              </w:rPr>
            </w:pPr>
          </w:p>
        </w:tc>
        <w:tc>
          <w:tcPr>
            <w:tcW w:w="46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DEAFA"/>
          </w:tcPr>
          <w:p>
            <w:pPr>
              <w:spacing w:after="0"/>
              <w:rPr>
                <w:sz w:val="18"/>
                <w:szCs w:val="18"/>
                <w:color w:val="auto"/>
              </w:rPr>
            </w:pPr>
          </w:p>
        </w:tc>
        <w:tc>
          <w:tcPr>
            <w:tcW w:w="12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255.2</w:t>
            </w:r>
          </w:p>
        </w:tc>
        <w:tc>
          <w:tcPr>
            <w:tcW w:w="220" w:type="dxa"/>
            <w:vAlign w:val="bottom"/>
            <w:shd w:val="clear" w:color="auto" w:fill="CDEAFA"/>
          </w:tcPr>
          <w:p>
            <w:pPr>
              <w:spacing w:after="0"/>
              <w:rPr>
                <w:sz w:val="18"/>
                <w:szCs w:val="18"/>
                <w:color w:val="auto"/>
              </w:rPr>
            </w:pPr>
          </w:p>
        </w:tc>
        <w:tc>
          <w:tcPr>
            <w:tcW w:w="1020" w:type="dxa"/>
            <w:vAlign w:val="bottom"/>
            <w:shd w:val="clear" w:color="auto" w:fill="CDEAFA"/>
          </w:tcPr>
          <w:p>
            <w:pPr>
              <w:spacing w:after="0"/>
              <w:rPr>
                <w:sz w:val="18"/>
                <w:szCs w:val="18"/>
                <w:color w:val="auto"/>
              </w:rPr>
            </w:pPr>
          </w:p>
        </w:tc>
        <w:tc>
          <w:tcPr>
            <w:tcW w:w="68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DEAFA"/>
          </w:tcPr>
          <w:p>
            <w:pPr>
              <w:spacing w:after="0"/>
              <w:rPr>
                <w:sz w:val="18"/>
                <w:szCs w:val="18"/>
                <w:color w:val="auto"/>
              </w:rPr>
            </w:pPr>
          </w:p>
        </w:tc>
        <w:tc>
          <w:tcPr>
            <w:tcW w:w="10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DEAFA"/>
          </w:tcPr>
          <w:p>
            <w:pPr>
              <w:spacing w:after="0"/>
              <w:rPr>
                <w:sz w:val="18"/>
                <w:szCs w:val="18"/>
                <w:color w:val="auto"/>
              </w:rPr>
            </w:pPr>
          </w:p>
        </w:tc>
        <w:tc>
          <w:tcPr>
            <w:tcW w:w="360" w:type="dxa"/>
            <w:vAlign w:val="bottom"/>
            <w:shd w:val="clear" w:color="auto" w:fill="CDEAFA"/>
          </w:tcPr>
          <w:p>
            <w:pPr>
              <w:spacing w:after="0"/>
              <w:rPr>
                <w:sz w:val="18"/>
                <w:szCs w:val="18"/>
                <w:color w:val="auto"/>
              </w:rPr>
            </w:pPr>
          </w:p>
        </w:tc>
        <w:tc>
          <w:tcPr>
            <w:tcW w:w="10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255.1</w:t>
            </w:r>
          </w:p>
        </w:tc>
      </w:tr>
      <w:tr>
        <w:trPr>
          <w:trHeight w:val="230"/>
        </w:trPr>
        <w:tc>
          <w:tcPr>
            <w:tcW w:w="6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23"/>
        </w:trPr>
        <w:tc>
          <w:tcPr>
            <w:tcW w:w="60" w:type="dxa"/>
            <w:vAlign w:val="bottom"/>
            <w:tcBorders>
              <w:top w:val="single" w:sz="8" w:color="CDEAFA"/>
              <w:bottom w:val="single" w:sz="8" w:color="CDEAFA"/>
            </w:tcBorders>
            <w:shd w:val="clear" w:color="auto" w:fill="CDEAFA"/>
          </w:tcPr>
          <w:p>
            <w:pPr>
              <w:spacing w:after="0"/>
              <w:rPr>
                <w:sz w:val="19"/>
                <w:szCs w:val="19"/>
                <w:color w:val="auto"/>
              </w:rPr>
            </w:pPr>
          </w:p>
        </w:tc>
        <w:tc>
          <w:tcPr>
            <w:tcW w:w="1900" w:type="dxa"/>
            <w:vAlign w:val="bottom"/>
            <w:tcBorders>
              <w:top w:val="single" w:sz="8" w:color="CDEAFA"/>
              <w:bottom w:val="single" w:sz="8" w:color="CDEAFA"/>
            </w:tcBorders>
            <w:shd w:val="clear" w:color="auto" w:fill="CDEAFA"/>
          </w:tcPr>
          <w:p>
            <w:pPr>
              <w:spacing w:after="0"/>
              <w:rPr>
                <w:sz w:val="19"/>
                <w:szCs w:val="19"/>
                <w:color w:val="auto"/>
              </w:rPr>
            </w:pPr>
          </w:p>
        </w:tc>
        <w:tc>
          <w:tcPr>
            <w:tcW w:w="2780" w:type="dxa"/>
            <w:vAlign w:val="bottom"/>
            <w:tcBorders>
              <w:top w:val="single" w:sz="8" w:color="CDEAFA"/>
              <w:bottom w:val="single" w:sz="8" w:color="CDEAFA"/>
            </w:tcBorders>
            <w:shd w:val="clear" w:color="auto" w:fill="CDEAFA"/>
          </w:tcPr>
          <w:p>
            <w:pPr>
              <w:spacing w:after="0"/>
              <w:rPr>
                <w:sz w:val="19"/>
                <w:szCs w:val="19"/>
                <w:color w:val="auto"/>
              </w:rPr>
            </w:pPr>
          </w:p>
        </w:tc>
        <w:tc>
          <w:tcPr>
            <w:tcW w:w="280" w:type="dxa"/>
            <w:vAlign w:val="bottom"/>
            <w:tcBorders>
              <w:top w:val="single" w:sz="8" w:color="auto"/>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8,428.7</w:t>
            </w:r>
          </w:p>
        </w:tc>
        <w:tc>
          <w:tcPr>
            <w:tcW w:w="220" w:type="dxa"/>
            <w:vAlign w:val="bottom"/>
            <w:tcBorders>
              <w:top w:val="single" w:sz="8" w:color="CDEAFA"/>
              <w:bottom w:val="single" w:sz="8" w:color="CDEAFA"/>
            </w:tcBorders>
            <w:shd w:val="clear" w:color="auto" w:fill="CDEAFA"/>
          </w:tcPr>
          <w:p>
            <w:pPr>
              <w:spacing w:after="0"/>
              <w:rPr>
                <w:sz w:val="19"/>
                <w:szCs w:val="19"/>
                <w:color w:val="auto"/>
              </w:rPr>
            </w:pPr>
          </w:p>
        </w:tc>
        <w:tc>
          <w:tcPr>
            <w:tcW w:w="1020" w:type="dxa"/>
            <w:vAlign w:val="bottom"/>
            <w:tcBorders>
              <w:top w:val="single" w:sz="8" w:color="auto"/>
              <w:bottom w:val="single" w:sz="8" w:color="auto"/>
            </w:tcBorders>
            <w:shd w:val="clear" w:color="auto" w:fill="CDEAFA"/>
          </w:tcPr>
          <w:p>
            <w:pPr>
              <w:jc w:val="right"/>
              <w:ind w:right="69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w w:val="96"/>
              </w:rPr>
              <w:t>10.8</w:t>
            </w:r>
          </w:p>
        </w:tc>
        <w:tc>
          <w:tcPr>
            <w:tcW w:w="220" w:type="dxa"/>
            <w:vAlign w:val="bottom"/>
            <w:tcBorders>
              <w:top w:val="single" w:sz="8" w:color="CDEAFA"/>
              <w:bottom w:val="single" w:sz="8" w:color="CDEAFA"/>
            </w:tcBorders>
            <w:shd w:val="clear" w:color="auto" w:fill="CDEAFA"/>
          </w:tcPr>
          <w:p>
            <w:pPr>
              <w:spacing w:after="0"/>
              <w:rPr>
                <w:sz w:val="19"/>
                <w:szCs w:val="19"/>
                <w:color w:val="auto"/>
              </w:rPr>
            </w:pPr>
          </w:p>
        </w:tc>
        <w:tc>
          <w:tcPr>
            <w:tcW w:w="380" w:type="dxa"/>
            <w:vAlign w:val="bottom"/>
            <w:tcBorders>
              <w:top w:val="single" w:sz="8" w:color="auto"/>
              <w:bottom w:val="single" w:sz="8" w:color="auto"/>
            </w:tcBorders>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Borders>
              <w:top w:val="single" w:sz="8" w:color="CDEAFA"/>
              <w:bottom w:val="single" w:sz="8" w:color="CDEAFA"/>
            </w:tcBorders>
            <w:shd w:val="clear" w:color="auto" w:fill="CDEAFA"/>
          </w:tcPr>
          <w:p>
            <w:pPr>
              <w:spacing w:after="0"/>
              <w:rPr>
                <w:sz w:val="19"/>
                <w:szCs w:val="19"/>
                <w:color w:val="auto"/>
              </w:rPr>
            </w:pPr>
          </w:p>
        </w:tc>
        <w:tc>
          <w:tcPr>
            <w:tcW w:w="360" w:type="dxa"/>
            <w:vAlign w:val="bottom"/>
            <w:tcBorders>
              <w:top w:val="single" w:sz="8" w:color="auto"/>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8,397.2</w:t>
            </w:r>
          </w:p>
        </w:tc>
      </w:tr>
      <w:tr>
        <w:trPr>
          <w:trHeight w:val="20"/>
        </w:trPr>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60" w:type="dxa"/>
            <w:vAlign w:val="bottom"/>
            <w:tcBorders>
              <w:bottom w:val="single" w:sz="8" w:color="CDEAFA"/>
            </w:tcBorders>
            <w:shd w:val="clear" w:color="auto" w:fill="CDEAFA"/>
          </w:tcPr>
          <w:p>
            <w:pPr>
              <w:spacing w:after="0"/>
              <w:rPr>
                <w:sz w:val="17"/>
                <w:szCs w:val="17"/>
                <w:color w:val="auto"/>
              </w:rPr>
            </w:pPr>
          </w:p>
        </w:tc>
        <w:tc>
          <w:tcPr>
            <w:tcW w:w="1900" w:type="dxa"/>
            <w:vAlign w:val="bottom"/>
            <w:tcBorders>
              <w:bottom w:val="single" w:sz="8" w:color="auto"/>
            </w:tcBorders>
            <w:shd w:val="clear" w:color="auto" w:fill="CDEAFA"/>
          </w:tcPr>
          <w:p>
            <w:pPr>
              <w:spacing w:after="0" w:line="176" w:lineRule="exact"/>
              <w:rPr>
                <w:sz w:val="20"/>
                <w:szCs w:val="20"/>
                <w:color w:val="auto"/>
              </w:rPr>
            </w:pPr>
            <w:r>
              <w:rPr>
                <w:rFonts w:ascii="Arial" w:cs="Arial" w:eastAsia="Arial" w:hAnsi="Arial"/>
                <w:sz w:val="18"/>
                <w:szCs w:val="18"/>
                <w:b w:val="1"/>
                <w:bCs w:val="1"/>
                <w:color w:val="auto"/>
                <w:w w:val="88"/>
              </w:rPr>
              <w:t>As of December 31, 2020</w:t>
            </w:r>
          </w:p>
        </w:tc>
        <w:tc>
          <w:tcPr>
            <w:tcW w:w="2780" w:type="dxa"/>
            <w:vAlign w:val="bottom"/>
            <w:tcBorders>
              <w:bottom w:val="single" w:sz="8" w:color="CDEAFA"/>
            </w:tcBorders>
            <w:shd w:val="clear" w:color="auto" w:fill="CDEAFA"/>
          </w:tcPr>
          <w:p>
            <w:pPr>
              <w:spacing w:after="0"/>
              <w:rPr>
                <w:sz w:val="17"/>
                <w:szCs w:val="17"/>
                <w:color w:val="auto"/>
              </w:rPr>
            </w:pPr>
          </w:p>
        </w:tc>
        <w:tc>
          <w:tcPr>
            <w:tcW w:w="280" w:type="dxa"/>
            <w:vAlign w:val="bottom"/>
            <w:tcBorders>
              <w:bottom w:val="single" w:sz="8" w:color="CDEAFA"/>
            </w:tcBorders>
            <w:shd w:val="clear" w:color="auto" w:fill="CDEAFA"/>
          </w:tcPr>
          <w:p>
            <w:pPr>
              <w:spacing w:after="0"/>
              <w:rPr>
                <w:sz w:val="17"/>
                <w:szCs w:val="17"/>
                <w:color w:val="auto"/>
              </w:rPr>
            </w:pPr>
          </w:p>
        </w:tc>
        <w:tc>
          <w:tcPr>
            <w:tcW w:w="1200" w:type="dxa"/>
            <w:vAlign w:val="bottom"/>
            <w:tcBorders>
              <w:bottom w:val="single" w:sz="8" w:color="CDEAFA"/>
            </w:tcBorders>
            <w:shd w:val="clear" w:color="auto" w:fill="CDEAFA"/>
          </w:tcPr>
          <w:p>
            <w:pPr>
              <w:spacing w:after="0"/>
              <w:rPr>
                <w:sz w:val="17"/>
                <w:szCs w:val="17"/>
                <w:color w:val="auto"/>
              </w:rPr>
            </w:pPr>
          </w:p>
        </w:tc>
        <w:tc>
          <w:tcPr>
            <w:tcW w:w="220" w:type="dxa"/>
            <w:vAlign w:val="bottom"/>
            <w:tcBorders>
              <w:bottom w:val="single" w:sz="8" w:color="CDEAFA"/>
            </w:tcBorders>
            <w:shd w:val="clear" w:color="auto" w:fill="CDEAFA"/>
          </w:tcPr>
          <w:p>
            <w:pPr>
              <w:spacing w:after="0"/>
              <w:rPr>
                <w:sz w:val="17"/>
                <w:szCs w:val="17"/>
                <w:color w:val="auto"/>
              </w:rPr>
            </w:pPr>
          </w:p>
        </w:tc>
        <w:tc>
          <w:tcPr>
            <w:tcW w:w="1020" w:type="dxa"/>
            <w:vAlign w:val="bottom"/>
            <w:tcBorders>
              <w:bottom w:val="single" w:sz="8" w:color="CDEAFA"/>
            </w:tcBorders>
            <w:shd w:val="clear" w:color="auto" w:fill="CDEAFA"/>
          </w:tcPr>
          <w:p>
            <w:pPr>
              <w:spacing w:after="0"/>
              <w:rPr>
                <w:sz w:val="17"/>
                <w:szCs w:val="17"/>
                <w:color w:val="auto"/>
              </w:rPr>
            </w:pPr>
          </w:p>
        </w:tc>
        <w:tc>
          <w:tcPr>
            <w:tcW w:w="460" w:type="dxa"/>
            <w:vAlign w:val="bottom"/>
            <w:tcBorders>
              <w:bottom w:val="single" w:sz="8" w:color="CDEAFA"/>
            </w:tcBorders>
            <w:shd w:val="clear" w:color="auto" w:fill="CDEAFA"/>
          </w:tcPr>
          <w:p>
            <w:pPr>
              <w:spacing w:after="0"/>
              <w:rPr>
                <w:sz w:val="17"/>
                <w:szCs w:val="17"/>
                <w:color w:val="auto"/>
              </w:rPr>
            </w:pPr>
          </w:p>
        </w:tc>
        <w:tc>
          <w:tcPr>
            <w:tcW w:w="220" w:type="dxa"/>
            <w:vAlign w:val="bottom"/>
            <w:tcBorders>
              <w:bottom w:val="single" w:sz="8" w:color="CDEAFA"/>
            </w:tcBorders>
            <w:shd w:val="clear" w:color="auto" w:fill="CDEAFA"/>
          </w:tcPr>
          <w:p>
            <w:pPr>
              <w:spacing w:after="0"/>
              <w:rPr>
                <w:sz w:val="17"/>
                <w:szCs w:val="17"/>
                <w:color w:val="auto"/>
              </w:rPr>
            </w:pPr>
          </w:p>
        </w:tc>
        <w:tc>
          <w:tcPr>
            <w:tcW w:w="380" w:type="dxa"/>
            <w:vAlign w:val="bottom"/>
            <w:tcBorders>
              <w:bottom w:val="single" w:sz="8" w:color="CDEAFA"/>
            </w:tcBorders>
            <w:shd w:val="clear" w:color="auto" w:fill="CDEAFA"/>
          </w:tcPr>
          <w:p>
            <w:pPr>
              <w:spacing w:after="0"/>
              <w:rPr>
                <w:sz w:val="17"/>
                <w:szCs w:val="17"/>
                <w:color w:val="auto"/>
              </w:rPr>
            </w:pPr>
          </w:p>
        </w:tc>
        <w:tc>
          <w:tcPr>
            <w:tcW w:w="1060" w:type="dxa"/>
            <w:vAlign w:val="bottom"/>
            <w:tcBorders>
              <w:bottom w:val="single" w:sz="8" w:color="CDEAFA"/>
            </w:tcBorders>
            <w:shd w:val="clear" w:color="auto" w:fill="CDEAFA"/>
          </w:tcPr>
          <w:p>
            <w:pPr>
              <w:spacing w:after="0"/>
              <w:rPr>
                <w:sz w:val="17"/>
                <w:szCs w:val="17"/>
                <w:color w:val="auto"/>
              </w:rPr>
            </w:pPr>
          </w:p>
        </w:tc>
        <w:tc>
          <w:tcPr>
            <w:tcW w:w="220" w:type="dxa"/>
            <w:vAlign w:val="bottom"/>
            <w:tcBorders>
              <w:bottom w:val="single" w:sz="8" w:color="CDEAFA"/>
            </w:tcBorders>
            <w:shd w:val="clear" w:color="auto" w:fill="CDEAFA"/>
          </w:tcPr>
          <w:p>
            <w:pPr>
              <w:spacing w:after="0"/>
              <w:rPr>
                <w:sz w:val="17"/>
                <w:szCs w:val="17"/>
                <w:color w:val="auto"/>
              </w:rPr>
            </w:pPr>
          </w:p>
        </w:tc>
        <w:tc>
          <w:tcPr>
            <w:tcW w:w="360" w:type="dxa"/>
            <w:vAlign w:val="bottom"/>
            <w:tcBorders>
              <w:bottom w:val="single" w:sz="8" w:color="CDEAFA"/>
            </w:tcBorders>
            <w:shd w:val="clear" w:color="auto" w:fill="CDEAFA"/>
          </w:tcPr>
          <w:p>
            <w:pPr>
              <w:spacing w:after="0"/>
              <w:rPr>
                <w:sz w:val="17"/>
                <w:szCs w:val="17"/>
                <w:color w:val="auto"/>
              </w:rPr>
            </w:pPr>
          </w:p>
        </w:tc>
        <w:tc>
          <w:tcPr>
            <w:tcW w:w="1080" w:type="dxa"/>
            <w:vAlign w:val="bottom"/>
            <w:tcBorders>
              <w:bottom w:val="single" w:sz="8" w:color="CDEAFA"/>
            </w:tcBorders>
            <w:shd w:val="clear" w:color="auto" w:fill="CDEAFA"/>
          </w:tcPr>
          <w:p>
            <w:pPr>
              <w:spacing w:after="0"/>
              <w:rPr>
                <w:sz w:val="17"/>
                <w:szCs w:val="17"/>
                <w:color w:val="auto"/>
              </w:rPr>
            </w:pPr>
          </w:p>
        </w:tc>
      </w:tr>
      <w:tr>
        <w:trPr>
          <w:trHeight w:val="216"/>
        </w:trPr>
        <w:tc>
          <w:tcPr>
            <w:tcW w:w="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3,053.0</w:t>
            </w:r>
          </w:p>
        </w:tc>
        <w:tc>
          <w:tcPr>
            <w:tcW w:w="220" w:type="dxa"/>
            <w:vAlign w:val="bottom"/>
          </w:tcPr>
          <w:p>
            <w:pPr>
              <w:spacing w:after="0"/>
              <w:rPr>
                <w:sz w:val="18"/>
                <w:szCs w:val="18"/>
                <w:color w:val="auto"/>
              </w:rPr>
            </w:pPr>
          </w:p>
        </w:tc>
        <w:tc>
          <w:tcPr>
            <w:tcW w:w="102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37.5</w:t>
            </w:r>
          </w:p>
        </w:tc>
        <w:tc>
          <w:tcPr>
            <w:tcW w:w="220" w:type="dxa"/>
            <w:vAlign w:val="bottom"/>
          </w:tcPr>
          <w:p>
            <w:pPr>
              <w:spacing w:after="0"/>
              <w:rPr>
                <w:sz w:val="18"/>
                <w:szCs w:val="18"/>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3,090.3</w:t>
            </w:r>
          </w:p>
        </w:tc>
      </w:tr>
      <w:tr>
        <w:trPr>
          <w:trHeight w:val="216"/>
        </w:trPr>
        <w:tc>
          <w:tcPr>
            <w:tcW w:w="60" w:type="dxa"/>
            <w:vAlign w:val="bottom"/>
            <w:shd w:val="clear" w:color="auto" w:fill="CDEAFA"/>
          </w:tcPr>
          <w:p>
            <w:pPr>
              <w:spacing w:after="0"/>
              <w:rPr>
                <w:sz w:val="18"/>
                <w:szCs w:val="18"/>
                <w:color w:val="auto"/>
              </w:rPr>
            </w:pPr>
          </w:p>
        </w:tc>
        <w:tc>
          <w:tcPr>
            <w:tcW w:w="46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shd w:val="clear" w:color="auto" w:fill="CDEAFA"/>
          </w:tcPr>
          <w:p>
            <w:pPr>
              <w:spacing w:after="0"/>
              <w:rPr>
                <w:sz w:val="18"/>
                <w:szCs w:val="18"/>
                <w:color w:val="auto"/>
              </w:rPr>
            </w:pPr>
          </w:p>
        </w:tc>
        <w:tc>
          <w:tcPr>
            <w:tcW w:w="12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127.6</w:t>
            </w:r>
          </w:p>
        </w:tc>
        <w:tc>
          <w:tcPr>
            <w:tcW w:w="220" w:type="dxa"/>
            <w:vAlign w:val="bottom"/>
            <w:shd w:val="clear" w:color="auto" w:fill="CDEAFA"/>
          </w:tcPr>
          <w:p>
            <w:pPr>
              <w:spacing w:after="0"/>
              <w:rPr>
                <w:sz w:val="18"/>
                <w:szCs w:val="18"/>
                <w:color w:val="auto"/>
              </w:rPr>
            </w:pPr>
          </w:p>
        </w:tc>
        <w:tc>
          <w:tcPr>
            <w:tcW w:w="1020" w:type="dxa"/>
            <w:vAlign w:val="bottom"/>
            <w:shd w:val="clear" w:color="auto" w:fill="CDEAFA"/>
          </w:tcPr>
          <w:p>
            <w:pPr>
              <w:spacing w:after="0"/>
              <w:rPr>
                <w:sz w:val="18"/>
                <w:szCs w:val="18"/>
                <w:color w:val="auto"/>
              </w:rPr>
            </w:pPr>
          </w:p>
        </w:tc>
        <w:tc>
          <w:tcPr>
            <w:tcW w:w="4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spacing w:after="0"/>
              <w:rPr>
                <w:sz w:val="18"/>
                <w:szCs w:val="18"/>
                <w:color w:val="auto"/>
              </w:rPr>
            </w:pPr>
          </w:p>
        </w:tc>
        <w:tc>
          <w:tcPr>
            <w:tcW w:w="128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DEAFA"/>
          </w:tcPr>
          <w:p>
            <w:pPr>
              <w:spacing w:after="0"/>
              <w:rPr>
                <w:sz w:val="18"/>
                <w:szCs w:val="18"/>
                <w:color w:val="auto"/>
              </w:rPr>
            </w:pPr>
          </w:p>
        </w:tc>
        <w:tc>
          <w:tcPr>
            <w:tcW w:w="10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128.9</w:t>
            </w:r>
          </w:p>
        </w:tc>
      </w:tr>
      <w:tr>
        <w:trPr>
          <w:trHeight w:val="216"/>
        </w:trPr>
        <w:tc>
          <w:tcPr>
            <w:tcW w:w="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Sovereign bonds</w:t>
            </w:r>
          </w:p>
        </w:tc>
        <w:tc>
          <w:tcPr>
            <w:tcW w:w="2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66.3</w:t>
            </w:r>
          </w:p>
        </w:tc>
      </w:tr>
      <w:tr>
        <w:trPr>
          <w:trHeight w:val="216"/>
        </w:trPr>
        <w:tc>
          <w:tcPr>
            <w:tcW w:w="60" w:type="dxa"/>
            <w:vAlign w:val="bottom"/>
            <w:shd w:val="clear" w:color="auto" w:fill="CDEAFA"/>
          </w:tcPr>
          <w:p>
            <w:pPr>
              <w:spacing w:after="0"/>
              <w:rPr>
                <w:sz w:val="18"/>
                <w:szCs w:val="18"/>
                <w:color w:val="auto"/>
              </w:rPr>
            </w:pPr>
          </w:p>
        </w:tc>
        <w:tc>
          <w:tcPr>
            <w:tcW w:w="468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DEAFA"/>
          </w:tcPr>
          <w:p>
            <w:pPr>
              <w:spacing w:after="0"/>
              <w:rPr>
                <w:sz w:val="18"/>
                <w:szCs w:val="18"/>
                <w:color w:val="auto"/>
              </w:rPr>
            </w:pPr>
          </w:p>
        </w:tc>
        <w:tc>
          <w:tcPr>
            <w:tcW w:w="12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276.0</w:t>
            </w:r>
          </w:p>
        </w:tc>
        <w:tc>
          <w:tcPr>
            <w:tcW w:w="220" w:type="dxa"/>
            <w:vAlign w:val="bottom"/>
            <w:shd w:val="clear" w:color="auto" w:fill="CDEAFA"/>
          </w:tcPr>
          <w:p>
            <w:pPr>
              <w:spacing w:after="0"/>
              <w:rPr>
                <w:sz w:val="18"/>
                <w:szCs w:val="18"/>
                <w:color w:val="auto"/>
              </w:rPr>
            </w:pPr>
          </w:p>
        </w:tc>
        <w:tc>
          <w:tcPr>
            <w:tcW w:w="1020" w:type="dxa"/>
            <w:vAlign w:val="bottom"/>
            <w:shd w:val="clear" w:color="auto" w:fill="CDEAFA"/>
          </w:tcPr>
          <w:p>
            <w:pPr>
              <w:spacing w:after="0"/>
              <w:rPr>
                <w:sz w:val="18"/>
                <w:szCs w:val="18"/>
                <w:color w:val="auto"/>
              </w:rPr>
            </w:pPr>
          </w:p>
        </w:tc>
        <w:tc>
          <w:tcPr>
            <w:tcW w:w="4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spacing w:after="0"/>
              <w:rPr>
                <w:sz w:val="18"/>
                <w:szCs w:val="18"/>
                <w:color w:val="auto"/>
              </w:rPr>
            </w:pPr>
          </w:p>
        </w:tc>
        <w:tc>
          <w:tcPr>
            <w:tcW w:w="128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DEAFA"/>
          </w:tcPr>
          <w:p>
            <w:pPr>
              <w:spacing w:after="0"/>
              <w:rPr>
                <w:sz w:val="18"/>
                <w:szCs w:val="18"/>
                <w:color w:val="auto"/>
              </w:rPr>
            </w:pPr>
          </w:p>
        </w:tc>
        <w:tc>
          <w:tcPr>
            <w:tcW w:w="10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276.1</w:t>
            </w:r>
          </w:p>
        </w:tc>
      </w:tr>
      <w:tr>
        <w:trPr>
          <w:trHeight w:val="230"/>
        </w:trPr>
        <w:tc>
          <w:tcPr>
            <w:tcW w:w="6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127.4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127.5</w:t>
            </w:r>
          </w:p>
        </w:tc>
      </w:tr>
      <w:tr>
        <w:trPr>
          <w:trHeight w:val="223"/>
        </w:trPr>
        <w:tc>
          <w:tcPr>
            <w:tcW w:w="60" w:type="dxa"/>
            <w:vAlign w:val="bottom"/>
            <w:tcBorders>
              <w:top w:val="single" w:sz="8" w:color="CDEAFA"/>
              <w:bottom w:val="single" w:sz="8" w:color="CDEAFA"/>
            </w:tcBorders>
            <w:shd w:val="clear" w:color="auto" w:fill="CDEAFA"/>
          </w:tcPr>
          <w:p>
            <w:pPr>
              <w:spacing w:after="0"/>
              <w:rPr>
                <w:sz w:val="19"/>
                <w:szCs w:val="19"/>
                <w:color w:val="auto"/>
              </w:rPr>
            </w:pPr>
          </w:p>
        </w:tc>
        <w:tc>
          <w:tcPr>
            <w:tcW w:w="1900" w:type="dxa"/>
            <w:vAlign w:val="bottom"/>
            <w:tcBorders>
              <w:top w:val="single" w:sz="8" w:color="CDEAFA"/>
              <w:bottom w:val="single" w:sz="8" w:color="CDEAFA"/>
            </w:tcBorders>
            <w:shd w:val="clear" w:color="auto" w:fill="CDEAFA"/>
          </w:tcPr>
          <w:p>
            <w:pPr>
              <w:spacing w:after="0"/>
              <w:rPr>
                <w:sz w:val="19"/>
                <w:szCs w:val="19"/>
                <w:color w:val="auto"/>
              </w:rPr>
            </w:pPr>
          </w:p>
        </w:tc>
        <w:tc>
          <w:tcPr>
            <w:tcW w:w="2780" w:type="dxa"/>
            <w:vAlign w:val="bottom"/>
            <w:tcBorders>
              <w:top w:val="single" w:sz="8" w:color="CDEAFA"/>
              <w:bottom w:val="single" w:sz="8" w:color="CDEAFA"/>
            </w:tcBorders>
            <w:shd w:val="clear" w:color="auto" w:fill="CDEAFA"/>
          </w:tcPr>
          <w:p>
            <w:pPr>
              <w:spacing w:after="0"/>
              <w:rPr>
                <w:sz w:val="19"/>
                <w:szCs w:val="19"/>
                <w:color w:val="auto"/>
              </w:rPr>
            </w:pPr>
          </w:p>
        </w:tc>
        <w:tc>
          <w:tcPr>
            <w:tcW w:w="280" w:type="dxa"/>
            <w:vAlign w:val="bottom"/>
            <w:tcBorders>
              <w:top w:val="single" w:sz="8" w:color="auto"/>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3,649.2</w:t>
            </w:r>
          </w:p>
        </w:tc>
        <w:tc>
          <w:tcPr>
            <w:tcW w:w="220" w:type="dxa"/>
            <w:vAlign w:val="bottom"/>
            <w:tcBorders>
              <w:top w:val="single" w:sz="8" w:color="CDEAFA"/>
              <w:bottom w:val="single" w:sz="8" w:color="CDEAFA"/>
            </w:tcBorders>
            <w:shd w:val="clear" w:color="auto" w:fill="CDEAFA"/>
          </w:tcPr>
          <w:p>
            <w:pPr>
              <w:spacing w:after="0"/>
              <w:rPr>
                <w:sz w:val="19"/>
                <w:szCs w:val="19"/>
                <w:color w:val="auto"/>
              </w:rPr>
            </w:pPr>
          </w:p>
        </w:tc>
        <w:tc>
          <w:tcPr>
            <w:tcW w:w="1020" w:type="dxa"/>
            <w:vAlign w:val="bottom"/>
            <w:tcBorders>
              <w:top w:val="single" w:sz="8" w:color="auto"/>
              <w:bottom w:val="single" w:sz="8" w:color="auto"/>
            </w:tcBorders>
            <w:shd w:val="clear" w:color="auto" w:fill="CDEAFA"/>
          </w:tcPr>
          <w:p>
            <w:pPr>
              <w:jc w:val="right"/>
              <w:ind w:right="69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w w:val="96"/>
              </w:rPr>
              <w:t>40.1</w:t>
            </w:r>
          </w:p>
        </w:tc>
        <w:tc>
          <w:tcPr>
            <w:tcW w:w="220" w:type="dxa"/>
            <w:vAlign w:val="bottom"/>
            <w:tcBorders>
              <w:top w:val="single" w:sz="8" w:color="CDEAFA"/>
              <w:bottom w:val="single" w:sz="8" w:color="CDEAFA"/>
            </w:tcBorders>
            <w:shd w:val="clear" w:color="auto" w:fill="CDEAFA"/>
          </w:tcPr>
          <w:p>
            <w:pPr>
              <w:spacing w:after="0"/>
              <w:rPr>
                <w:sz w:val="19"/>
                <w:szCs w:val="19"/>
                <w:color w:val="auto"/>
              </w:rPr>
            </w:pPr>
          </w:p>
        </w:tc>
        <w:tc>
          <w:tcPr>
            <w:tcW w:w="380" w:type="dxa"/>
            <w:vAlign w:val="bottom"/>
            <w:tcBorders>
              <w:top w:val="single" w:sz="8" w:color="auto"/>
              <w:bottom w:val="single" w:sz="8" w:color="auto"/>
            </w:tcBorders>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top w:val="single" w:sz="8" w:color="CDEAFA"/>
              <w:bottom w:val="single" w:sz="8" w:color="CDEAFA"/>
            </w:tcBorders>
            <w:shd w:val="clear" w:color="auto" w:fill="CDEAFA"/>
          </w:tcPr>
          <w:p>
            <w:pPr>
              <w:spacing w:after="0"/>
              <w:rPr>
                <w:sz w:val="19"/>
                <w:szCs w:val="19"/>
                <w:color w:val="auto"/>
              </w:rPr>
            </w:pPr>
          </w:p>
        </w:tc>
        <w:tc>
          <w:tcPr>
            <w:tcW w:w="360" w:type="dxa"/>
            <w:vAlign w:val="bottom"/>
            <w:tcBorders>
              <w:top w:val="single" w:sz="8" w:color="auto"/>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3,689.1</w:t>
            </w:r>
          </w:p>
        </w:tc>
      </w:tr>
      <w:tr>
        <w:trPr>
          <w:trHeight w:val="20"/>
        </w:trPr>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December 31, 2021 mature at various dates through November 2026. The fair values of available-for-sale debt securities by contractual maturity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1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As of December 31,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60" w:type="dxa"/>
            <w:vAlign w:val="bottom"/>
            <w:tcBorders>
              <w:bottom w:val="single" w:sz="8" w:color="CDEAFA"/>
            </w:tcBorders>
            <w:vMerge w:val="continue"/>
          </w:tcPr>
          <w:p>
            <w:pPr>
              <w:spacing w:after="0"/>
              <w:rPr>
                <w:sz w:val="19"/>
                <w:szCs w:val="19"/>
                <w:color w:val="auto"/>
              </w:rPr>
            </w:pPr>
          </w:p>
        </w:tc>
        <w:tc>
          <w:tcPr>
            <w:tcW w:w="190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60" w:type="dxa"/>
            <w:vAlign w:val="bottom"/>
            <w:shd w:val="clear" w:color="auto" w:fill="CDEAFA"/>
          </w:tcPr>
          <w:p>
            <w:pPr>
              <w:ind w:left="40"/>
              <w:spacing w:after="0"/>
              <w:rPr>
                <w:sz w:val="20"/>
                <w:szCs w:val="20"/>
                <w:color w:val="auto"/>
              </w:rPr>
            </w:pPr>
            <w:r>
              <w:rPr>
                <w:rFonts w:ascii="Arial" w:cs="Arial" w:eastAsia="Arial" w:hAnsi="Arial"/>
                <w:sz w:val="18"/>
                <w:szCs w:val="18"/>
                <w:color w:val="auto"/>
              </w:rPr>
              <w:t>Maturities within one year</w:t>
            </w:r>
          </w:p>
        </w:tc>
        <w:tc>
          <w:tcPr>
            <w:tcW w:w="1900" w:type="dxa"/>
            <w:vAlign w:val="bottom"/>
            <w:shd w:val="clear" w:color="auto" w:fill="CDEAFA"/>
          </w:tcPr>
          <w:p>
            <w:pPr>
              <w:spacing w:after="0"/>
              <w:rPr>
                <w:sz w:val="18"/>
                <w:szCs w:val="18"/>
                <w:color w:val="auto"/>
              </w:rPr>
            </w:pPr>
          </w:p>
        </w:tc>
        <w:tc>
          <w:tcPr>
            <w:tcW w:w="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2,809.1</w:t>
            </w:r>
          </w:p>
        </w:tc>
        <w:tc>
          <w:tcPr>
            <w:tcW w:w="160" w:type="dxa"/>
            <w:vAlign w:val="bottom"/>
            <w:shd w:val="clear" w:color="auto" w:fill="CDEAFA"/>
          </w:tcPr>
          <w:p>
            <w:pPr>
              <w:spacing w:after="0"/>
              <w:rPr>
                <w:sz w:val="18"/>
                <w:szCs w:val="18"/>
                <w:color w:val="auto"/>
              </w:rPr>
            </w:pPr>
          </w:p>
        </w:tc>
        <w:tc>
          <w:tcPr>
            <w:tcW w:w="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1,393.3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460" w:type="dxa"/>
            <w:vAlign w:val="bottom"/>
            <w:tcBorders>
              <w:bottom w:val="single" w:sz="8" w:color="CDEAFA"/>
            </w:tcBorders>
          </w:tcPr>
          <w:p>
            <w:pPr>
              <w:ind w:left="40"/>
              <w:spacing w:after="0"/>
              <w:rPr>
                <w:sz w:val="20"/>
                <w:szCs w:val="20"/>
                <w:color w:val="auto"/>
              </w:rPr>
            </w:pPr>
            <w:r>
              <w:rPr>
                <w:rFonts w:ascii="Arial" w:cs="Arial" w:eastAsia="Arial" w:hAnsi="Arial"/>
                <w:sz w:val="18"/>
                <w:szCs w:val="18"/>
                <w:color w:val="auto"/>
                <w:w w:val="99"/>
              </w:rPr>
              <w:t>Maturities after one year through five years</w:t>
            </w:r>
          </w:p>
        </w:tc>
        <w:tc>
          <w:tcPr>
            <w:tcW w:w="190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5,588.1</w:t>
            </w:r>
          </w:p>
        </w:tc>
        <w:tc>
          <w:tcPr>
            <w:tcW w:w="16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60" w:type="dxa"/>
            <w:vAlign w:val="bottom"/>
            <w:tcBorders>
              <w:bottom w:val="single" w:sz="8" w:color="CDEAFA"/>
            </w:tcBorders>
            <w:shd w:val="clear" w:color="auto" w:fill="CDEAFA"/>
          </w:tcPr>
          <w:p>
            <w:pPr>
              <w:spacing w:after="0"/>
              <w:rPr>
                <w:sz w:val="19"/>
                <w:szCs w:val="19"/>
                <w:color w:val="auto"/>
              </w:rPr>
            </w:pPr>
          </w:p>
        </w:tc>
        <w:tc>
          <w:tcPr>
            <w:tcW w:w="1900" w:type="dxa"/>
            <w:vAlign w:val="bottom"/>
            <w:tcBorders>
              <w:bottom w:val="single" w:sz="8" w:color="CDEAFA"/>
            </w:tcBorders>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8,397.2</w:t>
            </w:r>
          </w:p>
        </w:tc>
        <w:tc>
          <w:tcPr>
            <w:tcW w:w="160" w:type="dxa"/>
            <w:vAlign w:val="bottom"/>
            <w:tcBorders>
              <w:bottom w:val="single" w:sz="8" w:color="CDEAFA"/>
            </w:tcBorders>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3,689.1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80" w:type="dxa"/>
            <w:vAlign w:val="bottom"/>
            <w:gridSpan w:val="2"/>
          </w:tcPr>
          <w:p>
            <w:pPr>
              <w:jc w:val="right"/>
              <w:ind w:right="1450"/>
              <w:spacing w:after="0"/>
              <w:rPr>
                <w:sz w:val="20"/>
                <w:szCs w:val="20"/>
                <w:color w:val="auto"/>
              </w:rPr>
            </w:pPr>
            <w:r>
              <w:rPr>
                <w:rFonts w:ascii="Arial" w:cs="Arial" w:eastAsia="Arial" w:hAnsi="Arial"/>
                <w:sz w:val="18"/>
                <w:szCs w:val="18"/>
                <w:color w:val="auto"/>
              </w:rPr>
              <w:t>F-22</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00" w:type="dxa"/>
            <w:vAlign w:val="bottom"/>
            <w:tcBorders>
              <w:bottom w:val="single" w:sz="8" w:color="C0C0C0"/>
            </w:tcBorders>
          </w:tcPr>
          <w:p>
            <w:pPr>
              <w:spacing w:after="0"/>
              <w:rPr>
                <w:sz w:val="21"/>
                <w:szCs w:val="21"/>
                <w:color w:val="auto"/>
              </w:rPr>
            </w:pPr>
          </w:p>
        </w:tc>
        <w:tc>
          <w:tcPr>
            <w:tcW w:w="3460" w:type="dxa"/>
            <w:vAlign w:val="bottom"/>
            <w:tcBorders>
              <w:bottom w:val="single" w:sz="8" w:color="C0C0C0"/>
            </w:tcBorders>
          </w:tcPr>
          <w:p>
            <w:pPr>
              <w:spacing w:after="0"/>
              <w:rPr>
                <w:sz w:val="21"/>
                <w:szCs w:val="21"/>
                <w:color w:val="auto"/>
              </w:rPr>
            </w:pPr>
          </w:p>
        </w:tc>
        <w:tc>
          <w:tcPr>
            <w:tcW w:w="190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168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9" w:right="339" w:bottom="1440" w:gutter="0" w:footer="0" w:header="0"/>
        </w:sectPr>
      </w:pPr>
    </w:p>
    <w:bookmarkStart w:id="130" w:name="page131"/>
    <w:bookmarkEnd w:id="130"/>
    <w:p>
      <w:pPr>
        <w:jc w:val="both"/>
        <w:spacing w:after="0" w:line="277" w:lineRule="auto"/>
        <w:rPr>
          <w:sz w:val="20"/>
          <w:szCs w:val="20"/>
          <w:color w:val="auto"/>
        </w:rPr>
      </w:pPr>
      <w:r>
        <w:rPr>
          <w:rFonts w:ascii="Arial" w:cs="Arial" w:eastAsia="Arial" w:hAnsi="Arial"/>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Pr>
          <w:p>
            <w:pPr>
              <w:spacing w:after="0"/>
              <w:rPr>
                <w:sz w:val="20"/>
                <w:szCs w:val="20"/>
                <w:color w:val="auto"/>
              </w:rPr>
            </w:pPr>
          </w:p>
        </w:tc>
        <w:tc>
          <w:tcPr>
            <w:tcW w:w="2400" w:type="dxa"/>
            <w:vAlign w:val="bottom"/>
            <w:gridSpan w:val="5"/>
          </w:tcPr>
          <w:p>
            <w:pPr>
              <w:ind w:left="100"/>
              <w:spacing w:after="0"/>
              <w:rPr>
                <w:sz w:val="20"/>
                <w:szCs w:val="20"/>
                <w:color w:val="auto"/>
              </w:rPr>
            </w:pPr>
            <w:r>
              <w:rPr>
                <w:rFonts w:ascii="Arial" w:cs="Arial" w:eastAsia="Arial" w:hAnsi="Arial"/>
                <w:sz w:val="18"/>
                <w:szCs w:val="18"/>
                <w:b w:val="1"/>
                <w:bCs w:val="1"/>
                <w:color w:val="auto"/>
              </w:rPr>
              <w:t>Less than 12 Months</w:t>
            </w:r>
          </w:p>
        </w:tc>
        <w:tc>
          <w:tcPr>
            <w:tcW w:w="2660" w:type="dxa"/>
            <w:vAlign w:val="bottom"/>
            <w:gridSpan w:val="4"/>
          </w:tcPr>
          <w:p>
            <w:pPr>
              <w:ind w:left="380"/>
              <w:spacing w:after="0"/>
              <w:rPr>
                <w:sz w:val="20"/>
                <w:szCs w:val="20"/>
                <w:color w:val="auto"/>
              </w:rPr>
            </w:pPr>
            <w:r>
              <w:rPr>
                <w:rFonts w:ascii="Arial" w:cs="Arial" w:eastAsia="Arial" w:hAnsi="Arial"/>
                <w:sz w:val="18"/>
                <w:szCs w:val="18"/>
                <w:b w:val="1"/>
                <w:bCs w:val="1"/>
                <w:color w:val="auto"/>
              </w:rPr>
              <w:t>12 Months or Greater</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320" w:type="dxa"/>
            <w:vAlign w:val="bottom"/>
            <w:gridSpan w:val="2"/>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140"/>
              <w:spacing w:after="0" w:line="191" w:lineRule="exact"/>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320" w:type="dxa"/>
            <w:vAlign w:val="bottom"/>
            <w:gridSpan w:val="2"/>
          </w:tcPr>
          <w:p>
            <w:pPr>
              <w:spacing w:after="0" w:line="174" w:lineRule="exact"/>
              <w:rPr>
                <w:sz w:val="20"/>
                <w:szCs w:val="20"/>
                <w:color w:val="auto"/>
              </w:rPr>
            </w:pPr>
            <w:r>
              <w:rPr>
                <w:rFonts w:ascii="Arial" w:cs="Arial" w:eastAsia="Arial" w:hAnsi="Arial"/>
                <w:sz w:val="18"/>
                <w:szCs w:val="18"/>
                <w:b w:val="1"/>
                <w:bCs w:val="1"/>
                <w:color w:val="auto"/>
              </w:rPr>
              <w:t>As of December 31, 2021</w:t>
            </w:r>
          </w:p>
        </w:tc>
        <w:tc>
          <w:tcPr>
            <w:tcW w:w="1380" w:type="dxa"/>
            <w:vAlign w:val="bottom"/>
            <w:gridSpan w:val="3"/>
          </w:tcPr>
          <w:p>
            <w:pPr>
              <w:ind w:left="180"/>
              <w:spacing w:after="0" w:line="174" w:lineRule="exact"/>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16"/>
                <w:szCs w:val="16"/>
                <w:color w:val="auto"/>
              </w:rPr>
            </w:pPr>
          </w:p>
        </w:tc>
        <w:tc>
          <w:tcPr>
            <w:tcW w:w="1060" w:type="dxa"/>
            <w:vAlign w:val="bottom"/>
            <w:gridSpan w:val="2"/>
          </w:tcPr>
          <w:p>
            <w:pPr>
              <w:ind w:left="80"/>
              <w:spacing w:after="0" w:line="174" w:lineRule="exact"/>
              <w:rPr>
                <w:sz w:val="20"/>
                <w:szCs w:val="20"/>
                <w:color w:val="auto"/>
              </w:rPr>
            </w:pPr>
            <w:r>
              <w:rPr>
                <w:rFonts w:ascii="Arial" w:cs="Arial" w:eastAsia="Arial" w:hAnsi="Arial"/>
                <w:sz w:val="18"/>
                <w:szCs w:val="18"/>
                <w:b w:val="1"/>
                <w:bCs w:val="1"/>
                <w:color w:val="auto"/>
              </w:rPr>
              <w:t>Loss</w:t>
            </w:r>
          </w:p>
        </w:tc>
        <w:tc>
          <w:tcPr>
            <w:tcW w:w="1340" w:type="dxa"/>
            <w:vAlign w:val="bottom"/>
            <w:gridSpan w:val="2"/>
          </w:tcPr>
          <w:p>
            <w:pPr>
              <w:ind w:left="160"/>
              <w:spacing w:after="0" w:line="174" w:lineRule="exact"/>
              <w:rPr>
                <w:sz w:val="20"/>
                <w:szCs w:val="20"/>
                <w:color w:val="auto"/>
              </w:rPr>
            </w:pPr>
            <w:r>
              <w:rPr>
                <w:rFonts w:ascii="Arial" w:cs="Arial" w:eastAsia="Arial" w:hAnsi="Arial"/>
                <w:sz w:val="18"/>
                <w:szCs w:val="18"/>
                <w:b w:val="1"/>
                <w:bCs w:val="1"/>
                <w:color w:val="auto"/>
              </w:rPr>
              <w:t>Fair Value</w:t>
            </w:r>
          </w:p>
        </w:tc>
        <w:tc>
          <w:tcPr>
            <w:tcW w:w="1320" w:type="dxa"/>
            <w:vAlign w:val="bottom"/>
            <w:gridSpan w:val="2"/>
          </w:tcPr>
          <w:p>
            <w:pPr>
              <w:ind w:left="380"/>
              <w:spacing w:after="0" w:line="174" w:lineRule="exact"/>
              <w:rPr>
                <w:sz w:val="20"/>
                <w:szCs w:val="20"/>
                <w:color w:val="auto"/>
              </w:rPr>
            </w:pPr>
            <w:r>
              <w:rPr>
                <w:rFonts w:ascii="Arial" w:cs="Arial" w:eastAsia="Arial" w:hAnsi="Arial"/>
                <w:sz w:val="18"/>
                <w:szCs w:val="18"/>
                <w:b w:val="1"/>
                <w:bCs w:val="1"/>
                <w:color w:val="auto"/>
              </w:rPr>
              <w:t>Loss</w:t>
            </w:r>
          </w:p>
        </w:tc>
        <w:tc>
          <w:tcPr>
            <w:tcW w:w="1020" w:type="dxa"/>
            <w:vAlign w:val="bottom"/>
            <w:gridSpan w:val="2"/>
          </w:tcPr>
          <w:p>
            <w:pPr>
              <w:jc w:val="right"/>
              <w:spacing w:after="0" w:line="174" w:lineRule="exact"/>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290"/>
              <w:spacing w:after="0" w:line="174" w:lineRule="exact"/>
              <w:rPr>
                <w:sz w:val="20"/>
                <w:szCs w:val="20"/>
                <w:color w:val="auto"/>
              </w:rPr>
            </w:pPr>
            <w:r>
              <w:rPr>
                <w:rFonts w:ascii="Arial" w:cs="Arial" w:eastAsia="Arial" w:hAnsi="Arial"/>
                <w:sz w:val="18"/>
                <w:szCs w:val="18"/>
                <w:b w:val="1"/>
                <w:bCs w:val="1"/>
                <w:color w:val="auto"/>
                <w:w w:val="95"/>
              </w:rPr>
              <w:t>Loss</w:t>
            </w:r>
          </w:p>
        </w:tc>
        <w:tc>
          <w:tcPr>
            <w:tcW w:w="0" w:type="dxa"/>
            <w:vAlign w:val="bottom"/>
          </w:tcPr>
          <w:p>
            <w:pPr>
              <w:spacing w:after="0"/>
              <w:rPr>
                <w:sz w:val="1"/>
                <w:szCs w:val="1"/>
                <w:color w:val="auto"/>
              </w:rPr>
            </w:pPr>
          </w:p>
        </w:tc>
      </w:tr>
      <w:tr>
        <w:trPr>
          <w:trHeight w:val="34"/>
        </w:trPr>
        <w:tc>
          <w:tcPr>
            <w:tcW w:w="60" w:type="dxa"/>
            <w:vAlign w:val="bottom"/>
            <w:tcBorders>
              <w:bottom w:val="single" w:sz="8" w:color="CDEAFA"/>
            </w:tcBorders>
          </w:tcPr>
          <w:p>
            <w:pPr>
              <w:spacing w:after="0"/>
              <w:rPr>
                <w:sz w:val="2"/>
                <w:szCs w:val="2"/>
                <w:color w:val="auto"/>
              </w:rPr>
            </w:pPr>
          </w:p>
        </w:tc>
        <w:tc>
          <w:tcPr>
            <w:tcW w:w="1900" w:type="dxa"/>
            <w:vAlign w:val="bottom"/>
            <w:tcBorders>
              <w:top w:val="single" w:sz="8" w:color="auto"/>
              <w:bottom w:val="single" w:sz="8" w:color="CDEAFA"/>
            </w:tcBorders>
          </w:tcPr>
          <w:p>
            <w:pPr>
              <w:spacing w:after="0"/>
              <w:rPr>
                <w:sz w:val="2"/>
                <w:szCs w:val="2"/>
                <w:color w:val="auto"/>
              </w:rPr>
            </w:pPr>
          </w:p>
        </w:tc>
        <w:tc>
          <w:tcPr>
            <w:tcW w:w="1420" w:type="dxa"/>
            <w:vAlign w:val="bottom"/>
            <w:tcBorders>
              <w:bottom w:val="single" w:sz="8" w:color="CDEAFA"/>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DEAFA"/>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DEAFA"/>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DEAFA"/>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DEAFA"/>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DEAFA"/>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 w:type="dxa"/>
            <w:vAlign w:val="bottom"/>
            <w:shd w:val="clear" w:color="auto" w:fill="CDEAFA"/>
          </w:tcPr>
          <w:p>
            <w:pPr>
              <w:spacing w:after="0"/>
              <w:rPr>
                <w:sz w:val="18"/>
                <w:szCs w:val="18"/>
                <w:color w:val="auto"/>
              </w:rPr>
            </w:pPr>
          </w:p>
        </w:tc>
        <w:tc>
          <w:tcPr>
            <w:tcW w:w="33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DEAFA"/>
          </w:tcPr>
          <w:p>
            <w:pPr>
              <w:jc w:val="right"/>
              <w:ind w:right="50"/>
              <w:spacing w:after="0"/>
              <w:rPr>
                <w:sz w:val="20"/>
                <w:szCs w:val="20"/>
                <w:color w:val="auto"/>
              </w:rPr>
            </w:pPr>
            <w:r>
              <w:rPr>
                <w:rFonts w:ascii="Arial" w:cs="Arial" w:eastAsia="Arial" w:hAnsi="Arial"/>
                <w:sz w:val="18"/>
                <w:szCs w:val="18"/>
                <w:color w:val="auto"/>
              </w:rPr>
              <w:t>5,889.3</w:t>
            </w:r>
          </w:p>
        </w:tc>
        <w:tc>
          <w:tcPr>
            <w:tcW w:w="220" w:type="dxa"/>
            <w:vAlign w:val="bottom"/>
            <w:shd w:val="clear" w:color="auto" w:fill="CDEAFA"/>
          </w:tcPr>
          <w:p>
            <w:pPr>
              <w:spacing w:after="0"/>
              <w:rPr>
                <w:sz w:val="18"/>
                <w:szCs w:val="18"/>
                <w:color w:val="auto"/>
              </w:rPr>
            </w:pPr>
          </w:p>
        </w:tc>
        <w:tc>
          <w:tcPr>
            <w:tcW w:w="320" w:type="dxa"/>
            <w:vAlign w:val="bottom"/>
            <w:shd w:val="clear" w:color="auto" w:fill="CDEAFA"/>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DEAFA"/>
          </w:tcPr>
          <w:p>
            <w:pPr>
              <w:spacing w:after="0"/>
              <w:rPr>
                <w:sz w:val="18"/>
                <w:szCs w:val="18"/>
                <w:color w:val="auto"/>
              </w:rPr>
            </w:pPr>
          </w:p>
        </w:tc>
        <w:tc>
          <w:tcPr>
            <w:tcW w:w="1140" w:type="dxa"/>
            <w:vAlign w:val="bottom"/>
            <w:shd w:val="clear" w:color="auto" w:fill="CDEAFA"/>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DEAFA"/>
          </w:tcPr>
          <w:p>
            <w:pPr>
              <w:spacing w:after="0"/>
              <w:rPr>
                <w:sz w:val="18"/>
                <w:szCs w:val="18"/>
                <w:color w:val="auto"/>
              </w:rPr>
            </w:pPr>
          </w:p>
        </w:tc>
        <w:tc>
          <w:tcPr>
            <w:tcW w:w="1120" w:type="dxa"/>
            <w:vAlign w:val="bottom"/>
            <w:shd w:val="clear" w:color="auto" w:fill="CDEAFA"/>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DEAFA"/>
          </w:tcPr>
          <w:p>
            <w:pPr>
              <w:spacing w:after="0"/>
              <w:rPr>
                <w:sz w:val="18"/>
                <w:szCs w:val="18"/>
                <w:color w:val="auto"/>
              </w:rPr>
            </w:pPr>
          </w:p>
        </w:tc>
        <w:tc>
          <w:tcPr>
            <w:tcW w:w="34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5,889.3</w:t>
            </w:r>
          </w:p>
        </w:tc>
        <w:tc>
          <w:tcPr>
            <w:tcW w:w="10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300" w:type="dxa"/>
            <w:vAlign w:val="bottom"/>
            <w:shd w:val="clear" w:color="auto" w:fill="CDEAFA"/>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U.S. government and government agency</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obligations</w:t>
            </w:r>
          </w:p>
        </w:tc>
        <w:tc>
          <w:tcPr>
            <w:tcW w:w="36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0"/>
                <w:szCs w:val="20"/>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0" w:type="dxa"/>
            <w:vAlign w:val="bottom"/>
            <w:shd w:val="clear" w:color="auto" w:fill="CDEAFA"/>
          </w:tcPr>
          <w:p>
            <w:pPr>
              <w:spacing w:after="0"/>
              <w:rPr>
                <w:sz w:val="18"/>
                <w:szCs w:val="18"/>
                <w:color w:val="auto"/>
              </w:rPr>
            </w:pPr>
          </w:p>
        </w:tc>
        <w:tc>
          <w:tcPr>
            <w:tcW w:w="33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Sovereign bonds</w:t>
            </w:r>
          </w:p>
        </w:tc>
        <w:tc>
          <w:tcPr>
            <w:tcW w:w="360" w:type="dxa"/>
            <w:vAlign w:val="bottom"/>
            <w:shd w:val="clear" w:color="auto" w:fill="CDEAFA"/>
          </w:tcPr>
          <w:p>
            <w:pPr>
              <w:spacing w:after="0"/>
              <w:rPr>
                <w:sz w:val="18"/>
                <w:szCs w:val="18"/>
                <w:color w:val="auto"/>
              </w:rPr>
            </w:pPr>
          </w:p>
        </w:tc>
        <w:tc>
          <w:tcPr>
            <w:tcW w:w="800" w:type="dxa"/>
            <w:vAlign w:val="bottom"/>
            <w:shd w:val="clear" w:color="auto" w:fill="CDEAFA"/>
          </w:tcPr>
          <w:p>
            <w:pPr>
              <w:jc w:val="right"/>
              <w:ind w:right="50"/>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DEAFA"/>
          </w:tcPr>
          <w:p>
            <w:pPr>
              <w:spacing w:after="0"/>
              <w:rPr>
                <w:sz w:val="18"/>
                <w:szCs w:val="18"/>
                <w:color w:val="auto"/>
              </w:rPr>
            </w:pPr>
          </w:p>
        </w:tc>
        <w:tc>
          <w:tcPr>
            <w:tcW w:w="1340" w:type="dxa"/>
            <w:vAlign w:val="bottom"/>
            <w:gridSpan w:val="2"/>
            <w:shd w:val="clear" w:color="auto" w:fill="CDEAFA"/>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DEAFA"/>
          </w:tcPr>
          <w:p>
            <w:pPr>
              <w:ind w:left="8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DEAFA"/>
          </w:tcPr>
          <w:p>
            <w:pPr>
              <w:spacing w:after="0"/>
              <w:rPr>
                <w:sz w:val="18"/>
                <w:szCs w:val="18"/>
                <w:color w:val="auto"/>
              </w:rPr>
            </w:pP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8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295.7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 w:type="dxa"/>
            <w:vAlign w:val="bottom"/>
            <w:shd w:val="clear" w:color="auto" w:fill="CDEAFA"/>
          </w:tcPr>
          <w:p>
            <w:pPr>
              <w:spacing w:after="0"/>
              <w:rPr>
                <w:sz w:val="18"/>
                <w:szCs w:val="18"/>
                <w:color w:val="auto"/>
              </w:rPr>
            </w:pPr>
          </w:p>
        </w:tc>
        <w:tc>
          <w:tcPr>
            <w:tcW w:w="33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Certificates of deposit</w:t>
            </w:r>
          </w:p>
        </w:tc>
        <w:tc>
          <w:tcPr>
            <w:tcW w:w="360" w:type="dxa"/>
            <w:vAlign w:val="bottom"/>
            <w:shd w:val="clear" w:color="auto" w:fill="CDEAFA"/>
          </w:tcPr>
          <w:p>
            <w:pPr>
              <w:spacing w:after="0"/>
              <w:rPr>
                <w:sz w:val="18"/>
                <w:szCs w:val="18"/>
                <w:color w:val="auto"/>
              </w:rPr>
            </w:pPr>
          </w:p>
        </w:tc>
        <w:tc>
          <w:tcPr>
            <w:tcW w:w="800" w:type="dxa"/>
            <w:vAlign w:val="bottom"/>
            <w:shd w:val="clear" w:color="auto" w:fill="CDEAFA"/>
          </w:tcPr>
          <w:p>
            <w:pPr>
              <w:jc w:val="right"/>
              <w:ind w:right="50"/>
              <w:spacing w:after="0"/>
              <w:rPr>
                <w:sz w:val="20"/>
                <w:szCs w:val="20"/>
                <w:color w:val="auto"/>
              </w:rPr>
            </w:pPr>
            <w:r>
              <w:rPr>
                <w:rFonts w:ascii="Arial" w:cs="Arial" w:eastAsia="Arial" w:hAnsi="Arial"/>
                <w:sz w:val="18"/>
                <w:szCs w:val="18"/>
                <w:color w:val="auto"/>
              </w:rPr>
              <w:t>169.4</w:t>
            </w:r>
          </w:p>
        </w:tc>
        <w:tc>
          <w:tcPr>
            <w:tcW w:w="22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DEAFA"/>
          </w:tcPr>
          <w:p>
            <w:pPr>
              <w:spacing w:after="0"/>
              <w:rPr>
                <w:sz w:val="18"/>
                <w:szCs w:val="18"/>
                <w:color w:val="auto"/>
              </w:rPr>
            </w:pPr>
          </w:p>
        </w:tc>
        <w:tc>
          <w:tcPr>
            <w:tcW w:w="1340" w:type="dxa"/>
            <w:vAlign w:val="bottom"/>
            <w:gridSpan w:val="2"/>
            <w:shd w:val="clear" w:color="auto" w:fill="CDEAFA"/>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DEAFA"/>
          </w:tcPr>
          <w:p>
            <w:pPr>
              <w:ind w:left="8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DEAFA"/>
          </w:tcPr>
          <w:p>
            <w:pPr>
              <w:spacing w:after="0"/>
              <w:rPr>
                <w:sz w:val="18"/>
                <w:szCs w:val="18"/>
                <w:color w:val="auto"/>
              </w:rPr>
            </w:pP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8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36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0" w:type="dxa"/>
            <w:vAlign w:val="bottom"/>
            <w:tcBorders>
              <w:top w:val="single" w:sz="8" w:color="CDEAFA"/>
              <w:bottom w:val="single" w:sz="8" w:color="CDEAFA"/>
            </w:tcBorders>
            <w:shd w:val="clear" w:color="auto" w:fill="CDEAFA"/>
          </w:tcPr>
          <w:p>
            <w:pPr>
              <w:spacing w:after="0"/>
              <w:rPr>
                <w:sz w:val="19"/>
                <w:szCs w:val="19"/>
                <w:color w:val="auto"/>
              </w:rPr>
            </w:pPr>
          </w:p>
        </w:tc>
        <w:tc>
          <w:tcPr>
            <w:tcW w:w="1900" w:type="dxa"/>
            <w:vAlign w:val="bottom"/>
            <w:tcBorders>
              <w:top w:val="single" w:sz="8" w:color="CDEAFA"/>
              <w:bottom w:val="single" w:sz="8" w:color="CDEAFA"/>
            </w:tcBorders>
            <w:shd w:val="clear" w:color="auto" w:fill="CDEAFA"/>
          </w:tcPr>
          <w:p>
            <w:pPr>
              <w:spacing w:after="0"/>
              <w:rPr>
                <w:sz w:val="19"/>
                <w:szCs w:val="19"/>
                <w:color w:val="auto"/>
              </w:rPr>
            </w:pPr>
          </w:p>
        </w:tc>
        <w:tc>
          <w:tcPr>
            <w:tcW w:w="1420" w:type="dxa"/>
            <w:vAlign w:val="bottom"/>
            <w:tcBorders>
              <w:top w:val="single" w:sz="8" w:color="CDEAFA"/>
              <w:bottom w:val="single" w:sz="8" w:color="CDEAFA"/>
            </w:tcBorders>
            <w:shd w:val="clear" w:color="auto" w:fill="CDEAFA"/>
          </w:tcPr>
          <w:p>
            <w:pPr>
              <w:spacing w:after="0"/>
              <w:rPr>
                <w:sz w:val="19"/>
                <w:szCs w:val="19"/>
                <w:color w:val="auto"/>
              </w:rPr>
            </w:pPr>
          </w:p>
        </w:tc>
        <w:tc>
          <w:tcPr>
            <w:tcW w:w="360" w:type="dxa"/>
            <w:vAlign w:val="bottom"/>
            <w:tcBorders>
              <w:top w:val="single" w:sz="8" w:color="auto"/>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6,516.3</w:t>
            </w:r>
          </w:p>
        </w:tc>
        <w:tc>
          <w:tcPr>
            <w:tcW w:w="220" w:type="dxa"/>
            <w:vAlign w:val="bottom"/>
            <w:tcBorders>
              <w:top w:val="single" w:sz="8" w:color="CDEAFA"/>
              <w:bottom w:val="single" w:sz="8" w:color="CDEAFA"/>
            </w:tcBorders>
            <w:shd w:val="clear" w:color="auto" w:fill="CDEAFA"/>
          </w:tcPr>
          <w:p>
            <w:pPr>
              <w:spacing w:after="0"/>
              <w:rPr>
                <w:sz w:val="19"/>
                <w:szCs w:val="19"/>
                <w:color w:val="auto"/>
              </w:rPr>
            </w:pPr>
          </w:p>
        </w:tc>
        <w:tc>
          <w:tcPr>
            <w:tcW w:w="320" w:type="dxa"/>
            <w:vAlign w:val="bottom"/>
            <w:tcBorders>
              <w:top w:val="single" w:sz="8" w:color="auto"/>
              <w:bottom w:val="single" w:sz="8" w:color="auto"/>
            </w:tcBorders>
            <w:shd w:val="clear" w:color="auto" w:fill="CDEAFA"/>
          </w:tcPr>
          <w:p>
            <w:pPr>
              <w:ind w:left="1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Borders>
              <w:top w:val="single" w:sz="8" w:color="CDEAFA"/>
              <w:bottom w:val="single" w:sz="8" w:color="CDEAFA"/>
            </w:tcBorders>
            <w:shd w:val="clear" w:color="auto" w:fill="CDEAFA"/>
          </w:tcPr>
          <w:p>
            <w:pPr>
              <w:spacing w:after="0"/>
              <w:rPr>
                <w:sz w:val="19"/>
                <w:szCs w:val="19"/>
                <w:color w:val="auto"/>
              </w:rPr>
            </w:pPr>
          </w:p>
        </w:tc>
        <w:tc>
          <w:tcPr>
            <w:tcW w:w="1140" w:type="dxa"/>
            <w:vAlign w:val="bottom"/>
            <w:tcBorders>
              <w:top w:val="single" w:sz="8" w:color="auto"/>
              <w:bottom w:val="single" w:sz="8" w:color="auto"/>
            </w:tcBorders>
            <w:shd w:val="clear" w:color="auto" w:fill="CDEAFA"/>
          </w:tcPr>
          <w:p>
            <w:pPr>
              <w:ind w:left="8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DEAFA"/>
              <w:bottom w:val="single" w:sz="8" w:color="CDEAFA"/>
            </w:tcBorders>
            <w:shd w:val="clear" w:color="auto" w:fill="CDEAFA"/>
          </w:tcPr>
          <w:p>
            <w:pPr>
              <w:spacing w:after="0"/>
              <w:rPr>
                <w:sz w:val="19"/>
                <w:szCs w:val="19"/>
                <w:color w:val="auto"/>
              </w:rPr>
            </w:pPr>
          </w:p>
        </w:tc>
        <w:tc>
          <w:tcPr>
            <w:tcW w:w="1120" w:type="dxa"/>
            <w:vAlign w:val="bottom"/>
            <w:tcBorders>
              <w:top w:val="single" w:sz="8" w:color="auto"/>
              <w:bottom w:val="single" w:sz="8" w:color="auto"/>
            </w:tcBorders>
            <w:shd w:val="clear" w:color="auto" w:fill="CDEAFA"/>
          </w:tcPr>
          <w:p>
            <w:pPr>
              <w:ind w:left="8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DEAFA"/>
              <w:bottom w:val="single" w:sz="8" w:color="CDEAFA"/>
            </w:tcBorders>
            <w:shd w:val="clear" w:color="auto" w:fill="CDEAFA"/>
          </w:tcPr>
          <w:p>
            <w:pPr>
              <w:spacing w:after="0"/>
              <w:rPr>
                <w:sz w:val="19"/>
                <w:szCs w:val="19"/>
                <w:color w:val="auto"/>
              </w:rPr>
            </w:pPr>
          </w:p>
        </w:tc>
        <w:tc>
          <w:tcPr>
            <w:tcW w:w="340" w:type="dxa"/>
            <w:vAlign w:val="bottom"/>
            <w:tcBorders>
              <w:top w:val="single" w:sz="8" w:color="auto"/>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6,516.3</w:t>
            </w:r>
          </w:p>
        </w:tc>
        <w:tc>
          <w:tcPr>
            <w:tcW w:w="100" w:type="dxa"/>
            <w:vAlign w:val="bottom"/>
            <w:tcBorders>
              <w:top w:val="single" w:sz="8" w:color="auto"/>
              <w:bottom w:val="single" w:sz="8" w:color="auto"/>
            </w:tcBorders>
            <w:shd w:val="clear" w:color="auto" w:fill="CDEAFA"/>
          </w:tcPr>
          <w:p>
            <w:pPr>
              <w:spacing w:after="0"/>
              <w:rPr>
                <w:sz w:val="19"/>
                <w:szCs w:val="19"/>
                <w:color w:val="auto"/>
              </w:rPr>
            </w:pPr>
          </w:p>
        </w:tc>
        <w:tc>
          <w:tcPr>
            <w:tcW w:w="220" w:type="dxa"/>
            <w:vAlign w:val="bottom"/>
            <w:tcBorders>
              <w:top w:val="single" w:sz="8" w:color="CDEAFA"/>
              <w:bottom w:val="single" w:sz="8" w:color="CDEAFA"/>
            </w:tcBorders>
            <w:shd w:val="clear" w:color="auto" w:fill="CDEAFA"/>
          </w:tcPr>
          <w:p>
            <w:pPr>
              <w:spacing w:after="0"/>
              <w:rPr>
                <w:sz w:val="19"/>
                <w:szCs w:val="19"/>
                <w:color w:val="auto"/>
              </w:rPr>
            </w:pPr>
          </w:p>
        </w:tc>
        <w:tc>
          <w:tcPr>
            <w:tcW w:w="300" w:type="dxa"/>
            <w:vAlign w:val="bottom"/>
            <w:tcBorders>
              <w:top w:val="single" w:sz="8" w:color="auto"/>
              <w:bottom w:val="single" w:sz="8" w:color="auto"/>
            </w:tcBorders>
            <w:shd w:val="clear" w:color="auto" w:fill="CDEAFA"/>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DEAFA"/>
          </w:tcPr>
          <w:p>
            <w:pPr>
              <w:spacing w:after="0"/>
              <w:rPr>
                <w:sz w:val="18"/>
                <w:szCs w:val="18"/>
                <w:color w:val="auto"/>
              </w:rPr>
            </w:pPr>
          </w:p>
        </w:tc>
        <w:tc>
          <w:tcPr>
            <w:tcW w:w="3320" w:type="dxa"/>
            <w:vAlign w:val="bottom"/>
            <w:gridSpan w:val="2"/>
            <w:shd w:val="clear" w:color="auto" w:fill="CDEAFA"/>
          </w:tcPr>
          <w:p>
            <w:pPr>
              <w:spacing w:after="0"/>
              <w:rPr>
                <w:sz w:val="20"/>
                <w:szCs w:val="20"/>
                <w:color w:val="auto"/>
              </w:rPr>
            </w:pPr>
            <w:r>
              <w:rPr>
                <w:rFonts w:ascii="Arial" w:cs="Arial" w:eastAsia="Arial" w:hAnsi="Arial"/>
                <w:sz w:val="18"/>
                <w:szCs w:val="18"/>
                <w:b w:val="1"/>
                <w:bCs w:val="1"/>
                <w:color w:val="auto"/>
              </w:rPr>
              <w:t>As of December 31, 2020</w:t>
            </w:r>
          </w:p>
        </w:tc>
        <w:tc>
          <w:tcPr>
            <w:tcW w:w="360" w:type="dxa"/>
            <w:vAlign w:val="bottom"/>
            <w:shd w:val="clear" w:color="auto" w:fill="CDEAFA"/>
          </w:tcPr>
          <w:p>
            <w:pPr>
              <w:spacing w:after="0"/>
              <w:rPr>
                <w:sz w:val="18"/>
                <w:szCs w:val="18"/>
                <w:color w:val="auto"/>
              </w:rPr>
            </w:pPr>
          </w:p>
        </w:tc>
        <w:tc>
          <w:tcPr>
            <w:tcW w:w="80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1140" w:type="dxa"/>
            <w:vAlign w:val="bottom"/>
            <w:shd w:val="clear" w:color="auto" w:fill="CDEAFA"/>
          </w:tcPr>
          <w:p>
            <w:pPr>
              <w:spacing w:after="0"/>
              <w:rPr>
                <w:sz w:val="18"/>
                <w:szCs w:val="18"/>
                <w:color w:val="auto"/>
              </w:rPr>
            </w:pPr>
          </w:p>
        </w:tc>
        <w:tc>
          <w:tcPr>
            <w:tcW w:w="200" w:type="dxa"/>
            <w:vAlign w:val="bottom"/>
            <w:shd w:val="clear" w:color="auto" w:fill="CDEAFA"/>
          </w:tcPr>
          <w:p>
            <w:pPr>
              <w:spacing w:after="0"/>
              <w:rPr>
                <w:sz w:val="18"/>
                <w:szCs w:val="18"/>
                <w:color w:val="auto"/>
              </w:rPr>
            </w:pPr>
          </w:p>
        </w:tc>
        <w:tc>
          <w:tcPr>
            <w:tcW w:w="1120" w:type="dxa"/>
            <w:vAlign w:val="bottom"/>
            <w:shd w:val="clear" w:color="auto" w:fill="CDEAFA"/>
          </w:tcPr>
          <w:p>
            <w:pPr>
              <w:spacing w:after="0"/>
              <w:rPr>
                <w:sz w:val="18"/>
                <w:szCs w:val="18"/>
                <w:color w:val="auto"/>
              </w:rPr>
            </w:pPr>
          </w:p>
        </w:tc>
        <w:tc>
          <w:tcPr>
            <w:tcW w:w="20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68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300" w:type="dxa"/>
            <w:vAlign w:val="bottom"/>
            <w:shd w:val="clear" w:color="auto" w:fill="CDEAFA"/>
          </w:tcPr>
          <w:p>
            <w:pPr>
              <w:spacing w:after="0"/>
              <w:rPr>
                <w:sz w:val="18"/>
                <w:szCs w:val="18"/>
                <w:color w:val="auto"/>
              </w:rPr>
            </w:pPr>
          </w:p>
        </w:tc>
        <w:tc>
          <w:tcPr>
            <w:tcW w:w="80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364.5</w:t>
            </w:r>
          </w:p>
        </w:tc>
        <w:tc>
          <w:tcPr>
            <w:tcW w:w="220" w:type="dxa"/>
            <w:vAlign w:val="bottom"/>
          </w:tcPr>
          <w:p>
            <w:pPr>
              <w:spacing w:after="0"/>
              <w:rPr>
                <w:sz w:val="20"/>
                <w:szCs w:val="20"/>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0"/>
                <w:szCs w:val="20"/>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364.5</w:t>
            </w:r>
          </w:p>
        </w:tc>
        <w:tc>
          <w:tcPr>
            <w:tcW w:w="6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Realized gains and losses on sales of marketable securities were not material for the year ended December 31, 2021. Realized gains on sales of marketable securities were $29.0 million and realized losses were not material for the year ended December 31, 2020. Realized gains on sales of marketable securities were not material and there were no realized losses for the year ended December 31, 2019.</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marketable securities, for the years ended December 31, 2021, 2020, and 2019, amounts reclassified from Accumulated other comprehensive income (loss) into Other income (expense), net were related to realized gains and losses on sales of available-for-sale debt securities.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170"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w:t>
      </w:r>
    </w:p>
    <w:p>
      <w:pPr>
        <w:spacing w:after="0" w:line="23"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3 - Significant other unobservable inputs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60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9"/>
              </w:rPr>
              <w:t>Fair Value Measurements at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0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Reporting Date</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020" w:type="dxa"/>
            <w:vAlign w:val="bottom"/>
            <w:gridSpan w:val="2"/>
          </w:tcPr>
          <w:p>
            <w:pPr>
              <w:spacing w:after="0" w:line="149" w:lineRule="exact"/>
              <w:rPr>
                <w:sz w:val="20"/>
                <w:szCs w:val="20"/>
                <w:color w:val="auto"/>
              </w:rPr>
            </w:pPr>
            <w:r>
              <w:rPr>
                <w:rFonts w:ascii="Arial" w:cs="Arial" w:eastAsia="Arial" w:hAnsi="Arial"/>
                <w:sz w:val="17"/>
                <w:szCs w:val="17"/>
                <w:b w:val="1"/>
                <w:bCs w:val="1"/>
                <w:color w:val="auto"/>
              </w:rPr>
              <w:t>As of December 31, 2021</w:t>
            </w:r>
          </w:p>
        </w:tc>
        <w:tc>
          <w:tcPr>
            <w:tcW w:w="320" w:type="dxa"/>
            <w:vAlign w:val="bottom"/>
          </w:tcPr>
          <w:p>
            <w:pPr>
              <w:spacing w:after="0"/>
              <w:rPr>
                <w:sz w:val="14"/>
                <w:szCs w:val="14"/>
                <w:color w:val="auto"/>
              </w:rPr>
            </w:pPr>
          </w:p>
        </w:tc>
        <w:tc>
          <w:tcPr>
            <w:tcW w:w="1500" w:type="dxa"/>
            <w:vAlign w:val="bottom"/>
            <w:gridSpan w:val="2"/>
          </w:tcPr>
          <w:p>
            <w:pPr>
              <w:ind w:left="80"/>
              <w:spacing w:after="0" w:line="149" w:lineRule="exact"/>
              <w:rPr>
                <w:sz w:val="20"/>
                <w:szCs w:val="20"/>
                <w:color w:val="auto"/>
              </w:rPr>
            </w:pPr>
            <w:r>
              <w:rPr>
                <w:rFonts w:ascii="Arial" w:cs="Arial" w:eastAsia="Arial" w:hAnsi="Arial"/>
                <w:sz w:val="17"/>
                <w:szCs w:val="17"/>
                <w:b w:val="1"/>
                <w:bCs w:val="1"/>
                <w:color w:val="auto"/>
              </w:rPr>
              <w:t>Fair Value</w:t>
            </w:r>
          </w:p>
        </w:tc>
        <w:tc>
          <w:tcPr>
            <w:tcW w:w="380" w:type="dxa"/>
            <w:vAlign w:val="bottom"/>
          </w:tcPr>
          <w:p>
            <w:pPr>
              <w:spacing w:after="0"/>
              <w:rPr>
                <w:sz w:val="14"/>
                <w:szCs w:val="14"/>
                <w:color w:val="auto"/>
              </w:rPr>
            </w:pPr>
          </w:p>
        </w:tc>
        <w:tc>
          <w:tcPr>
            <w:tcW w:w="1400" w:type="dxa"/>
            <w:vAlign w:val="bottom"/>
            <w:gridSpan w:val="2"/>
          </w:tcPr>
          <w:p>
            <w:pPr>
              <w:ind w:left="140"/>
              <w:spacing w:after="0" w:line="156" w:lineRule="exact"/>
              <w:rPr>
                <w:sz w:val="20"/>
                <w:szCs w:val="20"/>
                <w:color w:val="auto"/>
              </w:rPr>
            </w:pPr>
            <w:r>
              <w:rPr>
                <w:rFonts w:ascii="Arial" w:cs="Arial" w:eastAsia="Arial" w:hAnsi="Arial"/>
                <w:sz w:val="18"/>
                <w:szCs w:val="18"/>
                <w:b w:val="1"/>
                <w:bCs w:val="1"/>
                <w:color w:val="auto"/>
              </w:rPr>
              <w:t>Level 1</w:t>
            </w:r>
          </w:p>
        </w:tc>
        <w:tc>
          <w:tcPr>
            <w:tcW w:w="500" w:type="dxa"/>
            <w:vAlign w:val="bottom"/>
          </w:tcPr>
          <w:p>
            <w:pPr>
              <w:spacing w:after="0"/>
              <w:rPr>
                <w:sz w:val="14"/>
                <w:szCs w:val="14"/>
                <w:color w:val="auto"/>
              </w:rPr>
            </w:pPr>
          </w:p>
        </w:tc>
        <w:tc>
          <w:tcPr>
            <w:tcW w:w="1060" w:type="dxa"/>
            <w:vAlign w:val="bottom"/>
          </w:tcPr>
          <w:p>
            <w:pPr>
              <w:jc w:val="right"/>
              <w:ind w:right="410"/>
              <w:spacing w:after="0" w:line="156" w:lineRule="exact"/>
              <w:rPr>
                <w:sz w:val="20"/>
                <w:szCs w:val="20"/>
                <w:color w:val="auto"/>
              </w:rPr>
            </w:pPr>
            <w:r>
              <w:rPr>
                <w:rFonts w:ascii="Arial" w:cs="Arial" w:eastAsia="Arial" w:hAnsi="Arial"/>
                <w:sz w:val="18"/>
                <w:szCs w:val="18"/>
                <w:b w:val="1"/>
                <w:bCs w:val="1"/>
                <w:color w:val="auto"/>
                <w:w w:val="88"/>
              </w:rPr>
              <w:t>Level 2</w:t>
            </w:r>
          </w:p>
        </w:tc>
        <w:tc>
          <w:tcPr>
            <w:tcW w:w="0" w:type="dxa"/>
            <w:vAlign w:val="bottom"/>
          </w:tcPr>
          <w:p>
            <w:pPr>
              <w:spacing w:after="0"/>
              <w:rPr>
                <w:sz w:val="1"/>
                <w:szCs w:val="1"/>
                <w:color w:val="auto"/>
              </w:rPr>
            </w:pPr>
          </w:p>
        </w:tc>
      </w:tr>
      <w:tr>
        <w:trPr>
          <w:trHeight w:val="34"/>
        </w:trPr>
        <w:tc>
          <w:tcPr>
            <w:tcW w:w="60" w:type="dxa"/>
            <w:vAlign w:val="bottom"/>
            <w:tcBorders>
              <w:bottom w:val="single" w:sz="8" w:color="CDEAFA"/>
            </w:tcBorders>
          </w:tcPr>
          <w:p>
            <w:pPr>
              <w:spacing w:after="0"/>
              <w:rPr>
                <w:sz w:val="2"/>
                <w:szCs w:val="2"/>
                <w:color w:val="auto"/>
              </w:rPr>
            </w:pPr>
          </w:p>
        </w:tc>
        <w:tc>
          <w:tcPr>
            <w:tcW w:w="1900" w:type="dxa"/>
            <w:vAlign w:val="bottom"/>
            <w:tcBorders>
              <w:top w:val="single" w:sz="8" w:color="auto"/>
              <w:bottom w:val="single" w:sz="8" w:color="CDEAFA"/>
            </w:tcBorders>
          </w:tcPr>
          <w:p>
            <w:pPr>
              <w:spacing w:after="0"/>
              <w:rPr>
                <w:sz w:val="2"/>
                <w:szCs w:val="2"/>
                <w:color w:val="auto"/>
              </w:rPr>
            </w:pPr>
          </w:p>
        </w:tc>
        <w:tc>
          <w:tcPr>
            <w:tcW w:w="4120" w:type="dxa"/>
            <w:vAlign w:val="bottom"/>
            <w:tcBorders>
              <w:bottom w:val="single" w:sz="8" w:color="CDEAFA"/>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DEAFA"/>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DEAFA"/>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 w:type="dxa"/>
            <w:vAlign w:val="bottom"/>
            <w:shd w:val="clear" w:color="auto" w:fill="CDEAFA"/>
          </w:tcPr>
          <w:p>
            <w:pPr>
              <w:spacing w:after="0"/>
              <w:rPr>
                <w:sz w:val="18"/>
                <w:szCs w:val="18"/>
                <w:color w:val="auto"/>
              </w:rPr>
            </w:pPr>
          </w:p>
        </w:tc>
        <w:tc>
          <w:tcPr>
            <w:tcW w:w="60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Available-for-sale debt securities:</w:t>
            </w:r>
          </w:p>
        </w:tc>
        <w:tc>
          <w:tcPr>
            <w:tcW w:w="320" w:type="dxa"/>
            <w:vAlign w:val="bottom"/>
            <w:shd w:val="clear" w:color="auto" w:fill="CDEAFA"/>
          </w:tcPr>
          <w:p>
            <w:pPr>
              <w:spacing w:after="0"/>
              <w:rPr>
                <w:sz w:val="18"/>
                <w:szCs w:val="18"/>
                <w:color w:val="auto"/>
              </w:rPr>
            </w:pPr>
          </w:p>
        </w:tc>
        <w:tc>
          <w:tcPr>
            <w:tcW w:w="128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spacing w:after="0"/>
              <w:rPr>
                <w:sz w:val="18"/>
                <w:szCs w:val="18"/>
                <w:color w:val="auto"/>
              </w:rPr>
            </w:pPr>
          </w:p>
        </w:tc>
        <w:tc>
          <w:tcPr>
            <w:tcW w:w="1200" w:type="dxa"/>
            <w:vAlign w:val="bottom"/>
            <w:shd w:val="clear" w:color="auto" w:fill="CDEAFA"/>
          </w:tcPr>
          <w:p>
            <w:pPr>
              <w:spacing w:after="0"/>
              <w:rPr>
                <w:sz w:val="18"/>
                <w:szCs w:val="18"/>
                <w:color w:val="auto"/>
              </w:rPr>
            </w:pPr>
          </w:p>
        </w:tc>
        <w:tc>
          <w:tcPr>
            <w:tcW w:w="20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106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2"/>
          </w:tcPr>
          <w:p>
            <w:pPr>
              <w:ind w:left="120"/>
              <w:spacing w:after="0"/>
              <w:rPr>
                <w:sz w:val="20"/>
                <w:szCs w:val="20"/>
                <w:color w:val="auto"/>
              </w:rPr>
            </w:pPr>
            <w:r>
              <w:rPr>
                <w:rFonts w:ascii="Arial" w:cs="Arial" w:eastAsia="Arial" w:hAnsi="Arial"/>
                <w:sz w:val="18"/>
                <w:szCs w:val="18"/>
                <w:color w:val="auto"/>
              </w:rPr>
              <w:t>Corporate bonds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7,487.7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7,487.7</w:t>
            </w:r>
          </w:p>
        </w:tc>
        <w:tc>
          <w:tcPr>
            <w:tcW w:w="0" w:type="dxa"/>
            <w:vAlign w:val="bottom"/>
          </w:tcPr>
          <w:p>
            <w:pPr>
              <w:spacing w:after="0"/>
              <w:rPr>
                <w:sz w:val="1"/>
                <w:szCs w:val="1"/>
                <w:color w:val="auto"/>
              </w:rPr>
            </w:pPr>
          </w:p>
        </w:tc>
      </w:tr>
      <w:tr>
        <w:trPr>
          <w:trHeight w:val="216"/>
        </w:trPr>
        <w:tc>
          <w:tcPr>
            <w:tcW w:w="60" w:type="dxa"/>
            <w:vAlign w:val="bottom"/>
            <w:shd w:val="clear" w:color="auto" w:fill="CDEAFA"/>
          </w:tcPr>
          <w:p>
            <w:pPr>
              <w:spacing w:after="0"/>
              <w:rPr>
                <w:sz w:val="18"/>
                <w:szCs w:val="18"/>
                <w:color w:val="auto"/>
              </w:rPr>
            </w:pPr>
          </w:p>
        </w:tc>
        <w:tc>
          <w:tcPr>
            <w:tcW w:w="6020" w:type="dxa"/>
            <w:vAlign w:val="bottom"/>
            <w:gridSpan w:val="2"/>
            <w:shd w:val="clear" w:color="auto" w:fill="CDEAFA"/>
          </w:tcPr>
          <w:p>
            <w:pPr>
              <w:ind w:left="120"/>
              <w:spacing w:after="0"/>
              <w:rPr>
                <w:sz w:val="20"/>
                <w:szCs w:val="20"/>
                <w:color w:val="auto"/>
              </w:rPr>
            </w:pPr>
            <w:r>
              <w:rPr>
                <w:rFonts w:ascii="Arial" w:cs="Arial" w:eastAsia="Arial" w:hAnsi="Arial"/>
                <w:sz w:val="18"/>
                <w:szCs w:val="18"/>
                <w:color w:val="auto"/>
              </w:rPr>
              <w:t>U.S. government and government agency obligations</w:t>
            </w:r>
          </w:p>
        </w:tc>
        <w:tc>
          <w:tcPr>
            <w:tcW w:w="320" w:type="dxa"/>
            <w:vAlign w:val="bottom"/>
            <w:shd w:val="clear" w:color="auto" w:fill="CDEAFA"/>
          </w:tcPr>
          <w:p>
            <w:pPr>
              <w:spacing w:after="0"/>
              <w:rPr>
                <w:sz w:val="18"/>
                <w:szCs w:val="18"/>
                <w:color w:val="auto"/>
              </w:rPr>
            </w:pPr>
          </w:p>
        </w:tc>
        <w:tc>
          <w:tcPr>
            <w:tcW w:w="1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108.5</w:t>
            </w: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spacing w:after="0"/>
              <w:rPr>
                <w:sz w:val="18"/>
                <w:szCs w:val="18"/>
                <w:color w:val="auto"/>
              </w:rPr>
            </w:pPr>
          </w:p>
        </w:tc>
        <w:tc>
          <w:tcPr>
            <w:tcW w:w="140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DEAFA"/>
          </w:tcPr>
          <w:p>
            <w:pPr>
              <w:spacing w:after="0"/>
              <w:rPr>
                <w:sz w:val="18"/>
                <w:szCs w:val="18"/>
                <w:color w:val="auto"/>
              </w:rPr>
            </w:pPr>
          </w:p>
        </w:tc>
        <w:tc>
          <w:tcPr>
            <w:tcW w:w="10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2"/>
          </w:tcPr>
          <w:p>
            <w:pPr>
              <w:ind w:left="120"/>
              <w:spacing w:after="0"/>
              <w:rPr>
                <w:sz w:val="20"/>
                <w:szCs w:val="20"/>
                <w:color w:val="auto"/>
              </w:rPr>
            </w:pPr>
            <w:r>
              <w:rPr>
                <w:rFonts w:ascii="Arial" w:cs="Arial" w:eastAsia="Arial" w:hAnsi="Arial"/>
                <w:sz w:val="18"/>
                <w:szCs w:val="18"/>
                <w:color w:val="auto"/>
              </w:rPr>
              <w:t>Sovereign bonds</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60" w:type="dxa"/>
            <w:vAlign w:val="bottom"/>
            <w:shd w:val="clear" w:color="auto" w:fill="CDEAFA"/>
          </w:tcPr>
          <w:p>
            <w:pPr>
              <w:spacing w:after="0"/>
              <w:rPr>
                <w:sz w:val="18"/>
                <w:szCs w:val="18"/>
                <w:color w:val="auto"/>
              </w:rPr>
            </w:pPr>
          </w:p>
        </w:tc>
        <w:tc>
          <w:tcPr>
            <w:tcW w:w="6020" w:type="dxa"/>
            <w:vAlign w:val="bottom"/>
            <w:gridSpan w:val="2"/>
            <w:shd w:val="clear" w:color="auto" w:fill="CDEAFA"/>
          </w:tcPr>
          <w:p>
            <w:pPr>
              <w:ind w:left="1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DEAFA"/>
          </w:tcPr>
          <w:p>
            <w:pPr>
              <w:spacing w:after="0"/>
              <w:rPr>
                <w:sz w:val="18"/>
                <w:szCs w:val="18"/>
                <w:color w:val="auto"/>
              </w:rPr>
            </w:pPr>
          </w:p>
        </w:tc>
        <w:tc>
          <w:tcPr>
            <w:tcW w:w="1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439.6</w:t>
            </w: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spacing w:after="0"/>
              <w:rPr>
                <w:sz w:val="18"/>
                <w:szCs w:val="18"/>
                <w:color w:val="auto"/>
              </w:rPr>
            </w:pPr>
          </w:p>
        </w:tc>
        <w:tc>
          <w:tcPr>
            <w:tcW w:w="140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DEAFA"/>
          </w:tcPr>
          <w:p>
            <w:pPr>
              <w:spacing w:after="0"/>
              <w:rPr>
                <w:sz w:val="18"/>
                <w:szCs w:val="18"/>
                <w:color w:val="auto"/>
              </w:rPr>
            </w:pPr>
          </w:p>
        </w:tc>
        <w:tc>
          <w:tcPr>
            <w:tcW w:w="10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2"/>
          </w:tcPr>
          <w:p>
            <w:pPr>
              <w:ind w:left="1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255.1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60" w:type="dxa"/>
            <w:vAlign w:val="bottom"/>
            <w:shd w:val="clear" w:color="auto" w:fill="CDEAFA"/>
          </w:tcPr>
          <w:p>
            <w:pPr>
              <w:spacing w:after="0"/>
              <w:rPr>
                <w:sz w:val="18"/>
                <w:szCs w:val="18"/>
                <w:color w:val="auto"/>
              </w:rPr>
            </w:pPr>
          </w:p>
        </w:tc>
        <w:tc>
          <w:tcPr>
            <w:tcW w:w="6020" w:type="dxa"/>
            <w:vAlign w:val="bottom"/>
            <w:gridSpan w:val="2"/>
            <w:shd w:val="clear" w:color="auto" w:fill="CDEAFA"/>
          </w:tcPr>
          <w:p>
            <w:pPr>
              <w:ind w:left="12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DEAFA"/>
          </w:tcPr>
          <w:p>
            <w:pPr>
              <w:spacing w:after="0"/>
              <w:rPr>
                <w:sz w:val="18"/>
                <w:szCs w:val="18"/>
                <w:color w:val="auto"/>
              </w:rPr>
            </w:pPr>
          </w:p>
        </w:tc>
        <w:tc>
          <w:tcPr>
            <w:tcW w:w="1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spacing w:after="0"/>
              <w:rPr>
                <w:sz w:val="18"/>
                <w:szCs w:val="18"/>
                <w:color w:val="auto"/>
              </w:rPr>
            </w:pPr>
          </w:p>
        </w:tc>
        <w:tc>
          <w:tcPr>
            <w:tcW w:w="140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DEAFA"/>
          </w:tcPr>
          <w:p>
            <w:pPr>
              <w:spacing w:after="0"/>
              <w:rPr>
                <w:sz w:val="18"/>
                <w:szCs w:val="18"/>
                <w:color w:val="auto"/>
              </w:rPr>
            </w:pPr>
          </w:p>
        </w:tc>
        <w:tc>
          <w:tcPr>
            <w:tcW w:w="10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Equity securities (unrestricted)</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shd w:val="clear" w:color="auto" w:fill="CDEAFA"/>
          </w:tcPr>
          <w:p>
            <w:pPr>
              <w:spacing w:after="0"/>
              <w:rPr>
                <w:sz w:val="19"/>
                <w:szCs w:val="19"/>
                <w:color w:val="auto"/>
              </w:rPr>
            </w:pPr>
          </w:p>
        </w:tc>
        <w:tc>
          <w:tcPr>
            <w:tcW w:w="60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Equity securities (restricted)</w:t>
            </w:r>
          </w:p>
        </w:tc>
        <w:tc>
          <w:tcPr>
            <w:tcW w:w="320" w:type="dxa"/>
            <w:vAlign w:val="bottom"/>
            <w:tcBorders>
              <w:bottom w:val="single" w:sz="8" w:color="auto"/>
            </w:tcBorders>
            <w:shd w:val="clear" w:color="auto" w:fill="CDEAFA"/>
          </w:tcPr>
          <w:p>
            <w:pPr>
              <w:spacing w:after="0"/>
              <w:rPr>
                <w:sz w:val="19"/>
                <w:szCs w:val="19"/>
                <w:color w:val="auto"/>
              </w:rPr>
            </w:pPr>
          </w:p>
        </w:tc>
        <w:tc>
          <w:tcPr>
            <w:tcW w:w="128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1,191.5</w:t>
            </w:r>
          </w:p>
        </w:tc>
        <w:tc>
          <w:tcPr>
            <w:tcW w:w="220" w:type="dxa"/>
            <w:vAlign w:val="bottom"/>
            <w:shd w:val="clear" w:color="auto" w:fill="CDEAFA"/>
          </w:tcPr>
          <w:p>
            <w:pPr>
              <w:spacing w:after="0"/>
              <w:rPr>
                <w:sz w:val="19"/>
                <w:szCs w:val="19"/>
                <w:color w:val="auto"/>
              </w:rPr>
            </w:pPr>
          </w:p>
        </w:tc>
        <w:tc>
          <w:tcPr>
            <w:tcW w:w="380" w:type="dxa"/>
            <w:vAlign w:val="bottom"/>
            <w:tcBorders>
              <w:bottom w:val="single" w:sz="8" w:color="auto"/>
            </w:tcBorders>
            <w:shd w:val="clear" w:color="auto" w:fill="CDEAFA"/>
          </w:tcPr>
          <w:p>
            <w:pPr>
              <w:spacing w:after="0"/>
              <w:rPr>
                <w:sz w:val="19"/>
                <w:szCs w:val="19"/>
                <w:color w:val="auto"/>
              </w:rPr>
            </w:pPr>
          </w:p>
        </w:tc>
        <w:tc>
          <w:tcPr>
            <w:tcW w:w="120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1,191.5</w:t>
            </w:r>
          </w:p>
        </w:tc>
        <w:tc>
          <w:tcPr>
            <w:tcW w:w="200" w:type="dxa"/>
            <w:vAlign w:val="bottom"/>
            <w:shd w:val="clear" w:color="auto" w:fill="CDEAFA"/>
          </w:tcPr>
          <w:p>
            <w:pPr>
              <w:spacing w:after="0"/>
              <w:rPr>
                <w:sz w:val="19"/>
                <w:szCs w:val="19"/>
                <w:color w:val="auto"/>
              </w:rPr>
            </w:pPr>
          </w:p>
        </w:tc>
        <w:tc>
          <w:tcPr>
            <w:tcW w:w="500" w:type="dxa"/>
            <w:vAlign w:val="bottom"/>
            <w:tcBorders>
              <w:bottom w:val="single" w:sz="8" w:color="auto"/>
            </w:tcBorders>
            <w:shd w:val="clear" w:color="auto" w:fill="CDEAFA"/>
          </w:tcPr>
          <w:p>
            <w:pPr>
              <w:spacing w:after="0"/>
              <w:rPr>
                <w:sz w:val="19"/>
                <w:szCs w:val="19"/>
                <w:color w:val="auto"/>
              </w:rPr>
            </w:pPr>
          </w:p>
        </w:tc>
        <w:tc>
          <w:tcPr>
            <w:tcW w:w="106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9,647.1</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1,249.9</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8,397.2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December 31, 2020</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60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shd w:val="clear" w:color="auto" w:fill="CDEAFA"/>
          </w:tcPr>
          <w:p>
            <w:pPr>
              <w:spacing w:after="0"/>
              <w:rPr>
                <w:sz w:val="18"/>
                <w:szCs w:val="18"/>
                <w:color w:val="auto"/>
              </w:rPr>
            </w:pPr>
          </w:p>
        </w:tc>
        <w:tc>
          <w:tcPr>
            <w:tcW w:w="60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Available-for-sale debt securities:</w:t>
            </w:r>
          </w:p>
        </w:tc>
        <w:tc>
          <w:tcPr>
            <w:tcW w:w="320" w:type="dxa"/>
            <w:vAlign w:val="bottom"/>
            <w:shd w:val="clear" w:color="auto" w:fill="CDEAFA"/>
          </w:tcPr>
          <w:p>
            <w:pPr>
              <w:spacing w:after="0"/>
              <w:rPr>
                <w:sz w:val="18"/>
                <w:szCs w:val="18"/>
                <w:color w:val="auto"/>
              </w:rPr>
            </w:pPr>
          </w:p>
        </w:tc>
        <w:tc>
          <w:tcPr>
            <w:tcW w:w="128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spacing w:after="0"/>
              <w:rPr>
                <w:sz w:val="18"/>
                <w:szCs w:val="18"/>
                <w:color w:val="auto"/>
              </w:rPr>
            </w:pPr>
          </w:p>
        </w:tc>
        <w:tc>
          <w:tcPr>
            <w:tcW w:w="1200" w:type="dxa"/>
            <w:vAlign w:val="bottom"/>
            <w:shd w:val="clear" w:color="auto" w:fill="CDEAFA"/>
          </w:tcPr>
          <w:p>
            <w:pPr>
              <w:spacing w:after="0"/>
              <w:rPr>
                <w:sz w:val="18"/>
                <w:szCs w:val="18"/>
                <w:color w:val="auto"/>
              </w:rPr>
            </w:pPr>
          </w:p>
        </w:tc>
        <w:tc>
          <w:tcPr>
            <w:tcW w:w="20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106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2"/>
          </w:tcPr>
          <w:p>
            <w:pPr>
              <w:ind w:left="120"/>
              <w:spacing w:after="0"/>
              <w:rPr>
                <w:sz w:val="20"/>
                <w:szCs w:val="20"/>
                <w:color w:val="auto"/>
              </w:rPr>
            </w:pPr>
            <w:r>
              <w:rPr>
                <w:rFonts w:ascii="Arial" w:cs="Arial" w:eastAsia="Arial" w:hAnsi="Arial"/>
                <w:sz w:val="18"/>
                <w:szCs w:val="18"/>
                <w:color w:val="auto"/>
              </w:rPr>
              <w:t>Corporate bonds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3,090.3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3,090.3</w:t>
            </w:r>
          </w:p>
        </w:tc>
        <w:tc>
          <w:tcPr>
            <w:tcW w:w="0" w:type="dxa"/>
            <w:vAlign w:val="bottom"/>
          </w:tcPr>
          <w:p>
            <w:pPr>
              <w:spacing w:after="0"/>
              <w:rPr>
                <w:sz w:val="1"/>
                <w:szCs w:val="1"/>
                <w:color w:val="auto"/>
              </w:rPr>
            </w:pPr>
          </w:p>
        </w:tc>
      </w:tr>
      <w:tr>
        <w:trPr>
          <w:trHeight w:val="216"/>
        </w:trPr>
        <w:tc>
          <w:tcPr>
            <w:tcW w:w="60" w:type="dxa"/>
            <w:vAlign w:val="bottom"/>
            <w:shd w:val="clear" w:color="auto" w:fill="CDEAFA"/>
          </w:tcPr>
          <w:p>
            <w:pPr>
              <w:spacing w:after="0"/>
              <w:rPr>
                <w:sz w:val="18"/>
                <w:szCs w:val="18"/>
                <w:color w:val="auto"/>
              </w:rPr>
            </w:pPr>
          </w:p>
        </w:tc>
        <w:tc>
          <w:tcPr>
            <w:tcW w:w="6020" w:type="dxa"/>
            <w:vAlign w:val="bottom"/>
            <w:gridSpan w:val="2"/>
            <w:shd w:val="clear" w:color="auto" w:fill="CDEAFA"/>
          </w:tcPr>
          <w:p>
            <w:pPr>
              <w:ind w:left="120"/>
              <w:spacing w:after="0"/>
              <w:rPr>
                <w:sz w:val="20"/>
                <w:szCs w:val="20"/>
                <w:color w:val="auto"/>
              </w:rPr>
            </w:pPr>
            <w:r>
              <w:rPr>
                <w:rFonts w:ascii="Arial" w:cs="Arial" w:eastAsia="Arial" w:hAnsi="Arial"/>
                <w:sz w:val="18"/>
                <w:szCs w:val="18"/>
                <w:color w:val="auto"/>
              </w:rPr>
              <w:t>U.S. government and government agency obligations</w:t>
            </w:r>
          </w:p>
        </w:tc>
        <w:tc>
          <w:tcPr>
            <w:tcW w:w="320" w:type="dxa"/>
            <w:vAlign w:val="bottom"/>
            <w:shd w:val="clear" w:color="auto" w:fill="CDEAFA"/>
          </w:tcPr>
          <w:p>
            <w:pPr>
              <w:spacing w:after="0"/>
              <w:rPr>
                <w:sz w:val="18"/>
                <w:szCs w:val="18"/>
                <w:color w:val="auto"/>
              </w:rPr>
            </w:pPr>
          </w:p>
        </w:tc>
        <w:tc>
          <w:tcPr>
            <w:tcW w:w="1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128.9</w:t>
            </w: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spacing w:after="0"/>
              <w:rPr>
                <w:sz w:val="18"/>
                <w:szCs w:val="18"/>
                <w:color w:val="auto"/>
              </w:rPr>
            </w:pPr>
          </w:p>
        </w:tc>
        <w:tc>
          <w:tcPr>
            <w:tcW w:w="140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DEAFA"/>
          </w:tcPr>
          <w:p>
            <w:pPr>
              <w:spacing w:after="0"/>
              <w:rPr>
                <w:sz w:val="18"/>
                <w:szCs w:val="18"/>
                <w:color w:val="auto"/>
              </w:rPr>
            </w:pPr>
          </w:p>
        </w:tc>
        <w:tc>
          <w:tcPr>
            <w:tcW w:w="10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2"/>
          </w:tcPr>
          <w:p>
            <w:pPr>
              <w:ind w:left="120"/>
              <w:spacing w:after="0"/>
              <w:rPr>
                <w:sz w:val="20"/>
                <w:szCs w:val="20"/>
                <w:color w:val="auto"/>
              </w:rPr>
            </w:pPr>
            <w:r>
              <w:rPr>
                <w:rFonts w:ascii="Arial" w:cs="Arial" w:eastAsia="Arial" w:hAnsi="Arial"/>
                <w:sz w:val="18"/>
                <w:szCs w:val="18"/>
                <w:color w:val="auto"/>
              </w:rPr>
              <w:t>Sovereign bonds</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60" w:type="dxa"/>
            <w:vAlign w:val="bottom"/>
            <w:shd w:val="clear" w:color="auto" w:fill="CDEAFA"/>
          </w:tcPr>
          <w:p>
            <w:pPr>
              <w:spacing w:after="0"/>
              <w:rPr>
                <w:sz w:val="18"/>
                <w:szCs w:val="18"/>
                <w:color w:val="auto"/>
              </w:rPr>
            </w:pPr>
          </w:p>
        </w:tc>
        <w:tc>
          <w:tcPr>
            <w:tcW w:w="6020" w:type="dxa"/>
            <w:vAlign w:val="bottom"/>
            <w:gridSpan w:val="2"/>
            <w:shd w:val="clear" w:color="auto" w:fill="CDEAFA"/>
          </w:tcPr>
          <w:p>
            <w:pPr>
              <w:ind w:left="1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DEAFA"/>
          </w:tcPr>
          <w:p>
            <w:pPr>
              <w:spacing w:after="0"/>
              <w:rPr>
                <w:sz w:val="18"/>
                <w:szCs w:val="18"/>
                <w:color w:val="auto"/>
              </w:rPr>
            </w:pPr>
          </w:p>
        </w:tc>
        <w:tc>
          <w:tcPr>
            <w:tcW w:w="1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276.1</w:t>
            </w: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spacing w:after="0"/>
              <w:rPr>
                <w:sz w:val="18"/>
                <w:szCs w:val="18"/>
                <w:color w:val="auto"/>
              </w:rPr>
            </w:pPr>
          </w:p>
        </w:tc>
        <w:tc>
          <w:tcPr>
            <w:tcW w:w="1400" w:type="dxa"/>
            <w:vAlign w:val="bottom"/>
            <w:gridSpan w:val="2"/>
            <w:shd w:val="clear" w:color="auto" w:fill="CDEAFA"/>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DEAFA"/>
          </w:tcPr>
          <w:p>
            <w:pPr>
              <w:spacing w:after="0"/>
              <w:rPr>
                <w:sz w:val="18"/>
                <w:szCs w:val="18"/>
                <w:color w:val="auto"/>
              </w:rPr>
            </w:pPr>
          </w:p>
        </w:tc>
        <w:tc>
          <w:tcPr>
            <w:tcW w:w="10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20" w:type="dxa"/>
            <w:vAlign w:val="bottom"/>
            <w:gridSpan w:val="2"/>
          </w:tcPr>
          <w:p>
            <w:pPr>
              <w:ind w:left="1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127.5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60" w:type="dxa"/>
            <w:vAlign w:val="bottom"/>
            <w:shd w:val="clear" w:color="auto" w:fill="CDEAFA"/>
          </w:tcPr>
          <w:p>
            <w:pPr>
              <w:spacing w:after="0"/>
              <w:rPr>
                <w:sz w:val="18"/>
                <w:szCs w:val="18"/>
                <w:color w:val="auto"/>
              </w:rPr>
            </w:pPr>
          </w:p>
        </w:tc>
        <w:tc>
          <w:tcPr>
            <w:tcW w:w="6020" w:type="dxa"/>
            <w:vAlign w:val="bottom"/>
            <w:gridSpan w:val="2"/>
            <w:shd w:val="clear" w:color="auto" w:fill="CDEAFA"/>
          </w:tcPr>
          <w:p>
            <w:pPr>
              <w:spacing w:after="0"/>
              <w:rPr>
                <w:sz w:val="20"/>
                <w:szCs w:val="20"/>
                <w:color w:val="auto"/>
              </w:rPr>
            </w:pPr>
            <w:r>
              <w:rPr>
                <w:rFonts w:ascii="Arial" w:cs="Arial" w:eastAsia="Arial" w:hAnsi="Arial"/>
                <w:sz w:val="18"/>
                <w:szCs w:val="18"/>
                <w:color w:val="auto"/>
              </w:rPr>
              <w:t>Equity securities (unrestricted)</w:t>
            </w:r>
          </w:p>
        </w:tc>
        <w:tc>
          <w:tcPr>
            <w:tcW w:w="320" w:type="dxa"/>
            <w:vAlign w:val="bottom"/>
            <w:shd w:val="clear" w:color="auto" w:fill="CDEAFA"/>
          </w:tcPr>
          <w:p>
            <w:pPr>
              <w:spacing w:after="0"/>
              <w:rPr>
                <w:sz w:val="18"/>
                <w:szCs w:val="18"/>
                <w:color w:val="auto"/>
              </w:rPr>
            </w:pPr>
          </w:p>
        </w:tc>
        <w:tc>
          <w:tcPr>
            <w:tcW w:w="128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DEAFA"/>
          </w:tcPr>
          <w:p>
            <w:pPr>
              <w:spacing w:after="0"/>
              <w:rPr>
                <w:sz w:val="18"/>
                <w:szCs w:val="18"/>
                <w:color w:val="auto"/>
              </w:rPr>
            </w:pPr>
          </w:p>
        </w:tc>
        <w:tc>
          <w:tcPr>
            <w:tcW w:w="380" w:type="dxa"/>
            <w:vAlign w:val="bottom"/>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48.3</w:t>
            </w:r>
          </w:p>
        </w:tc>
        <w:tc>
          <w:tcPr>
            <w:tcW w:w="200" w:type="dxa"/>
            <w:vAlign w:val="bottom"/>
            <w:shd w:val="clear" w:color="auto" w:fill="CDEAFA"/>
          </w:tcPr>
          <w:p>
            <w:pPr>
              <w:spacing w:after="0"/>
              <w:rPr>
                <w:sz w:val="18"/>
                <w:szCs w:val="18"/>
                <w:color w:val="auto"/>
              </w:rPr>
            </w:pPr>
          </w:p>
        </w:tc>
        <w:tc>
          <w:tcPr>
            <w:tcW w:w="500" w:type="dxa"/>
            <w:vAlign w:val="bottom"/>
            <w:shd w:val="clear" w:color="auto" w:fill="CDEAFA"/>
          </w:tcPr>
          <w:p>
            <w:pPr>
              <w:spacing w:after="0"/>
              <w:rPr>
                <w:sz w:val="18"/>
                <w:szCs w:val="18"/>
                <w:color w:val="auto"/>
              </w:rPr>
            </w:pPr>
          </w:p>
        </w:tc>
        <w:tc>
          <w:tcPr>
            <w:tcW w:w="10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Borders>
              <w:bottom w:val="single" w:sz="8" w:color="CDEAFA"/>
            </w:tcBorders>
          </w:tcPr>
          <w:p>
            <w:pPr>
              <w:spacing w:after="0"/>
              <w:rPr>
                <w:sz w:val="19"/>
                <w:szCs w:val="19"/>
                <w:color w:val="auto"/>
              </w:rPr>
            </w:pPr>
          </w:p>
        </w:tc>
        <w:tc>
          <w:tcPr>
            <w:tcW w:w="6020" w:type="dxa"/>
            <w:vAlign w:val="bottom"/>
            <w:tcBorders>
              <w:bottom w:val="single" w:sz="8" w:color="CDEAFA"/>
            </w:tcBorders>
            <w:gridSpan w:val="2"/>
          </w:tcPr>
          <w:p>
            <w:pPr>
              <w:spacing w:after="0"/>
              <w:rPr>
                <w:sz w:val="20"/>
                <w:szCs w:val="20"/>
                <w:color w:val="auto"/>
              </w:rPr>
            </w:pPr>
            <w:r>
              <w:rPr>
                <w:rFonts w:ascii="Arial" w:cs="Arial" w:eastAsia="Arial" w:hAnsi="Arial"/>
                <w:sz w:val="18"/>
                <w:szCs w:val="18"/>
                <w:color w:val="auto"/>
              </w:rPr>
              <w:t>Equity securities (restricted)</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791.5</w:t>
            </w:r>
          </w:p>
        </w:tc>
        <w:tc>
          <w:tcPr>
            <w:tcW w:w="220" w:type="dxa"/>
            <w:vAlign w:val="bottom"/>
            <w:tcBorders>
              <w:bottom w:val="single" w:sz="8" w:color="CDEAFA"/>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791.5</w:t>
            </w:r>
          </w:p>
        </w:tc>
        <w:tc>
          <w:tcPr>
            <w:tcW w:w="200" w:type="dxa"/>
            <w:vAlign w:val="bottom"/>
            <w:tcBorders>
              <w:bottom w:val="single" w:sz="8" w:color="CDEAFA"/>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Borders>
              <w:bottom w:val="single" w:sz="8" w:color="CDEAFA"/>
            </w:tcBorders>
            <w:shd w:val="clear" w:color="auto" w:fill="CDEAFA"/>
          </w:tcPr>
          <w:p>
            <w:pPr>
              <w:spacing w:after="0"/>
              <w:rPr>
                <w:sz w:val="19"/>
                <w:szCs w:val="19"/>
                <w:color w:val="auto"/>
              </w:rPr>
            </w:pPr>
          </w:p>
        </w:tc>
        <w:tc>
          <w:tcPr>
            <w:tcW w:w="1900" w:type="dxa"/>
            <w:vAlign w:val="bottom"/>
            <w:tcBorders>
              <w:bottom w:val="single" w:sz="8" w:color="CDEAFA"/>
            </w:tcBorders>
            <w:shd w:val="clear" w:color="auto" w:fill="CDEAFA"/>
          </w:tcPr>
          <w:p>
            <w:pPr>
              <w:spacing w:after="0"/>
              <w:rPr>
                <w:sz w:val="19"/>
                <w:szCs w:val="19"/>
                <w:color w:val="auto"/>
              </w:rPr>
            </w:pPr>
          </w:p>
        </w:tc>
        <w:tc>
          <w:tcPr>
            <w:tcW w:w="4120" w:type="dxa"/>
            <w:vAlign w:val="bottom"/>
            <w:tcBorders>
              <w:bottom w:val="single" w:sz="8" w:color="CDEAFA"/>
            </w:tcBorders>
            <w:shd w:val="clear" w:color="auto" w:fill="CDEAFA"/>
          </w:tcPr>
          <w:p>
            <w:pPr>
              <w:spacing w:after="0"/>
              <w:rPr>
                <w:sz w:val="19"/>
                <w:szCs w:val="19"/>
                <w:color w:val="auto"/>
              </w:rPr>
            </w:pPr>
          </w:p>
        </w:tc>
        <w:tc>
          <w:tcPr>
            <w:tcW w:w="3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4,528.9</w:t>
            </w:r>
          </w:p>
        </w:tc>
        <w:tc>
          <w:tcPr>
            <w:tcW w:w="220" w:type="dxa"/>
            <w:vAlign w:val="bottom"/>
            <w:tcBorders>
              <w:bottom w:val="single" w:sz="8" w:color="CDEAFA"/>
            </w:tcBorders>
            <w:shd w:val="clear" w:color="auto" w:fill="CDEAFA"/>
          </w:tcPr>
          <w:p>
            <w:pPr>
              <w:spacing w:after="0"/>
              <w:rPr>
                <w:sz w:val="19"/>
                <w:szCs w:val="19"/>
                <w:color w:val="auto"/>
              </w:rPr>
            </w:pPr>
          </w:p>
        </w:tc>
        <w:tc>
          <w:tcPr>
            <w:tcW w:w="380" w:type="dxa"/>
            <w:vAlign w:val="bottom"/>
            <w:tcBorders>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839.8</w:t>
            </w:r>
          </w:p>
        </w:tc>
        <w:tc>
          <w:tcPr>
            <w:tcW w:w="200" w:type="dxa"/>
            <w:vAlign w:val="bottom"/>
            <w:tcBorders>
              <w:bottom w:val="single" w:sz="8" w:color="CDEAFA"/>
            </w:tcBorders>
            <w:shd w:val="clear" w:color="auto" w:fill="CDEAFA"/>
          </w:tcPr>
          <w:p>
            <w:pPr>
              <w:spacing w:after="0"/>
              <w:rPr>
                <w:sz w:val="19"/>
                <w:szCs w:val="19"/>
                <w:color w:val="auto"/>
              </w:rPr>
            </w:pPr>
          </w:p>
        </w:tc>
        <w:tc>
          <w:tcPr>
            <w:tcW w:w="500" w:type="dxa"/>
            <w:vAlign w:val="bottom"/>
            <w:tcBorders>
              <w:bottom w:val="single" w:sz="8" w:color="auto"/>
            </w:tcBorders>
            <w:shd w:val="clear" w:color="auto" w:fill="CDEAFA"/>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3,689.1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certain restricted equity securities as of December 31, 2021 which are subject to transfer restrictions that expire at various dates through 2024.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2021, 2020, and 2019, we recorded $386.1 million, $196.0 million, and $118.3 million of net unrealized gains, respectively, on equity securities in Other income (expense), net.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investments summarized in the table above, as of December 31, 2021 and 2020, the Company had $40.0 million and $59.2 million, respectively, in equity investments that do not have a readily determinable fair value. These investments are recorded within Other noncurrent assets.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long-term debt (see Note 9), which was determined based on Level 2 inputs, was estimated to be $1.887 billion and $1.958 billion as of December 31, 2021 and 2020,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6. Inventories</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00" w:type="dxa"/>
            <w:vAlign w:val="bottom"/>
          </w:tcPr>
          <w:p>
            <w:pPr>
              <w:spacing w:after="0"/>
              <w:rPr>
                <w:sz w:val="24"/>
                <w:szCs w:val="24"/>
                <w:color w:val="auto"/>
              </w:rPr>
            </w:pPr>
          </w:p>
        </w:tc>
        <w:tc>
          <w:tcPr>
            <w:tcW w:w="5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3"/>
              </w:rPr>
              <w:t>As of December 31,</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60" w:type="dxa"/>
            <w:vAlign w:val="bottom"/>
            <w:tcBorders>
              <w:bottom w:val="single" w:sz="8" w:color="CDEAFA"/>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660" w:type="dxa"/>
            <w:vAlign w:val="bottom"/>
            <w:shd w:val="clear" w:color="auto" w:fill="CDEAFA"/>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721.9</w:t>
            </w: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60" w:type="dxa"/>
            <w:vAlign w:val="bottom"/>
            <w:shd w:val="clear" w:color="auto" w:fill="CDEAFA"/>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60" w:type="dxa"/>
            <w:vAlign w:val="bottom"/>
            <w:tcBorders>
              <w:bottom w:val="single" w:sz="8" w:color="CDEAFA"/>
            </w:tcBorders>
          </w:tcPr>
          <w:p>
            <w:pPr>
              <w:ind w:left="40"/>
              <w:spacing w:after="0"/>
              <w:rPr>
                <w:sz w:val="20"/>
                <w:szCs w:val="20"/>
                <w:color w:val="auto"/>
              </w:rPr>
            </w:pPr>
            <w:r>
              <w:rPr>
                <w:rFonts w:ascii="Arial" w:cs="Arial" w:eastAsia="Arial" w:hAnsi="Arial"/>
                <w:sz w:val="18"/>
                <w:szCs w:val="18"/>
                <w:color w:val="auto"/>
              </w:rPr>
              <w:t>Deferred costs</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w:t>
            </w:r>
          </w:p>
        </w:tc>
        <w:tc>
          <w:tcPr>
            <w:tcW w:w="16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60" w:type="dxa"/>
            <w:vAlign w:val="bottom"/>
            <w:tcBorders>
              <w:bottom w:val="single" w:sz="8" w:color="CDEAFA"/>
            </w:tcBorders>
            <w:shd w:val="clear" w:color="auto" w:fill="CDEAFA"/>
          </w:tcPr>
          <w:p>
            <w:pPr>
              <w:spacing w:after="0"/>
              <w:rPr>
                <w:sz w:val="19"/>
                <w:szCs w:val="19"/>
                <w:color w:val="auto"/>
              </w:rPr>
            </w:pPr>
          </w:p>
        </w:tc>
        <w:tc>
          <w:tcPr>
            <w:tcW w:w="26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1,951.3</w:t>
            </w:r>
          </w:p>
        </w:tc>
        <w:tc>
          <w:tcPr>
            <w:tcW w:w="160" w:type="dxa"/>
            <w:vAlign w:val="bottom"/>
            <w:tcBorders>
              <w:bottom w:val="single" w:sz="8" w:color="CDEAFA"/>
            </w:tcBorders>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1,916.6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Inventory balances in the table above are net of reserves of $510.0 million and $136.4 million as of December 31, 2021 and 2020, respectively. Deferred costs represent the costs of product manufactured and shipped to the Company’s collaborators for which recognition of revenue has been deferred. For the years ended December 31, 2021, 2020, and 2019, Cost of goods sold included inventory write-offs and reserves totaling $457.1 million, $39.2 million, and $73.8 million, respectively. Included in the 2021 write-off and reserve amount was a fourth quarter charge of $231.7 million to write down our REGEN-COV inventory as a result of data that showed REGEN-COV was highly unlikely to be active against the Omicron variant and the FDA revision of the EUA for REGEN-COV, pursuant to which REGEN-COV was no longer authorized for use in any U.S. states, territories, or jurisdictions.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7. Property, Plant, and Equipment</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Property, plant, and equipment consists of the following:</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3"/>
              </w:rPr>
              <w:t>As of December 31,</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60" w:type="dxa"/>
            <w:vAlign w:val="bottom"/>
            <w:tcBorders>
              <w:bottom w:val="single" w:sz="8" w:color="CDEAFA"/>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660" w:type="dxa"/>
            <w:vAlign w:val="bottom"/>
            <w:shd w:val="clear" w:color="auto" w:fill="CDEAFA"/>
          </w:tcPr>
          <w:p>
            <w:pPr>
              <w:ind w:left="4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248.0</w:t>
            </w: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6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1,891.1</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60" w:type="dxa"/>
            <w:vAlign w:val="bottom"/>
            <w:shd w:val="clear" w:color="auto" w:fill="CDEAFA"/>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113.9</w:t>
            </w: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6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724.5</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60" w:type="dxa"/>
            <w:vAlign w:val="bottom"/>
            <w:shd w:val="clear" w:color="auto" w:fill="CDEAFA"/>
          </w:tcPr>
          <w:p>
            <w:pPr>
              <w:ind w:left="40"/>
              <w:spacing w:after="0"/>
              <w:rPr>
                <w:sz w:val="20"/>
                <w:szCs w:val="20"/>
                <w:color w:val="auto"/>
              </w:rPr>
            </w:pPr>
            <w:r>
              <w:rPr>
                <w:rFonts w:ascii="Arial" w:cs="Arial" w:eastAsia="Arial" w:hAnsi="Arial"/>
                <w:sz w:val="18"/>
                <w:szCs w:val="18"/>
                <w:color w:val="auto"/>
              </w:rPr>
              <w:t>Laboratory equipment</w:t>
            </w:r>
          </w:p>
        </w:tc>
        <w:tc>
          <w:tcPr>
            <w:tcW w:w="26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1,225.5</w:t>
            </w: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1,038.6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6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60" w:type="dxa"/>
            <w:vAlign w:val="bottom"/>
            <w:shd w:val="clear" w:color="auto" w:fill="CDEAFA"/>
          </w:tcPr>
          <w:p>
            <w:pPr>
              <w:ind w:left="40"/>
              <w:spacing w:after="0"/>
              <w:rPr>
                <w:sz w:val="20"/>
                <w:szCs w:val="20"/>
                <w:color w:val="auto"/>
              </w:rPr>
            </w:pPr>
            <w:r>
              <w:rPr>
                <w:rFonts w:ascii="Arial" w:cs="Arial" w:eastAsia="Arial" w:hAnsi="Arial"/>
                <w:sz w:val="18"/>
                <w:szCs w:val="18"/>
                <w:color w:val="auto"/>
              </w:rPr>
              <w:t>Furniture, office equipment, and other</w:t>
            </w:r>
          </w:p>
        </w:tc>
        <w:tc>
          <w:tcPr>
            <w:tcW w:w="260" w:type="dxa"/>
            <w:vAlign w:val="bottom"/>
            <w:tcBorders>
              <w:bottom w:val="single" w:sz="8" w:color="auto"/>
            </w:tcBorders>
            <w:shd w:val="clear" w:color="auto" w:fill="CDEAFA"/>
          </w:tcPr>
          <w:p>
            <w:pPr>
              <w:spacing w:after="0"/>
              <w:rPr>
                <w:sz w:val="19"/>
                <w:szCs w:val="19"/>
                <w:color w:val="auto"/>
              </w:rPr>
            </w:pPr>
          </w:p>
        </w:tc>
        <w:tc>
          <w:tcPr>
            <w:tcW w:w="7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spacing w:after="0"/>
              <w:rPr>
                <w:sz w:val="19"/>
                <w:szCs w:val="19"/>
                <w:color w:val="auto"/>
              </w:rPr>
            </w:pPr>
          </w:p>
        </w:tc>
        <w:tc>
          <w:tcPr>
            <w:tcW w:w="7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4,352.7</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60" w:type="dxa"/>
            <w:vAlign w:val="bottom"/>
            <w:shd w:val="clear" w:color="auto" w:fill="CDEAFA"/>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shd w:val="clear" w:color="auto" w:fill="CDEAFA"/>
          </w:tcPr>
          <w:p>
            <w:pPr>
              <w:spacing w:after="0"/>
              <w:rPr>
                <w:sz w:val="19"/>
                <w:szCs w:val="19"/>
                <w:color w:val="auto"/>
              </w:rPr>
            </w:pPr>
          </w:p>
        </w:tc>
        <w:tc>
          <w:tcPr>
            <w:tcW w:w="7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(1,398.1)</w:t>
            </w:r>
          </w:p>
        </w:tc>
        <w:tc>
          <w:tcPr>
            <w:tcW w:w="160" w:type="dxa"/>
            <w:vAlign w:val="bottom"/>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spacing w:after="0"/>
              <w:rPr>
                <w:sz w:val="19"/>
                <w:szCs w:val="19"/>
                <w:color w:val="auto"/>
              </w:rPr>
            </w:pPr>
          </w:p>
        </w:tc>
        <w:tc>
          <w:tcPr>
            <w:tcW w:w="7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(1,131.1)</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Property, plant, and equipment in the table above includes leased property under the Company’s finance lease at its Tarrytown, New York facility. See Note 10.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expense on property, plant, and equipment was $281.1 million, $230.8 million, and $205.2 million for the years ended December 31, 2021, 2020, and 2019,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2021 and 2020, $2.684 billion and $2.398 billion, respectively, of the Company’s net property, plant, and equipment was located in the United States and $797.8 million and $823.8 million, respectively, was located in Europe (primarily in Ireland).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00" w:type="dxa"/>
            <w:vAlign w:val="bottom"/>
          </w:tcPr>
          <w:p>
            <w:pPr>
              <w:spacing w:after="0"/>
              <w:rPr>
                <w:sz w:val="24"/>
                <w:szCs w:val="24"/>
                <w:color w:val="auto"/>
              </w:rPr>
            </w:pPr>
          </w:p>
        </w:tc>
        <w:tc>
          <w:tcPr>
            <w:tcW w:w="5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3"/>
              </w:rPr>
              <w:t>As of December 31,</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60" w:type="dxa"/>
            <w:vAlign w:val="bottom"/>
            <w:tcBorders>
              <w:bottom w:val="single" w:sz="8" w:color="CDEAFA"/>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660" w:type="dxa"/>
            <w:vAlign w:val="bottom"/>
            <w:shd w:val="clear" w:color="auto" w:fill="CDEAFA"/>
          </w:tcPr>
          <w:p>
            <w:pPr>
              <w:ind w:left="40"/>
              <w:spacing w:after="0"/>
              <w:rPr>
                <w:sz w:val="20"/>
                <w:szCs w:val="20"/>
                <w:color w:val="auto"/>
              </w:rPr>
            </w:pPr>
            <w:r>
              <w:rPr>
                <w:rFonts w:ascii="Arial" w:cs="Arial" w:eastAsia="Arial" w:hAnsi="Arial"/>
                <w:sz w:val="18"/>
                <w:szCs w:val="18"/>
                <w:color w:val="auto"/>
              </w:rPr>
              <w:t>Accrued payroll and related costs</w:t>
            </w:r>
          </w:p>
        </w:tc>
        <w:tc>
          <w:tcPr>
            <w:tcW w:w="2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440.7</w:t>
            </w: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60" w:type="dxa"/>
            <w:vAlign w:val="bottom"/>
          </w:tcPr>
          <w:p>
            <w:pPr>
              <w:ind w:left="40"/>
              <w:spacing w:after="0"/>
              <w:rPr>
                <w:sz w:val="20"/>
                <w:szCs w:val="20"/>
                <w:color w:val="auto"/>
              </w:rPr>
            </w:pPr>
            <w:r>
              <w:rPr>
                <w:rFonts w:ascii="Arial" w:cs="Arial" w:eastAsia="Arial" w:hAnsi="Arial"/>
                <w:sz w:val="18"/>
                <w:szCs w:val="18"/>
                <w:color w:val="auto"/>
              </w:rPr>
              <w:t>Accrued clinical expenses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60" w:type="dxa"/>
            <w:vAlign w:val="bottom"/>
            <w:shd w:val="clear" w:color="auto" w:fill="CDEAFA"/>
          </w:tcPr>
          <w:p>
            <w:pPr>
              <w:ind w:left="40"/>
              <w:spacing w:after="0"/>
              <w:rPr>
                <w:sz w:val="20"/>
                <w:szCs w:val="20"/>
                <w:color w:val="auto"/>
              </w:rPr>
            </w:pPr>
            <w:r>
              <w:rPr>
                <w:rFonts w:ascii="Arial" w:cs="Arial" w:eastAsia="Arial" w:hAnsi="Arial"/>
                <w:sz w:val="18"/>
                <w:szCs w:val="18"/>
                <w:color w:val="auto"/>
              </w:rPr>
              <w:t>Accrued sales-related costs</w:t>
            </w:r>
          </w:p>
        </w:tc>
        <w:tc>
          <w:tcPr>
            <w:tcW w:w="26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472.7</w:t>
            </w: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6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60" w:type="dxa"/>
            <w:vAlign w:val="bottom"/>
            <w:shd w:val="clear" w:color="auto" w:fill="CDEAFA"/>
          </w:tcPr>
          <w:p>
            <w:pPr>
              <w:ind w:left="40"/>
              <w:spacing w:after="0"/>
              <w:rPr>
                <w:sz w:val="20"/>
                <w:szCs w:val="20"/>
                <w:color w:val="auto"/>
              </w:rPr>
            </w:pPr>
            <w:r>
              <w:rPr>
                <w:rFonts w:ascii="Arial" w:cs="Arial" w:eastAsia="Arial" w:hAnsi="Arial"/>
                <w:sz w:val="18"/>
                <w:szCs w:val="18"/>
                <w:color w:val="auto"/>
              </w:rPr>
              <w:t>Amounts due to collaborators (see Note 3)</w:t>
            </w:r>
          </w:p>
        </w:tc>
        <w:tc>
          <w:tcPr>
            <w:tcW w:w="26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287.4</w:t>
            </w: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7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60" w:type="dxa"/>
            <w:vAlign w:val="bottom"/>
            <w:tcBorders>
              <w:bottom w:val="single" w:sz="8" w:color="CDEAFA"/>
            </w:tcBorders>
          </w:tcPr>
          <w:p>
            <w:pPr>
              <w:ind w:left="40"/>
              <w:spacing w:after="0"/>
              <w:rPr>
                <w:sz w:val="20"/>
                <w:szCs w:val="20"/>
                <w:color w:val="auto"/>
              </w:rPr>
            </w:pPr>
            <w:r>
              <w:rPr>
                <w:rFonts w:ascii="Arial" w:cs="Arial" w:eastAsia="Arial" w:hAnsi="Arial"/>
                <w:sz w:val="18"/>
                <w:szCs w:val="18"/>
                <w:color w:val="auto"/>
              </w:rPr>
              <w:t>Other accrued expenses and liabilities</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16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60" w:type="dxa"/>
            <w:vAlign w:val="bottom"/>
            <w:tcBorders>
              <w:bottom w:val="single" w:sz="8" w:color="CDEAFA"/>
            </w:tcBorders>
            <w:shd w:val="clear" w:color="auto" w:fill="CDEAFA"/>
          </w:tcPr>
          <w:p>
            <w:pPr>
              <w:spacing w:after="0"/>
              <w:rPr>
                <w:sz w:val="19"/>
                <w:szCs w:val="19"/>
                <w:color w:val="auto"/>
              </w:rPr>
            </w:pPr>
          </w:p>
        </w:tc>
        <w:tc>
          <w:tcPr>
            <w:tcW w:w="26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2,206.8</w:t>
            </w:r>
          </w:p>
        </w:tc>
        <w:tc>
          <w:tcPr>
            <w:tcW w:w="160" w:type="dxa"/>
            <w:vAlign w:val="bottom"/>
            <w:tcBorders>
              <w:bottom w:val="single" w:sz="8" w:color="CDEAFA"/>
            </w:tcBorders>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1,644.2</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2018,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$50.0 million sublimit for letters of credit. The Credit Agreement includes an option for us to elect to extend the maturity date of the Credit Facility beyond December 2023,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2021.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financial and operating covenants. The Company was in compliance with all covenants of the Credit Facility as of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 Facility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 11, in the second quarter of 2020, we purchased shares of our Common Stock from Sanofi in connection with Sanofi’s secondary offering of our Common Stock held by Sanofi. This purchase was partially funded with proceeds from loans under a $1.5 billion senior unsecured bridge loan facility (the “Bridge Facility”) which was entered into in May 2020. The loans under the Bridge Facility bore interest at a variable interest rate based on either the London Interbank Offered Rate or the alternate base rate, plus an applicable margin that varied with our debt rating and total leverage ratio. The Bridge Facility was repaid in full during the third quarter of 2020 following the closing of the issuance and sale of the Company’s senior notes (as described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2020, we issued and sold $1.250 billion aggregate principal amount of senior unsecured notes due 2030 and $750 million aggregate principal amount of senior unsecured notes due 2050 (collectively, the “Notes”). Net proceeds from the issuance and sale of the Notes (after deducting underwriting discounts and offering expenses) were used in part to repay in full the Bridge Facility described above. The underwriting discounts and offering expenses are being amortized as additional interest expense over the period from issuance through maturity.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Long-term debt in connection with our senior unsecured notes, net of underwriting discounts and offering expenses, consists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1540" w:type="dxa"/>
            <w:vAlign w:val="bottom"/>
            <w:gridSpan w:val="3"/>
          </w:tcPr>
          <w:p>
            <w:pPr>
              <w:ind w:left="14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6120" w:type="dxa"/>
            <w:vAlign w:val="bottom"/>
            <w:tcBorders>
              <w:bottom w:val="single" w:sz="8" w:color="CDEAFA"/>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DEAFA"/>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120" w:type="dxa"/>
            <w:vAlign w:val="bottom"/>
            <w:shd w:val="clear" w:color="auto" w:fill="CDEAFA"/>
          </w:tcPr>
          <w:p>
            <w:pPr>
              <w:ind w:left="40"/>
              <w:spacing w:after="0"/>
              <w:rPr>
                <w:sz w:val="20"/>
                <w:szCs w:val="20"/>
                <w:color w:val="auto"/>
              </w:rPr>
            </w:pPr>
            <w:r>
              <w:rPr>
                <w:rFonts w:ascii="Arial" w:cs="Arial" w:eastAsia="Arial" w:hAnsi="Arial"/>
                <w:sz w:val="18"/>
                <w:szCs w:val="18"/>
                <w:color w:val="auto"/>
              </w:rPr>
              <w:t>1.750% Senior Notes due September 2030</w:t>
            </w:r>
          </w:p>
        </w:tc>
        <w:tc>
          <w:tcPr>
            <w:tcW w:w="340" w:type="dxa"/>
            <w:vAlign w:val="bottom"/>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1,239.9</w:t>
            </w:r>
          </w:p>
        </w:tc>
        <w:tc>
          <w:tcPr>
            <w:tcW w:w="180" w:type="dxa"/>
            <w:vAlign w:val="bottom"/>
            <w:shd w:val="clear" w:color="auto" w:fill="CDEAFA"/>
          </w:tcPr>
          <w:p>
            <w:pPr>
              <w:spacing w:after="0"/>
              <w:rPr>
                <w:sz w:val="18"/>
                <w:szCs w:val="18"/>
                <w:color w:val="auto"/>
              </w:rPr>
            </w:pPr>
          </w:p>
        </w:tc>
        <w:tc>
          <w:tcPr>
            <w:tcW w:w="320" w:type="dxa"/>
            <w:vAlign w:val="bottom"/>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1,238.7</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DEAFA"/>
            </w:tcBorders>
          </w:tcPr>
          <w:p>
            <w:pPr>
              <w:ind w:left="40"/>
              <w:spacing w:after="0"/>
              <w:rPr>
                <w:sz w:val="20"/>
                <w:szCs w:val="20"/>
                <w:color w:val="auto"/>
              </w:rPr>
            </w:pPr>
            <w:r>
              <w:rPr>
                <w:rFonts w:ascii="Arial" w:cs="Arial" w:eastAsia="Arial" w:hAnsi="Arial"/>
                <w:sz w:val="18"/>
                <w:szCs w:val="18"/>
                <w:color w:val="auto"/>
              </w:rPr>
              <w:t>2.800% Senior Notes due September 2050</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740.1</w:t>
            </w:r>
          </w:p>
        </w:tc>
        <w:tc>
          <w:tcPr>
            <w:tcW w:w="180" w:type="dxa"/>
            <w:vAlign w:val="bottom"/>
            <w:tcBorders>
              <w:bottom w:val="single" w:sz="8" w:color="CDEAF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DEAFA"/>
            </w:tcBorders>
            <w:shd w:val="clear" w:color="auto" w:fill="CDEAFA"/>
          </w:tcPr>
          <w:p>
            <w:pPr>
              <w:spacing w:after="0"/>
              <w:rPr>
                <w:sz w:val="19"/>
                <w:szCs w:val="19"/>
                <w:color w:val="auto"/>
              </w:rPr>
            </w:pPr>
          </w:p>
        </w:tc>
        <w:tc>
          <w:tcPr>
            <w:tcW w:w="340" w:type="dxa"/>
            <w:vAlign w:val="bottom"/>
            <w:tcBorders>
              <w:bottom w:val="single" w:sz="8" w:color="auto"/>
            </w:tcBorders>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1,980.0</w:t>
            </w:r>
          </w:p>
        </w:tc>
        <w:tc>
          <w:tcPr>
            <w:tcW w:w="180" w:type="dxa"/>
            <w:vAlign w:val="bottom"/>
            <w:tcBorders>
              <w:bottom w:val="single" w:sz="8" w:color="CDEAFA"/>
            </w:tcBorders>
            <w:shd w:val="clear" w:color="auto" w:fill="CDEAFA"/>
          </w:tcPr>
          <w:p>
            <w:pPr>
              <w:spacing w:after="0"/>
              <w:rPr>
                <w:sz w:val="19"/>
                <w:szCs w:val="19"/>
                <w:color w:val="auto"/>
              </w:rPr>
            </w:pPr>
          </w:p>
        </w:tc>
        <w:tc>
          <w:tcPr>
            <w:tcW w:w="320" w:type="dxa"/>
            <w:vAlign w:val="bottom"/>
            <w:tcBorders>
              <w:bottom w:val="single" w:sz="8" w:color="auto"/>
            </w:tcBorders>
            <w:shd w:val="clear" w:color="auto" w:fill="CDEAFA"/>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Interest on each series of Notes is payable semi-annually in arrears on March 15 and September 15 of each year until their respective maturity dates.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related to the Notes was $44.4 million and $17.6 million for the years ended December 31, 2021 and 2020, respectively.</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Notes may be redeemed at the Company’s option at any time at 100% of the principal amount plus accrued and unpaid interest, and, until a specified period before maturity, a specified make-whole amount. The Notes contain a change-of-control provision that, under certain circumstances, may require the Company to offer to repurchase the Notes at a price equal to 101% of the principal amount plus accrued and unpaid interest. The Notes also contain certain limitations on the Company’s ability to incur liens and enter into sale and leaseback transactions, as well as customary events of default.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15 for disclosures related to legal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Leases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conduct certain of our research, development, and administrative activities at leased facilities. We also lease certain warehouses and vehicles.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recognized in our Consolidated Balance Sheets and Statements of Operations included in this report associated with operating leases were not material. Operating lease right-of-use assets are included within Other noncurrent assets, and lease liabilities are included in Accrued expenses and other current liabilities and Other noncurrent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2017, we entered into a Participation Agreement with BA Leasing BSC, LLC, an affiliate of Banc of America Leasing &amp; Capital LLC (“BAL”), as lessor, and a syndicate of lenders (collectively with BAL, the “Lease Participants”), which provided for $720.0 million of lease financing from the Lease Participants for the acquisition of laboratory and office facilities in Tarrytown, New York (the “Facility”). In March 2017, we also entered into a Lease and Remedies Agreement with BAL, pursuant to which we have leased the Facility from BAL for a five-year term ending in March 2022. The Participation Agreement, the Lease and Remedies Agreement, and certain other related agreements were amended and restated in May 2019, among other things, to revise certain covenants, representations and warranties, and events of default to be substantially similar to those set forth in our Credit Facility (as so amended and restated, the “Participation Agreement” and the “Lease,” respectively). The Lease requires us to pay all maintenance, insurance, taxes, and other costs arising out of the use of the Facility. We are also required to make monthly payments of basic rent during the term of the Lease in an amount equal to a variable rate per annum based on the one-month LIBOR, plus an applicable margin that varies with our debt rating and total leverage ratio. The Participation Agreement and the Lease include an option for us to elect to extend the maturity date of the Participation Agreement and the term of the Lease for an additional five-year period, subject to the consent of all the Lease Participants and certain other conditions. We also have the option prior to the end of the term of the Lease to (a) purchase the Facility by paying an amount equal to the outstanding principal amount of the Lease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5" w:name="page136"/>
    <w:bookmarkEnd w:id="135"/>
    <w:p>
      <w:pPr>
        <w:jc w:val="both"/>
        <w:spacing w:after="0" w:line="275" w:lineRule="auto"/>
        <w:rPr>
          <w:sz w:val="20"/>
          <w:szCs w:val="20"/>
          <w:color w:val="auto"/>
        </w:rPr>
      </w:pPr>
      <w:r>
        <w:rPr>
          <w:rFonts w:ascii="Arial" w:cs="Arial" w:eastAsia="Arial" w:hAnsi="Arial"/>
          <w:sz w:val="17"/>
          <w:szCs w:val="17"/>
          <w:color w:val="auto"/>
        </w:rPr>
        <w:t>In September 2021, we delivered a request to the Lease Participants to potentially exercise the option for a five-year extension of the term of the Lease and the maturity date under the Participation Agreement. In November 2021, the Lease Participants consented to such extension, subject to the satisfaction of certain conditions prior to the expiration of the existing term in March 2022, including the negotiation and execution of satisfactory definitive documentation setting forth the terms and conditions that would apply during such potential extended term. We are negotiating such documentation with the Lease Participants, but there can be no assurance that such extension will become effective.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Lease is classified as a finance lease as we have the option to purchase the Facility under terms that make it reasonably certain to be exercised. The agreements governing the Lease financing contain financial and operating covenants. The Company was in compliance with all such covenants as of December 31, 2021.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Amounts recognized in the Consolidated Balance Sheet related to the Lease are included in the table below. Other than the Lease described above, we had no leases accounted for as finance leases as of December 31, 2021 and 2020.</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3740" w:type="dxa"/>
            <w:vAlign w:val="bottom"/>
            <w:gridSpan w:val="2"/>
          </w:tcPr>
          <w:p>
            <w:pPr>
              <w:ind w:left="1240"/>
              <w:spacing w:after="0"/>
              <w:rPr>
                <w:sz w:val="20"/>
                <w:szCs w:val="20"/>
                <w:color w:val="auto"/>
              </w:rPr>
            </w:pPr>
            <w:r>
              <w:rPr>
                <w:rFonts w:ascii="Arial" w:cs="Arial" w:eastAsia="Arial" w:hAnsi="Arial"/>
                <w:sz w:val="18"/>
                <w:szCs w:val="18"/>
                <w:b w:val="1"/>
                <w:bCs w:val="1"/>
                <w:color w:val="auto"/>
              </w:rPr>
              <w:t>Classification</w:t>
            </w:r>
          </w:p>
        </w:tc>
        <w:tc>
          <w:tcPr>
            <w:tcW w:w="34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0"/>
        </w:trPr>
        <w:tc>
          <w:tcPr>
            <w:tcW w:w="3540" w:type="dxa"/>
            <w:vAlign w:val="bottom"/>
            <w:tcBorders>
              <w:top w:val="single" w:sz="8" w:color="CDEAFA"/>
            </w:tcBorders>
            <w:shd w:val="clear" w:color="auto" w:fill="CDEAFA"/>
          </w:tcPr>
          <w:p>
            <w:pPr>
              <w:ind w:left="40"/>
              <w:spacing w:after="0"/>
              <w:rPr>
                <w:sz w:val="20"/>
                <w:szCs w:val="20"/>
                <w:color w:val="auto"/>
              </w:rPr>
            </w:pPr>
            <w:r>
              <w:rPr>
                <w:rFonts w:ascii="Arial" w:cs="Arial" w:eastAsia="Arial" w:hAnsi="Arial"/>
                <w:sz w:val="18"/>
                <w:szCs w:val="18"/>
                <w:color w:val="auto"/>
              </w:rPr>
              <w:t>Finance lease right-of-use assets</w:t>
            </w:r>
          </w:p>
        </w:tc>
        <w:tc>
          <w:tcPr>
            <w:tcW w:w="3520" w:type="dxa"/>
            <w:vAlign w:val="bottom"/>
            <w:tcBorders>
              <w:top w:val="single" w:sz="8" w:color="auto"/>
            </w:tcBorders>
            <w:shd w:val="clear" w:color="auto" w:fill="CDEAFA"/>
          </w:tcPr>
          <w:p>
            <w:pPr>
              <w:ind w:left="40"/>
              <w:spacing w:after="0" w:line="250" w:lineRule="exact"/>
              <w:rPr>
                <w:sz w:val="20"/>
                <w:szCs w:val="20"/>
                <w:color w:val="auto"/>
              </w:rPr>
            </w:pPr>
            <w:r>
              <w:rPr>
                <w:rFonts w:ascii="Arial" w:cs="Arial" w:eastAsia="Arial" w:hAnsi="Arial"/>
                <w:sz w:val="17"/>
                <w:szCs w:val="17"/>
                <w:color w:val="auto"/>
              </w:rPr>
              <w:t>Property, plant, and equipment, net</w:t>
            </w:r>
            <w:r>
              <w:rPr>
                <w:rFonts w:ascii="Arial" w:cs="Arial" w:eastAsia="Arial" w:hAnsi="Arial"/>
                <w:sz w:val="28"/>
                <w:szCs w:val="28"/>
                <w:color w:val="auto"/>
                <w:vertAlign w:val="superscript"/>
              </w:rPr>
              <w:t>(1)</w:t>
            </w:r>
          </w:p>
        </w:tc>
        <w:tc>
          <w:tcPr>
            <w:tcW w:w="220" w:type="dxa"/>
            <w:vAlign w:val="bottom"/>
            <w:tcBorders>
              <w:top w:val="single" w:sz="8" w:color="CDEAFA"/>
            </w:tcBorders>
            <w:shd w:val="clear" w:color="auto" w:fill="CDEAFA"/>
          </w:tcPr>
          <w:p>
            <w:pPr>
              <w:spacing w:after="0"/>
              <w:rPr>
                <w:sz w:val="21"/>
                <w:szCs w:val="21"/>
                <w:color w:val="auto"/>
              </w:rPr>
            </w:pPr>
          </w:p>
        </w:tc>
        <w:tc>
          <w:tcPr>
            <w:tcW w:w="340" w:type="dxa"/>
            <w:vAlign w:val="bottom"/>
            <w:tcBorders>
              <w:top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631.3</w:t>
            </w:r>
          </w:p>
        </w:tc>
        <w:tc>
          <w:tcPr>
            <w:tcW w:w="200" w:type="dxa"/>
            <w:vAlign w:val="bottom"/>
            <w:tcBorders>
              <w:top w:val="single" w:sz="8" w:color="CDEAFA"/>
            </w:tcBorders>
            <w:shd w:val="clear" w:color="auto" w:fill="CDEAFA"/>
          </w:tcPr>
          <w:p>
            <w:pPr>
              <w:spacing w:after="0"/>
              <w:rPr>
                <w:sz w:val="21"/>
                <w:szCs w:val="21"/>
                <w:color w:val="auto"/>
              </w:rPr>
            </w:pPr>
          </w:p>
        </w:tc>
        <w:tc>
          <w:tcPr>
            <w:tcW w:w="340" w:type="dxa"/>
            <w:vAlign w:val="bottom"/>
            <w:tcBorders>
              <w:top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3740" w:type="dxa"/>
            <w:vAlign w:val="bottom"/>
            <w:gridSpan w:val="2"/>
          </w:tcPr>
          <w:p>
            <w:pPr>
              <w:ind w:left="40"/>
              <w:spacing w:after="0"/>
              <w:rPr>
                <w:sz w:val="20"/>
                <w:szCs w:val="20"/>
                <w:color w:val="auto"/>
              </w:rPr>
            </w:pPr>
            <w:r>
              <w:rPr>
                <w:rFonts w:ascii="Arial" w:cs="Arial" w:eastAsia="Arial" w:hAnsi="Arial"/>
                <w:sz w:val="18"/>
                <w:szCs w:val="18"/>
                <w:color w:val="auto"/>
              </w:rPr>
              <w:t>Finance lease liabilities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719.7</w:t>
            </w:r>
          </w:p>
        </w:tc>
        <w:tc>
          <w:tcPr>
            <w:tcW w:w="20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720" w:right="720" w:firstLine="8"/>
        <w:spacing w:after="0" w:line="237" w:lineRule="auto"/>
        <w:tabs>
          <w:tab w:leader="none" w:pos="911"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Finance lease right-of-use assets were recorded net of accumulated amortization of $104.9 million and $90.5 million as of December 31, 2021 and 2020,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Finance lease costs consist of the following:</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540" w:type="dxa"/>
            <w:vAlign w:val="bottom"/>
          </w:tcPr>
          <w:p>
            <w:pPr>
              <w:spacing w:after="0"/>
              <w:rPr>
                <w:sz w:val="24"/>
                <w:szCs w:val="24"/>
                <w:color w:val="auto"/>
              </w:rPr>
            </w:pPr>
          </w:p>
        </w:tc>
        <w:tc>
          <w:tcPr>
            <w:tcW w:w="360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3600" w:type="dxa"/>
            <w:vAlign w:val="bottom"/>
            <w:tcBorders>
              <w:bottom w:val="single" w:sz="8" w:color="CDEAFA"/>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3600" w:type="dxa"/>
            <w:vAlign w:val="bottom"/>
            <w:shd w:val="clear" w:color="auto" w:fill="CDEAFA"/>
          </w:tcPr>
          <w:p>
            <w:pPr>
              <w:ind w:left="6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CDEAFA"/>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DEAFA"/>
          </w:tcPr>
          <w:p>
            <w:pPr>
              <w:spacing w:after="0"/>
              <w:rPr>
                <w:sz w:val="18"/>
                <w:szCs w:val="18"/>
                <w:color w:val="auto"/>
              </w:rPr>
            </w:pPr>
          </w:p>
        </w:tc>
        <w:tc>
          <w:tcPr>
            <w:tcW w:w="280" w:type="dxa"/>
            <w:vAlign w:val="bottom"/>
            <w:shd w:val="clear" w:color="auto" w:fill="CDEAFA"/>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DEAFA"/>
          </w:tcPr>
          <w:p>
            <w:pPr>
              <w:jc w:val="right"/>
              <w:ind w:right="5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3600" w:type="dxa"/>
            <w:vAlign w:val="bottom"/>
            <w:tcBorders>
              <w:bottom w:val="single" w:sz="8" w:color="CDEAFA"/>
            </w:tcBorders>
          </w:tcPr>
          <w:p>
            <w:pPr>
              <w:ind w:left="60"/>
              <w:spacing w:after="0"/>
              <w:rPr>
                <w:sz w:val="20"/>
                <w:szCs w:val="20"/>
                <w:color w:val="auto"/>
              </w:rPr>
            </w:pPr>
            <w:r>
              <w:rPr>
                <w:rFonts w:ascii="Arial" w:cs="Arial" w:eastAsia="Arial" w:hAnsi="Arial"/>
                <w:sz w:val="18"/>
                <w:szCs w:val="18"/>
                <w:color w:val="auto"/>
              </w:rPr>
              <w:t>Interest on lease liabilities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3600" w:type="dxa"/>
            <w:vAlign w:val="bottom"/>
            <w:tcBorders>
              <w:bottom w:val="single" w:sz="8" w:color="CDEAFA"/>
            </w:tcBorders>
            <w:shd w:val="clear" w:color="auto" w:fill="CDEAFA"/>
          </w:tcPr>
          <w:p>
            <w:pPr>
              <w:spacing w:after="0"/>
              <w:rPr>
                <w:sz w:val="19"/>
                <w:szCs w:val="19"/>
                <w:color w:val="auto"/>
              </w:rPr>
            </w:pPr>
          </w:p>
        </w:tc>
        <w:tc>
          <w:tcPr>
            <w:tcW w:w="2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DEAFA"/>
            </w:tcBorders>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w w:val="95"/>
              </w:rPr>
              <w:t>Other information related to our finance lease includes the following:</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45"/>
        </w:trPr>
        <w:tc>
          <w:tcPr>
            <w:tcW w:w="1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As of December 31,</w:t>
            </w:r>
          </w:p>
        </w:tc>
        <w:tc>
          <w:tcPr>
            <w:tcW w:w="1980" w:type="dxa"/>
            <w:vAlign w:val="bottom"/>
          </w:tcPr>
          <w:p>
            <w:pPr>
              <w:spacing w:after="0"/>
              <w:rPr>
                <w:sz w:val="24"/>
                <w:szCs w:val="24"/>
                <w:color w:val="auto"/>
              </w:rPr>
            </w:pPr>
          </w:p>
        </w:tc>
      </w:tr>
      <w:tr>
        <w:trPr>
          <w:trHeight w:val="223"/>
        </w:trPr>
        <w:tc>
          <w:tcPr>
            <w:tcW w:w="1980" w:type="dxa"/>
            <w:vAlign w:val="bottom"/>
          </w:tcPr>
          <w:p>
            <w:pPr>
              <w:spacing w:after="0"/>
              <w:rPr>
                <w:sz w:val="19"/>
                <w:szCs w:val="19"/>
                <w:color w:val="auto"/>
              </w:rPr>
            </w:pPr>
          </w:p>
        </w:tc>
        <w:tc>
          <w:tcPr>
            <w:tcW w:w="3240" w:type="dxa"/>
            <w:vAlign w:val="bottom"/>
            <w:tcBorders>
              <w:bottom w:val="single" w:sz="8" w:color="CDEAFA"/>
            </w:tcBorders>
          </w:tcPr>
          <w:p>
            <w:pPr>
              <w:spacing w:after="0"/>
              <w:rPr>
                <w:sz w:val="19"/>
                <w:szCs w:val="19"/>
                <w:color w:val="auto"/>
              </w:rPr>
            </w:pPr>
          </w:p>
        </w:tc>
        <w:tc>
          <w:tcPr>
            <w:tcW w:w="1660" w:type="dxa"/>
            <w:vAlign w:val="bottom"/>
            <w:tcBorders>
              <w:bottom w:val="single" w:sz="8" w:color="CDEAFA"/>
            </w:tcBorders>
          </w:tcPr>
          <w:p>
            <w:pPr>
              <w:spacing w:after="0"/>
              <w:rPr>
                <w:sz w:val="19"/>
                <w:szCs w:val="19"/>
                <w:color w:val="auto"/>
              </w:rPr>
            </w:pPr>
          </w:p>
        </w:tc>
        <w:tc>
          <w:tcPr>
            <w:tcW w:w="220" w:type="dxa"/>
            <w:vAlign w:val="bottom"/>
            <w:tcBorders>
              <w:bottom w:val="single" w:sz="8" w:color="CDEAFA"/>
            </w:tcBorders>
          </w:tcPr>
          <w:p>
            <w:pPr>
              <w:spacing w:after="0"/>
              <w:rPr>
                <w:sz w:val="19"/>
                <w:szCs w:val="19"/>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DEAFA"/>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980" w:type="dxa"/>
            <w:vAlign w:val="bottom"/>
          </w:tcPr>
          <w:p>
            <w:pPr>
              <w:spacing w:after="0"/>
              <w:rPr>
                <w:sz w:val="19"/>
                <w:szCs w:val="19"/>
                <w:color w:val="auto"/>
              </w:rPr>
            </w:pPr>
          </w:p>
        </w:tc>
      </w:tr>
      <w:tr>
        <w:trPr>
          <w:trHeight w:val="210"/>
        </w:trPr>
        <w:tc>
          <w:tcPr>
            <w:tcW w:w="1980" w:type="dxa"/>
            <w:vAlign w:val="bottom"/>
          </w:tcPr>
          <w:p>
            <w:pPr>
              <w:spacing w:after="0"/>
              <w:rPr>
                <w:sz w:val="18"/>
                <w:szCs w:val="18"/>
                <w:color w:val="auto"/>
              </w:rPr>
            </w:pPr>
          </w:p>
        </w:tc>
        <w:tc>
          <w:tcPr>
            <w:tcW w:w="3240" w:type="dxa"/>
            <w:vAlign w:val="bottom"/>
            <w:shd w:val="clear" w:color="auto" w:fill="CDEAFA"/>
          </w:tcPr>
          <w:p>
            <w:pPr>
              <w:ind w:left="60"/>
              <w:spacing w:after="0"/>
              <w:rPr>
                <w:sz w:val="20"/>
                <w:szCs w:val="20"/>
                <w:color w:val="auto"/>
              </w:rPr>
            </w:pPr>
            <w:r>
              <w:rPr>
                <w:rFonts w:ascii="Arial" w:cs="Arial" w:eastAsia="Arial" w:hAnsi="Arial"/>
                <w:sz w:val="18"/>
                <w:szCs w:val="18"/>
                <w:color w:val="auto"/>
              </w:rPr>
              <w:t>Remaining lease term (in years)</w:t>
            </w:r>
          </w:p>
        </w:tc>
        <w:tc>
          <w:tcPr>
            <w:tcW w:w="16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DEAFA"/>
          </w:tcPr>
          <w:p>
            <w:pPr>
              <w:spacing w:after="0"/>
              <w:rPr>
                <w:sz w:val="18"/>
                <w:szCs w:val="18"/>
                <w:color w:val="auto"/>
              </w:rPr>
            </w:pPr>
          </w:p>
        </w:tc>
        <w:tc>
          <w:tcPr>
            <w:tcW w:w="100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1.2</w:t>
            </w:r>
          </w:p>
        </w:tc>
        <w:tc>
          <w:tcPr>
            <w:tcW w:w="1980" w:type="dxa"/>
            <w:vAlign w:val="bottom"/>
          </w:tcPr>
          <w:p>
            <w:pPr>
              <w:spacing w:after="0"/>
              <w:rPr>
                <w:sz w:val="18"/>
                <w:szCs w:val="18"/>
                <w:color w:val="auto"/>
              </w:rPr>
            </w:pPr>
          </w:p>
        </w:tc>
      </w:tr>
      <w:tr>
        <w:trPr>
          <w:trHeight w:val="230"/>
        </w:trPr>
        <w:tc>
          <w:tcPr>
            <w:tcW w:w="1980" w:type="dxa"/>
            <w:vAlign w:val="bottom"/>
          </w:tcPr>
          <w:p>
            <w:pPr>
              <w:spacing w:after="0"/>
              <w:rPr>
                <w:sz w:val="20"/>
                <w:szCs w:val="20"/>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Discount rate</w:t>
            </w:r>
          </w:p>
        </w:tc>
        <w:tc>
          <w:tcPr>
            <w:tcW w:w="2920" w:type="dxa"/>
            <w:vAlign w:val="bottom"/>
            <w:gridSpan w:val="3"/>
          </w:tcPr>
          <w:p>
            <w:pPr>
              <w:jc w:val="right"/>
              <w:ind w:right="7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980" w:type="dxa"/>
            <w:vAlign w:val="bottom"/>
          </w:tcPr>
          <w:p>
            <w:pPr>
              <w:spacing w:after="0"/>
              <w:rPr>
                <w:sz w:val="20"/>
                <w:szCs w:val="20"/>
                <w:color w:val="auto"/>
              </w:rPr>
            </w:pPr>
          </w:p>
        </w:tc>
      </w:tr>
      <w:tr>
        <w:trPr>
          <w:trHeight w:val="418"/>
        </w:trPr>
        <w:tc>
          <w:tcPr>
            <w:tcW w:w="5220" w:type="dxa"/>
            <w:vAlign w:val="bottom"/>
            <w:gridSpan w:val="2"/>
          </w:tcPr>
          <w:p>
            <w:pPr>
              <w:spacing w:after="0"/>
              <w:rPr>
                <w:sz w:val="20"/>
                <w:szCs w:val="20"/>
                <w:color w:val="auto"/>
              </w:rPr>
            </w:pPr>
            <w:r>
              <w:rPr>
                <w:rFonts w:ascii="Arial" w:cs="Arial" w:eastAsia="Arial" w:hAnsi="Arial"/>
                <w:sz w:val="18"/>
                <w:szCs w:val="18"/>
                <w:i w:val="1"/>
                <w:iCs w:val="1"/>
                <w:color w:val="auto"/>
              </w:rPr>
              <w:t>Supplemental information</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color w:val="auto"/>
              </w:rPr>
              <w:t>The following is a maturity analysis of our finance lease liabilities: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45"/>
        </w:trPr>
        <w:tc>
          <w:tcPr>
            <w:tcW w:w="1980" w:type="dxa"/>
            <w:vAlign w:val="bottom"/>
          </w:tcPr>
          <w:p>
            <w:pPr>
              <w:spacing w:after="0"/>
              <w:rPr>
                <w:sz w:val="24"/>
                <w:szCs w:val="24"/>
                <w:color w:val="auto"/>
              </w:rPr>
            </w:pPr>
          </w:p>
        </w:tc>
        <w:tc>
          <w:tcPr>
            <w:tcW w:w="3240" w:type="dxa"/>
            <w:vAlign w:val="bottom"/>
            <w:tcBorders>
              <w:bottom w:val="single" w:sz="8" w:color="CDEAFA"/>
            </w:tcBorders>
          </w:tcPr>
          <w:p>
            <w:pPr>
              <w:ind w:left="60"/>
              <w:spacing w:after="0"/>
              <w:rPr>
                <w:sz w:val="20"/>
                <w:szCs w:val="20"/>
                <w:color w:val="auto"/>
              </w:rPr>
            </w:pPr>
            <w:r>
              <w:rPr>
                <w:rFonts w:ascii="Arial" w:cs="Arial" w:eastAsia="Arial" w:hAnsi="Arial"/>
                <w:sz w:val="18"/>
                <w:szCs w:val="18"/>
                <w:i w:val="1"/>
                <w:iCs w:val="1"/>
                <w:color w:val="auto"/>
              </w:rPr>
              <w:t>(In millions)</w:t>
            </w:r>
          </w:p>
        </w:tc>
        <w:tc>
          <w:tcPr>
            <w:tcW w:w="1660" w:type="dxa"/>
            <w:vAlign w:val="bottom"/>
            <w:tcBorders>
              <w:bottom w:val="single" w:sz="8" w:color="CDEAFA"/>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89"/>
              </w:rPr>
              <w:t>As of December 31, 2021</w:t>
            </w:r>
          </w:p>
        </w:tc>
        <w:tc>
          <w:tcPr>
            <w:tcW w:w="1980" w:type="dxa"/>
            <w:vAlign w:val="bottom"/>
          </w:tcPr>
          <w:p>
            <w:pPr>
              <w:spacing w:after="0"/>
              <w:rPr>
                <w:sz w:val="24"/>
                <w:szCs w:val="24"/>
                <w:color w:val="auto"/>
              </w:rPr>
            </w:pPr>
          </w:p>
        </w:tc>
      </w:tr>
      <w:tr>
        <w:trPr>
          <w:trHeight w:val="209"/>
        </w:trPr>
        <w:tc>
          <w:tcPr>
            <w:tcW w:w="1980" w:type="dxa"/>
            <w:vAlign w:val="bottom"/>
          </w:tcPr>
          <w:p>
            <w:pPr>
              <w:spacing w:after="0"/>
              <w:rPr>
                <w:sz w:val="18"/>
                <w:szCs w:val="18"/>
                <w:color w:val="auto"/>
              </w:rPr>
            </w:pPr>
          </w:p>
        </w:tc>
        <w:tc>
          <w:tcPr>
            <w:tcW w:w="3240" w:type="dxa"/>
            <w:vAlign w:val="bottom"/>
            <w:shd w:val="clear" w:color="auto" w:fill="CDEAFA"/>
          </w:tcPr>
          <w:p>
            <w:pPr>
              <w:ind w:left="60"/>
              <w:spacing w:after="0"/>
              <w:rPr>
                <w:sz w:val="20"/>
                <w:szCs w:val="20"/>
                <w:color w:val="auto"/>
              </w:rPr>
            </w:pPr>
            <w:r>
              <w:rPr>
                <w:rFonts w:ascii="Arial" w:cs="Arial" w:eastAsia="Arial" w:hAnsi="Arial"/>
                <w:sz w:val="18"/>
                <w:szCs w:val="18"/>
                <w:color w:val="auto"/>
              </w:rPr>
              <w:t>2022</w:t>
            </w:r>
          </w:p>
        </w:tc>
        <w:tc>
          <w:tcPr>
            <w:tcW w:w="1660" w:type="dxa"/>
            <w:vAlign w:val="bottom"/>
            <w:shd w:val="clear" w:color="auto" w:fill="CDEAFA"/>
          </w:tcPr>
          <w:p>
            <w:pPr>
              <w:spacing w:after="0"/>
              <w:rPr>
                <w:sz w:val="18"/>
                <w:szCs w:val="18"/>
                <w:color w:val="auto"/>
              </w:rPr>
            </w:pPr>
          </w:p>
        </w:tc>
        <w:tc>
          <w:tcPr>
            <w:tcW w:w="2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0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723.0</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2023</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3240" w:type="dxa"/>
            <w:vAlign w:val="bottom"/>
            <w:shd w:val="clear" w:color="auto" w:fill="CDEAFA"/>
          </w:tcPr>
          <w:p>
            <w:pPr>
              <w:ind w:left="60"/>
              <w:spacing w:after="0"/>
              <w:rPr>
                <w:sz w:val="20"/>
                <w:szCs w:val="20"/>
                <w:color w:val="auto"/>
              </w:rPr>
            </w:pPr>
            <w:r>
              <w:rPr>
                <w:rFonts w:ascii="Arial" w:cs="Arial" w:eastAsia="Arial" w:hAnsi="Arial"/>
                <w:sz w:val="18"/>
                <w:szCs w:val="18"/>
                <w:color w:val="auto"/>
              </w:rPr>
              <w:t>2024</w:t>
            </w:r>
          </w:p>
        </w:tc>
        <w:tc>
          <w:tcPr>
            <w:tcW w:w="16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0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2025</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3240" w:type="dxa"/>
            <w:vAlign w:val="bottom"/>
            <w:shd w:val="clear" w:color="auto" w:fill="CDEAFA"/>
          </w:tcPr>
          <w:p>
            <w:pPr>
              <w:ind w:left="60"/>
              <w:spacing w:after="0"/>
              <w:rPr>
                <w:sz w:val="20"/>
                <w:szCs w:val="20"/>
                <w:color w:val="auto"/>
              </w:rPr>
            </w:pPr>
            <w:r>
              <w:rPr>
                <w:rFonts w:ascii="Arial" w:cs="Arial" w:eastAsia="Arial" w:hAnsi="Arial"/>
                <w:sz w:val="18"/>
                <w:szCs w:val="18"/>
                <w:color w:val="auto"/>
              </w:rPr>
              <w:t>2026</w:t>
            </w:r>
          </w:p>
        </w:tc>
        <w:tc>
          <w:tcPr>
            <w:tcW w:w="16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1040" w:type="dxa"/>
            <w:vAlign w:val="bottom"/>
            <w:shd w:val="clear" w:color="auto" w:fill="CDEAFA"/>
          </w:tcPr>
          <w:p>
            <w:pPr>
              <w:spacing w:after="0"/>
              <w:rPr>
                <w:sz w:val="18"/>
                <w:szCs w:val="18"/>
                <w:color w:val="auto"/>
              </w:rPr>
            </w:pPr>
          </w:p>
        </w:tc>
        <w:tc>
          <w:tcPr>
            <w:tcW w:w="120" w:type="dxa"/>
            <w:vAlign w:val="bottom"/>
            <w:shd w:val="clear" w:color="auto" w:fill="CDEAFA"/>
          </w:tcPr>
          <w:p>
            <w:pPr>
              <w:spacing w:after="0"/>
              <w:rPr>
                <w:sz w:val="18"/>
                <w:szCs w:val="18"/>
                <w:color w:val="auto"/>
              </w:rPr>
            </w:pPr>
          </w:p>
        </w:tc>
        <w:tc>
          <w:tcPr>
            <w:tcW w:w="10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r>
      <w:tr>
        <w:trPr>
          <w:trHeight w:val="230"/>
        </w:trPr>
        <w:tc>
          <w:tcPr>
            <w:tcW w:w="1980" w:type="dxa"/>
            <w:vAlign w:val="bottom"/>
          </w:tcPr>
          <w:p>
            <w:pPr>
              <w:spacing w:after="0"/>
              <w:rPr>
                <w:sz w:val="19"/>
                <w:szCs w:val="19"/>
                <w:color w:val="auto"/>
              </w:rPr>
            </w:pPr>
          </w:p>
        </w:tc>
        <w:tc>
          <w:tcPr>
            <w:tcW w:w="3240" w:type="dxa"/>
            <w:vAlign w:val="bottom"/>
            <w:tcBorders>
              <w:bottom w:val="single" w:sz="8" w:color="CDEAFA"/>
            </w:tcBorders>
          </w:tcPr>
          <w:p>
            <w:pPr>
              <w:ind w:left="60"/>
              <w:spacing w:after="0"/>
              <w:rPr>
                <w:sz w:val="20"/>
                <w:szCs w:val="20"/>
                <w:color w:val="auto"/>
              </w:rPr>
            </w:pPr>
            <w:r>
              <w:rPr>
                <w:rFonts w:ascii="Arial" w:cs="Arial" w:eastAsia="Arial" w:hAnsi="Arial"/>
                <w:sz w:val="18"/>
                <w:szCs w:val="18"/>
                <w:color w:val="auto"/>
              </w:rPr>
              <w:t>Thereafter</w:t>
            </w:r>
          </w:p>
        </w:tc>
        <w:tc>
          <w:tcPr>
            <w:tcW w:w="166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9"/>
                <w:szCs w:val="19"/>
                <w:color w:val="auto"/>
              </w:rPr>
            </w:pPr>
          </w:p>
        </w:tc>
      </w:tr>
      <w:tr>
        <w:trPr>
          <w:trHeight w:val="209"/>
        </w:trPr>
        <w:tc>
          <w:tcPr>
            <w:tcW w:w="1980" w:type="dxa"/>
            <w:vAlign w:val="bottom"/>
          </w:tcPr>
          <w:p>
            <w:pPr>
              <w:spacing w:after="0"/>
              <w:rPr>
                <w:sz w:val="18"/>
                <w:szCs w:val="18"/>
                <w:color w:val="auto"/>
              </w:rPr>
            </w:pPr>
          </w:p>
        </w:tc>
        <w:tc>
          <w:tcPr>
            <w:tcW w:w="3240" w:type="dxa"/>
            <w:vAlign w:val="bottom"/>
            <w:shd w:val="clear" w:color="auto" w:fill="CDEAFA"/>
          </w:tcPr>
          <w:p>
            <w:pPr>
              <w:ind w:left="60"/>
              <w:spacing w:after="0"/>
              <w:rPr>
                <w:sz w:val="20"/>
                <w:szCs w:val="20"/>
                <w:color w:val="auto"/>
              </w:rPr>
            </w:pPr>
            <w:r>
              <w:rPr>
                <w:rFonts w:ascii="Arial" w:cs="Arial" w:eastAsia="Arial" w:hAnsi="Arial"/>
                <w:sz w:val="18"/>
                <w:szCs w:val="18"/>
                <w:color w:val="auto"/>
              </w:rPr>
              <w:t>Total undiscounted lease payments</w:t>
            </w:r>
          </w:p>
        </w:tc>
        <w:tc>
          <w:tcPr>
            <w:tcW w:w="1660" w:type="dxa"/>
            <w:vAlign w:val="bottom"/>
            <w:shd w:val="clear" w:color="auto" w:fill="CDEAFA"/>
          </w:tcPr>
          <w:p>
            <w:pPr>
              <w:spacing w:after="0"/>
              <w:rPr>
                <w:sz w:val="18"/>
                <w:szCs w:val="18"/>
                <w:color w:val="auto"/>
              </w:rPr>
            </w:pPr>
          </w:p>
        </w:tc>
        <w:tc>
          <w:tcPr>
            <w:tcW w:w="220" w:type="dxa"/>
            <w:vAlign w:val="bottom"/>
            <w:tcBorders>
              <w:bottom w:val="single" w:sz="8" w:color="auto"/>
            </w:tcBorders>
            <w:shd w:val="clear" w:color="auto" w:fill="CDEAFA"/>
          </w:tcPr>
          <w:p>
            <w:pPr>
              <w:spacing w:after="0"/>
              <w:rPr>
                <w:sz w:val="18"/>
                <w:szCs w:val="18"/>
                <w:color w:val="auto"/>
              </w:rPr>
            </w:pPr>
          </w:p>
        </w:tc>
        <w:tc>
          <w:tcPr>
            <w:tcW w:w="1040" w:type="dxa"/>
            <w:vAlign w:val="bottom"/>
            <w:tcBorders>
              <w:bottom w:val="single" w:sz="8" w:color="auto"/>
            </w:tcBorders>
            <w:shd w:val="clear" w:color="auto" w:fill="CDEAFA"/>
          </w:tcPr>
          <w:p>
            <w:pPr>
              <w:spacing w:after="0"/>
              <w:rPr>
                <w:sz w:val="18"/>
                <w:szCs w:val="18"/>
                <w:color w:val="auto"/>
              </w:rPr>
            </w:pPr>
          </w:p>
        </w:tc>
        <w:tc>
          <w:tcPr>
            <w:tcW w:w="120" w:type="dxa"/>
            <w:vAlign w:val="bottom"/>
            <w:tcBorders>
              <w:bottom w:val="single" w:sz="8" w:color="auto"/>
            </w:tcBorders>
            <w:shd w:val="clear" w:color="auto" w:fill="CDEAFA"/>
          </w:tcPr>
          <w:p>
            <w:pPr>
              <w:spacing w:after="0"/>
              <w:rPr>
                <w:sz w:val="18"/>
                <w:szCs w:val="18"/>
                <w:color w:val="auto"/>
              </w:rPr>
            </w:pPr>
          </w:p>
        </w:tc>
        <w:tc>
          <w:tcPr>
            <w:tcW w:w="10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723.0</w:t>
            </w:r>
          </w:p>
        </w:tc>
        <w:tc>
          <w:tcPr>
            <w:tcW w:w="1980" w:type="dxa"/>
            <w:vAlign w:val="bottom"/>
          </w:tcPr>
          <w:p>
            <w:pPr>
              <w:spacing w:after="0"/>
              <w:rPr>
                <w:sz w:val="18"/>
                <w:szCs w:val="18"/>
                <w:color w:val="auto"/>
              </w:rPr>
            </w:pPr>
          </w:p>
        </w:tc>
      </w:tr>
      <w:tr>
        <w:trPr>
          <w:trHeight w:val="210"/>
        </w:trPr>
        <w:tc>
          <w:tcPr>
            <w:tcW w:w="198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Imputed interest</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980" w:type="dxa"/>
            <w:vAlign w:val="bottom"/>
          </w:tcPr>
          <w:p>
            <w:pPr>
              <w:spacing w:after="0"/>
              <w:rPr>
                <w:sz w:val="18"/>
                <w:szCs w:val="18"/>
                <w:color w:val="auto"/>
              </w:rPr>
            </w:pPr>
          </w:p>
        </w:tc>
      </w:tr>
      <w:tr>
        <w:trPr>
          <w:trHeight w:val="230"/>
        </w:trPr>
        <w:tc>
          <w:tcPr>
            <w:tcW w:w="1980" w:type="dxa"/>
            <w:vAlign w:val="bottom"/>
          </w:tcPr>
          <w:p>
            <w:pPr>
              <w:spacing w:after="0"/>
              <w:rPr>
                <w:sz w:val="19"/>
                <w:szCs w:val="19"/>
                <w:color w:val="auto"/>
              </w:rPr>
            </w:pPr>
          </w:p>
        </w:tc>
        <w:tc>
          <w:tcPr>
            <w:tcW w:w="3240" w:type="dxa"/>
            <w:vAlign w:val="bottom"/>
            <w:shd w:val="clear" w:color="auto" w:fill="CDEAFA"/>
          </w:tcPr>
          <w:p>
            <w:pPr>
              <w:ind w:left="60"/>
              <w:spacing w:after="0"/>
              <w:rPr>
                <w:sz w:val="20"/>
                <w:szCs w:val="20"/>
                <w:color w:val="auto"/>
              </w:rPr>
            </w:pPr>
            <w:r>
              <w:rPr>
                <w:rFonts w:ascii="Arial" w:cs="Arial" w:eastAsia="Arial" w:hAnsi="Arial"/>
                <w:sz w:val="18"/>
                <w:szCs w:val="18"/>
                <w:color w:val="auto"/>
              </w:rPr>
              <w:t>Debt financing costs</w:t>
            </w:r>
          </w:p>
        </w:tc>
        <w:tc>
          <w:tcPr>
            <w:tcW w:w="1660" w:type="dxa"/>
            <w:vAlign w:val="bottom"/>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spacing w:after="0"/>
              <w:rPr>
                <w:sz w:val="19"/>
                <w:szCs w:val="19"/>
                <w:color w:val="auto"/>
              </w:rPr>
            </w:pPr>
          </w:p>
        </w:tc>
        <w:tc>
          <w:tcPr>
            <w:tcW w:w="1040" w:type="dxa"/>
            <w:vAlign w:val="bottom"/>
            <w:tcBorders>
              <w:bottom w:val="single" w:sz="8" w:color="auto"/>
            </w:tcBorders>
            <w:shd w:val="clear" w:color="auto" w:fill="CDEAFA"/>
          </w:tcPr>
          <w:p>
            <w:pPr>
              <w:spacing w:after="0"/>
              <w:rPr>
                <w:sz w:val="19"/>
                <w:szCs w:val="19"/>
                <w:color w:val="auto"/>
              </w:rPr>
            </w:pPr>
          </w:p>
        </w:tc>
        <w:tc>
          <w:tcPr>
            <w:tcW w:w="120" w:type="dxa"/>
            <w:vAlign w:val="bottom"/>
            <w:tcBorders>
              <w:bottom w:val="single" w:sz="8" w:color="auto"/>
            </w:tcBorders>
            <w:shd w:val="clear" w:color="auto" w:fill="CDEAFA"/>
          </w:tcPr>
          <w:p>
            <w:pPr>
              <w:spacing w:after="0"/>
              <w:rPr>
                <w:sz w:val="19"/>
                <w:szCs w:val="19"/>
                <w:color w:val="auto"/>
              </w:rPr>
            </w:pPr>
          </w:p>
        </w:tc>
        <w:tc>
          <w:tcPr>
            <w:tcW w:w="10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(0.4)</w:t>
            </w:r>
          </w:p>
        </w:tc>
        <w:tc>
          <w:tcPr>
            <w:tcW w:w="1980" w:type="dxa"/>
            <w:vAlign w:val="bottom"/>
          </w:tcPr>
          <w:p>
            <w:pPr>
              <w:spacing w:after="0"/>
              <w:rPr>
                <w:sz w:val="19"/>
                <w:szCs w:val="19"/>
                <w:color w:val="auto"/>
              </w:rPr>
            </w:pPr>
          </w:p>
        </w:tc>
      </w:tr>
      <w:tr>
        <w:trPr>
          <w:trHeight w:val="223"/>
        </w:trPr>
        <w:tc>
          <w:tcPr>
            <w:tcW w:w="1980" w:type="dxa"/>
            <w:vAlign w:val="bottom"/>
          </w:tcPr>
          <w:p>
            <w:pPr>
              <w:spacing w:after="0"/>
              <w:rPr>
                <w:sz w:val="19"/>
                <w:szCs w:val="19"/>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Total lease liabilities</w:t>
            </w:r>
          </w:p>
        </w:tc>
        <w:tc>
          <w:tcPr>
            <w:tcW w:w="16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719.7</w:t>
            </w:r>
          </w:p>
        </w:tc>
        <w:tc>
          <w:tcPr>
            <w:tcW w:w="198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85"/>
        </w:trPr>
        <w:tc>
          <w:tcPr>
            <w:tcW w:w="1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40" w:type="dxa"/>
            <w:vAlign w:val="bottom"/>
            <w:gridSpan w:val="4"/>
          </w:tcPr>
          <w:p>
            <w:pPr>
              <w:ind w:left="240"/>
              <w:spacing w:after="0"/>
              <w:rPr>
                <w:sz w:val="20"/>
                <w:szCs w:val="20"/>
                <w:color w:val="auto"/>
              </w:rPr>
            </w:pPr>
            <w:r>
              <w:rPr>
                <w:rFonts w:ascii="Arial" w:cs="Arial" w:eastAsia="Arial" w:hAnsi="Arial"/>
                <w:sz w:val="18"/>
                <w:szCs w:val="18"/>
                <w:color w:val="auto"/>
              </w:rPr>
              <w:t>F-28</w:t>
            </w: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1980" w:type="dxa"/>
            <w:vAlign w:val="bottom"/>
            <w:tcBorders>
              <w:bottom w:val="single" w:sz="8" w:color="C0C0C0"/>
            </w:tcBorders>
          </w:tcPr>
          <w:p>
            <w:pPr>
              <w:spacing w:after="0"/>
              <w:rPr>
                <w:sz w:val="21"/>
                <w:szCs w:val="21"/>
                <w:color w:val="auto"/>
              </w:rPr>
            </w:pPr>
          </w:p>
        </w:tc>
        <w:tc>
          <w:tcPr>
            <w:tcW w:w="3240" w:type="dxa"/>
            <w:vAlign w:val="bottom"/>
            <w:tcBorders>
              <w:bottom w:val="single" w:sz="8" w:color="C0C0C0"/>
            </w:tcBorders>
          </w:tcPr>
          <w:p>
            <w:pPr>
              <w:spacing w:after="0"/>
              <w:rPr>
                <w:sz w:val="21"/>
                <w:szCs w:val="21"/>
                <w:color w:val="auto"/>
              </w:rPr>
            </w:pPr>
          </w:p>
        </w:tc>
        <w:tc>
          <w:tcPr>
            <w:tcW w:w="16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0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0" w:type="dxa"/>
            <w:vAlign w:val="bottom"/>
            <w:tcBorders>
              <w:bottom w:val="single" w:sz="8" w:color="C0C0C0"/>
            </w:tcBorders>
          </w:tcPr>
          <w:p>
            <w:pPr>
              <w:spacing w:after="0"/>
              <w:rPr>
                <w:sz w:val="21"/>
                <w:szCs w:val="21"/>
                <w:color w:val="auto"/>
              </w:rPr>
            </w:pPr>
          </w:p>
        </w:tc>
        <w:tc>
          <w:tcPr>
            <w:tcW w:w="19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9"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b. Research Collaboration and Licensing Agreements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part of our research and development efforts, we enter into research collaboration and licensing agreements with other companies, universities, and other organizations. These agreements contain varying terms and provisions which include fees to be paid by the Company, services to be provided, and license rights to certain proprietary technology developed under the agreements. Some of these agreements may require the Company to pay additional amounts contingent upon the occurrence of various future events (e.g., upon the achievement of various development and commercial milestones). Additionally, we have in-licensed patent and/or technology pursuant to agreements which contain provisions that require the Company to pay royalties, as defined, at rates that range from 0.5% to 10.0%, in the event the Company sells or licenses any proprietary products developed under the respective agreements. The Company also has contingent reimbursement obligations to its collaborators Sanofi and Bayer out of the respective collaboration’s profits, if they are sufficient for that purpose. See Note 3 for a more detailed description of collaboration, license, and other agreements.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2021, 2020, and 2019, the Company recorded royalty expense (net of reimbursements from collaborators, as applicable) in Cost of goods sold and Cost of collaboration and contract manufacturing of $66.9 million, $56.5 million, and $47.0 million, respectively, based on product sales of commercial products under various licensing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Restated Certificate of Incorporation, as amended, provides for the issuance of up to 40 million shares of Class A Stock, par value $0.001 per share, and 320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our board of directors authorized a share repurchase program to repurchase up to $1.0 billion of our Common Stock. The share repurchase program permitted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As of December 31, 2020, the Company had repurchased the entire $1.0 billion it was authorized to repurchase under the program.</w:t>
      </w:r>
    </w:p>
    <w:p>
      <w:pPr>
        <w:spacing w:after="0" w:line="18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January 2021, our board of directors authorized a share repurchase program to repurchase up to $1.5 billion of our Common Stock. The share repurchase program was approved under terms substantially similar to the November 2019 share repurchase program described above. As of December 31, 2021, the Company had repurchased the entire $1.5 billion of its Common Stock that it was authorized to repurchase under the program.</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2021, our board of directors authorized an additional share repurchase program to repurchase up to $3.0 billion of our Common Stock. The share repurchase program was approved under terms substantially similar to the share repurchase programs above.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As of December 31, 2021, $2.845 billion remained available for share repurchases under the November 2021 program.</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shares of our Common Stock we repurchased under the programs described above and the cost of the shares received, which were recorded as Treasury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0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1500" w:type="dxa"/>
            <w:vAlign w:val="bottom"/>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00" w:type="dxa"/>
            <w:vAlign w:val="bottom"/>
            <w:tcBorders>
              <w:bottom w:val="single" w:sz="8" w:color="CDEAFA"/>
            </w:tcBorders>
            <w:vMerge w:val="continue"/>
          </w:tcPr>
          <w:p>
            <w:pPr>
              <w:spacing w:after="0"/>
              <w:rPr>
                <w:sz w:val="19"/>
                <w:szCs w:val="19"/>
                <w:color w:val="auto"/>
              </w:rPr>
            </w:pPr>
          </w:p>
        </w:tc>
        <w:tc>
          <w:tcPr>
            <w:tcW w:w="1500" w:type="dxa"/>
            <w:vAlign w:val="bottom"/>
            <w:tcBorders>
              <w:bottom w:val="single" w:sz="8" w:color="CDEAFA"/>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DEAF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DEAF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2019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00" w:type="dxa"/>
            <w:vAlign w:val="bottom"/>
            <w:shd w:val="clear" w:color="auto" w:fill="CDEAFA"/>
          </w:tcPr>
          <w:p>
            <w:pPr>
              <w:ind w:left="40"/>
              <w:spacing w:after="0"/>
              <w:rPr>
                <w:sz w:val="20"/>
                <w:szCs w:val="20"/>
                <w:color w:val="auto"/>
              </w:rPr>
            </w:pPr>
            <w:r>
              <w:rPr>
                <w:rFonts w:ascii="Arial" w:cs="Arial" w:eastAsia="Arial" w:hAnsi="Arial"/>
                <w:sz w:val="18"/>
                <w:szCs w:val="18"/>
                <w:color w:val="auto"/>
              </w:rPr>
              <w:t>Number of shares repurchased</w:t>
            </w:r>
          </w:p>
        </w:tc>
        <w:tc>
          <w:tcPr>
            <w:tcW w:w="150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7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000" w:type="dxa"/>
            <w:vAlign w:val="bottom"/>
          </w:tcPr>
          <w:p>
            <w:pPr>
              <w:ind w:left="40"/>
              <w:spacing w:after="0"/>
              <w:rPr>
                <w:sz w:val="20"/>
                <w:szCs w:val="20"/>
                <w:color w:val="auto"/>
              </w:rPr>
            </w:pPr>
            <w:r>
              <w:rPr>
                <w:rFonts w:ascii="Arial" w:cs="Arial" w:eastAsia="Arial" w:hAnsi="Arial"/>
                <w:sz w:val="18"/>
                <w:szCs w:val="18"/>
                <w:color w:val="auto"/>
              </w:rPr>
              <w:t>Total cost of shares received</w:t>
            </w:r>
          </w:p>
        </w:tc>
        <w:tc>
          <w:tcPr>
            <w:tcW w:w="2540" w:type="dxa"/>
            <w:vAlign w:val="bottom"/>
            <w:gridSpan w:val="2"/>
          </w:tcPr>
          <w:p>
            <w:pPr>
              <w:jc w:val="right"/>
              <w:ind w:right="10"/>
              <w:spacing w:after="0"/>
              <w:rPr>
                <w:sz w:val="20"/>
                <w:szCs w:val="20"/>
                <w:color w:val="auto"/>
              </w:rPr>
            </w:pPr>
            <w:r>
              <w:rPr>
                <w:rFonts w:ascii="Arial" w:cs="Arial" w:eastAsia="Arial" w:hAnsi="Arial"/>
                <w:sz w:val="18"/>
                <w:szCs w:val="18"/>
                <w:color w:val="auto"/>
              </w:rPr>
              <w:t>$   1,655.0</w:t>
            </w:r>
          </w:p>
        </w:tc>
        <w:tc>
          <w:tcPr>
            <w:tcW w:w="1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746.0</w:t>
            </w:r>
          </w:p>
        </w:tc>
        <w:tc>
          <w:tcPr>
            <w:tcW w:w="160" w:type="dxa"/>
            <w:vAlign w:val="bottom"/>
          </w:tcPr>
          <w:p>
            <w:pPr>
              <w:spacing w:after="0"/>
              <w:rPr>
                <w:sz w:val="20"/>
                <w:szCs w:val="20"/>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254.0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700" w:type="dxa"/>
            <w:vAlign w:val="bottom"/>
            <w:gridSpan w:val="3"/>
          </w:tcPr>
          <w:p>
            <w:pPr>
              <w:ind w:left="760"/>
              <w:spacing w:after="0"/>
              <w:rPr>
                <w:sz w:val="20"/>
                <w:szCs w:val="20"/>
                <w:color w:val="auto"/>
              </w:rPr>
            </w:pPr>
            <w:r>
              <w:rPr>
                <w:rFonts w:ascii="Arial" w:cs="Arial" w:eastAsia="Arial" w:hAnsi="Arial"/>
                <w:sz w:val="18"/>
                <w:szCs w:val="18"/>
                <w:color w:val="auto"/>
              </w:rPr>
              <w:t>F-29</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00" w:type="dxa"/>
            <w:vAlign w:val="bottom"/>
            <w:tcBorders>
              <w:bottom w:val="single" w:sz="8" w:color="C0C0C0"/>
            </w:tcBorders>
          </w:tcPr>
          <w:p>
            <w:pPr>
              <w:spacing w:after="0"/>
              <w:rPr>
                <w:sz w:val="21"/>
                <w:szCs w:val="21"/>
                <w:color w:val="auto"/>
              </w:rPr>
            </w:pPr>
          </w:p>
        </w:tc>
        <w:tc>
          <w:tcPr>
            <w:tcW w:w="300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104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76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680" w:type="dxa"/>
            <w:vAlign w:val="bottom"/>
            <w:tcBorders>
              <w:bottom w:val="single" w:sz="8" w:color="C0C0C0"/>
            </w:tcBorders>
          </w:tcPr>
          <w:p>
            <w:pPr>
              <w:spacing w:after="0"/>
              <w:rPr>
                <w:sz w:val="21"/>
                <w:szCs w:val="21"/>
                <w:color w:val="auto"/>
              </w:rPr>
            </w:pPr>
          </w:p>
        </w:tc>
        <w:tc>
          <w:tcPr>
            <w:tcW w:w="168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9"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 3, in 2018, we and Sanofi entered into a Letter Agreement, which, among other things, granted Sanofi a limited waiver of Sanofi’s lock-up obligations under the amended and restated investor agreement between us and Sanofi in order to allow Sanofi to satisfy its funding obligations with respect to Libtayo development costs and/or Dupilumab/Itepekimab Eligible Investments for quarterly periods ending on September 30, 2020 by selling our Common Stock owned by Sanofi. During 2020 and 2019, Sanofi elected to sell, and we elected to purchase, shares of our Common Stock to satisfy Sanofi’s funding obligation related to such activities. Consequently, we recorded the cost of the shares received, or $135.0 million and $102.7 million, as Treasury Stock during 2020 and 2019,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Stock Purchased from Sanofi</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a secondary offering of 13,014,646 shares of our Common Stock (the “Secondary Offering”) held by Sanofi was completed. In connection with the Secondary Offering, we also purchased 9,806,805 shares directly from Sanofi for an aggregate purchase amount of $5.0 billion (the “Stock Purchase”). See Note 9 for additional information. As a result of the Secondary Offering and the Stock Purchase, Sanofi disposed of all of its shares of our Common Stock, other than 400,000 shares that it retained as of the closing of the Secondary Offering and the Stock Purchase (a portion of which Sanofi used for the funding of certain development costs described above).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the Company entered into an amendment to the amended and restated investor agreement, which provides, among other things, that following the Secondary Offering and Share Purchase, (1) the “standstill” provisions, which contractually prohibit Sanofi from seeking to directly or indirectly exert control of the Company, continue to apply pursuant to their terms and (2) the voting commitments contained in the investor agreement continue to apply to the shares of Common Stock held by Sanofi and its affiliates following the secondary offering and stock repurchase, for so long as such shares are held by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with Other Collaborators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Company’s license and collaboration agreements with Bayer for the joint development and commercialization outside the United States of antibody product candidates to PDGFR-beta and Ang2, Bayer is bound by certain “standstill” provisions, which contractually prohibit Bayer from seeking to influence the control of the Company or acquiring more than 20% of the Company’s outstanding shares of Class A Stock and Common Stock (taken together). With respect to each of these agreements, this prohibition will remain in place until the earliest of (i) the fifth anniversary of the termination of the agreement (which, in the case of the PDGFR-beta license and collaboration agreement, will occur on July 31, 2022, and, in the case of the Ang2 agreement, will occur on November 1, 2023) or (ii) other specified events.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pursuant to the 2016 Teva Collaboration Agreement, Teva and its affiliates are bound by certain “standstill” provisions, which contractually prohibit them from seeking to directly or indirectly exert control of the Company or acquiring more than 5% of the Company’s Class A Stock and Common Stock (taken together). This prohibition will remain in place until the earliest of (i) the fifth anniversary of the expiration or earlier termination of the agreement or (ii) other specified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Incentive Plans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used long-term incentive plans for the purpose of granting equity awards to employees of the Company, including officers, and non-employees, including non-employee members of the Company’s board of directors (collectively,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Second Amended and Restated Regeneron Pharmaceuticals, Inc. 2014 Long-Term Incentive Plan (the “Second Amended and Restated 2014 Incentive Plan”). It was most recently adopted and approved by the Company’s shareholders in 2020. As of the most recent shareholder approval date, the Second Amended and Restated 2014 Incentive Plan provided for the issuance of up to 22.3 million shares of Common Stock in respect of awards. In addition, upon expiration, forfeiture, surrender, exchange, cancellation, or termination of any award previously granted under the Amended and Restated Regeneron Pharmaceuticals, Inc. 2014 Long-Term Incentive Plan (the “Amended and Restated 2014 Incentive Plan”), the Regeneron Pharmaceuticals, Inc. 2014 Long-Term Incentive Plan (the “Original 2014 Incentive Plan”), or the Second Amended and Restated 2000 Long-Term Incentive Plan (the “2000 Incentive Plan”), any shares subject to such award are added to the pool of shares available for grant under the Second Amended and Restated 2014 Incentive Plan.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awards that may be made under the Second Amended and Restated 2014 Incentive Plan include: (a) incentive stock options and non-qualified stock options, (b) restricted stock awards, (c) shares of phantom stock (also referred to as restricted stock units, which may be time- or performance-based), and</w:t>
      </w:r>
    </w:p>
    <w:p>
      <w:pPr>
        <w:ind w:firstLine="8"/>
        <w:spacing w:after="0" w:line="260"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awards. Any award granted may (but is not required to) be subject to vesting based on the attainment by the Company of performance goals pre-established by the Committee.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8" w:name="page139"/>
    <w:bookmarkEnd w:id="138"/>
    <w:p>
      <w:pPr>
        <w:jc w:val="both"/>
        <w:spacing w:after="0" w:line="296" w:lineRule="auto"/>
        <w:rPr>
          <w:sz w:val="20"/>
          <w:szCs w:val="20"/>
          <w:color w:val="auto"/>
        </w:rPr>
      </w:pPr>
      <w:r>
        <w:rPr>
          <w:rFonts w:ascii="Arial" w:cs="Arial" w:eastAsia="Arial" w:hAnsi="Arial"/>
          <w:sz w:val="16"/>
          <w:szCs w:val="16"/>
          <w:color w:val="auto"/>
        </w:rPr>
        <w:t>Stock option awards grant Participants the right to purchase shares of Common Stock at prices determined by the Committee, with exercise prices that are equal to or greater than the average of the high and low market prices of the Company’s Common Stock on the date of grant (the “Market Price”). Options vest over a period of time determined by the Committee, generally on a pro rata basis over a four-year period. The Committee also determines the expiration date of each option. The maximum term of options that have been awarded under the 2000 Incentive Plan, the Original 2014 Incentive Plan, the Amended and Restated 2014 Incentive Plan, and the Second Amended and Restated 2014 Incentive Plan (collectively, the “Incentive Plans”) is ten years.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awards will be transferred to the Company.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Phantom stock awards provide the Participant the right to receive Common Stock or an amount of cash based on the value of the Common Stock at a future date. The award is subject to such restrictions, if any, as the Committee may impose at the date of grant or thereafter, including a specified period of employment or the achievement of performance goals. Time-based restricted stock units and performance-based restricted stock units are each a type of phantom stock award permitted under the Second Amended and Restated 2014 Incentive Plan.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Incentive Plans contain provisions that allow for the Committee to provide for the immediate vesting of awards upon a change in control of the Company, as defined in the Incentive Plans.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December 31, 2021, there were 17.9 million shares available for future grants under the Second Amended and Restated 2014 Incentive Plan. No additional awards may be made under the 2000 Incentive Plan, the Original 2014 Incentive Plan, or the Amended and Restated 2014 Incentive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stock option awards during 2021 under the Company’s Incentive Plans are summarized in the table below.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Intrinsic Value</w:t>
            </w:r>
          </w:p>
        </w:tc>
      </w:tr>
      <w:tr>
        <w:trPr>
          <w:trHeight w:val="234"/>
        </w:trPr>
        <w:tc>
          <w:tcPr>
            <w:tcW w:w="38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i w:val="1"/>
                <w:iCs w:val="1"/>
                <w:color w:val="auto"/>
                <w:w w:val="97"/>
              </w:rPr>
              <w:t>(In millions)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160" w:type="dxa"/>
            <w:vAlign w:val="bottom"/>
          </w:tcPr>
          <w:p>
            <w:pPr>
              <w:jc w:val="center"/>
              <w:spacing w:after="0"/>
              <w:rPr>
                <w:sz w:val="20"/>
                <w:szCs w:val="20"/>
                <w:color w:val="auto"/>
              </w:rPr>
            </w:pPr>
            <w:r>
              <w:rPr>
                <w:rFonts w:ascii="Arial" w:cs="Arial" w:eastAsia="Arial" w:hAnsi="Arial"/>
                <w:sz w:val="18"/>
                <w:szCs w:val="18"/>
                <w:i w:val="1"/>
                <w:iCs w:val="1"/>
                <w:color w:val="auto"/>
                <w:w w:val="92"/>
              </w:rPr>
              <w:t>(In years)</w:t>
            </w:r>
          </w:p>
        </w:tc>
        <w:tc>
          <w:tcPr>
            <w:tcW w:w="18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i w:val="1"/>
                <w:iCs w:val="1"/>
                <w:color w:val="auto"/>
              </w:rPr>
              <w:t>(In millions)</w:t>
            </w:r>
          </w:p>
        </w:tc>
      </w:tr>
      <w:tr>
        <w:trPr>
          <w:trHeight w:val="210"/>
        </w:trPr>
        <w:tc>
          <w:tcPr>
            <w:tcW w:w="3800" w:type="dxa"/>
            <w:vAlign w:val="bottom"/>
            <w:tcBorders>
              <w:top w:val="single" w:sz="8" w:color="CDEAFA"/>
            </w:tcBorders>
            <w:shd w:val="clear" w:color="auto" w:fill="CDEAFA"/>
          </w:tcPr>
          <w:p>
            <w:pPr>
              <w:ind w:left="40"/>
              <w:spacing w:after="0"/>
              <w:rPr>
                <w:sz w:val="20"/>
                <w:szCs w:val="20"/>
                <w:color w:val="auto"/>
              </w:rPr>
            </w:pPr>
            <w:r>
              <w:rPr>
                <w:rFonts w:ascii="Arial" w:cs="Arial" w:eastAsia="Arial" w:hAnsi="Arial"/>
                <w:sz w:val="18"/>
                <w:szCs w:val="18"/>
                <w:color w:val="auto"/>
              </w:rPr>
              <w:t>Outstanding as of December 31, 2020</w:t>
            </w:r>
          </w:p>
        </w:tc>
        <w:tc>
          <w:tcPr>
            <w:tcW w:w="118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21.7</w:t>
            </w:r>
          </w:p>
        </w:tc>
        <w:tc>
          <w:tcPr>
            <w:tcW w:w="200" w:type="dxa"/>
            <w:vAlign w:val="bottom"/>
            <w:tcBorders>
              <w:top w:val="single" w:sz="8" w:color="CDEAFA"/>
            </w:tcBorders>
            <w:shd w:val="clear" w:color="auto" w:fill="CDEAFA"/>
          </w:tcPr>
          <w:p>
            <w:pPr>
              <w:spacing w:after="0"/>
              <w:rPr>
                <w:sz w:val="18"/>
                <w:szCs w:val="18"/>
                <w:color w:val="auto"/>
              </w:rPr>
            </w:pPr>
          </w:p>
        </w:tc>
        <w:tc>
          <w:tcPr>
            <w:tcW w:w="180" w:type="dxa"/>
            <w:vAlign w:val="bottom"/>
            <w:tcBorders>
              <w:top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379.51</w:t>
            </w:r>
          </w:p>
        </w:tc>
        <w:tc>
          <w:tcPr>
            <w:tcW w:w="160" w:type="dxa"/>
            <w:vAlign w:val="bottom"/>
            <w:tcBorders>
              <w:top w:val="single" w:sz="8" w:color="CDEAFA"/>
            </w:tcBorders>
            <w:shd w:val="clear" w:color="auto" w:fill="CDEAFA"/>
          </w:tcPr>
          <w:p>
            <w:pPr>
              <w:spacing w:after="0"/>
              <w:rPr>
                <w:sz w:val="18"/>
                <w:szCs w:val="18"/>
                <w:color w:val="auto"/>
              </w:rPr>
            </w:pPr>
          </w:p>
        </w:tc>
        <w:tc>
          <w:tcPr>
            <w:tcW w:w="1160" w:type="dxa"/>
            <w:vAlign w:val="bottom"/>
            <w:tcBorders>
              <w:top w:val="single" w:sz="8" w:color="auto"/>
            </w:tcBorders>
            <w:shd w:val="clear" w:color="auto" w:fill="CDEAFA"/>
          </w:tcPr>
          <w:p>
            <w:pPr>
              <w:spacing w:after="0"/>
              <w:rPr>
                <w:sz w:val="18"/>
                <w:szCs w:val="18"/>
                <w:color w:val="auto"/>
              </w:rPr>
            </w:pPr>
          </w:p>
        </w:tc>
        <w:tc>
          <w:tcPr>
            <w:tcW w:w="180" w:type="dxa"/>
            <w:vAlign w:val="bottom"/>
            <w:tcBorders>
              <w:top w:val="single" w:sz="8" w:color="CDEAFA"/>
            </w:tcBorders>
            <w:shd w:val="clear" w:color="auto" w:fill="CDEAFA"/>
          </w:tcPr>
          <w:p>
            <w:pPr>
              <w:spacing w:after="0"/>
              <w:rPr>
                <w:sz w:val="18"/>
                <w:szCs w:val="18"/>
                <w:color w:val="auto"/>
              </w:rPr>
            </w:pPr>
          </w:p>
        </w:tc>
        <w:tc>
          <w:tcPr>
            <w:tcW w:w="340" w:type="dxa"/>
            <w:vAlign w:val="bottom"/>
            <w:tcBorders>
              <w:top w:val="single" w:sz="8" w:color="auto"/>
            </w:tcBorders>
            <w:shd w:val="clear" w:color="auto" w:fill="CDEAFA"/>
          </w:tcPr>
          <w:p>
            <w:pPr>
              <w:spacing w:after="0"/>
              <w:rPr>
                <w:sz w:val="18"/>
                <w:szCs w:val="18"/>
                <w:color w:val="auto"/>
              </w:rPr>
            </w:pPr>
          </w:p>
        </w:tc>
        <w:tc>
          <w:tcPr>
            <w:tcW w:w="800" w:type="dxa"/>
            <w:vAlign w:val="bottom"/>
            <w:tcBorders>
              <w:top w:val="single" w:sz="8" w:color="auto"/>
            </w:tcBorders>
            <w:shd w:val="clear" w:color="auto" w:fill="CDEAFA"/>
          </w:tcPr>
          <w:p>
            <w:pPr>
              <w:spacing w:after="0"/>
              <w:rPr>
                <w:sz w:val="18"/>
                <w:szCs w:val="18"/>
                <w:color w:val="auto"/>
              </w:rPr>
            </w:pPr>
          </w:p>
        </w:tc>
      </w:tr>
      <w:tr>
        <w:trPr>
          <w:trHeight w:val="216"/>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8"/>
                <w:szCs w:val="18"/>
                <w:color w:val="auto"/>
              </w:rPr>
              <w:t>Granted</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628.43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800" w:type="dxa"/>
            <w:vAlign w:val="bottom"/>
            <w:shd w:val="clear" w:color="auto" w:fill="CDEAFA"/>
          </w:tcPr>
          <w:p>
            <w:pPr>
              <w:ind w:left="540"/>
              <w:spacing w:after="0"/>
              <w:rPr>
                <w:sz w:val="20"/>
                <w:szCs w:val="20"/>
                <w:color w:val="auto"/>
              </w:rPr>
            </w:pPr>
            <w:r>
              <w:rPr>
                <w:rFonts w:ascii="Arial" w:cs="Arial" w:eastAsia="Arial" w:hAnsi="Arial"/>
                <w:sz w:val="18"/>
                <w:szCs w:val="18"/>
                <w:color w:val="auto"/>
              </w:rPr>
              <w:t>Forfeited</w:t>
            </w:r>
          </w:p>
        </w:tc>
        <w:tc>
          <w:tcPr>
            <w:tcW w:w="11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(0.4)</w:t>
            </w:r>
          </w:p>
        </w:tc>
        <w:tc>
          <w:tcPr>
            <w:tcW w:w="38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419.51</w:t>
            </w:r>
          </w:p>
        </w:tc>
        <w:tc>
          <w:tcPr>
            <w:tcW w:w="160" w:type="dxa"/>
            <w:vAlign w:val="bottom"/>
            <w:shd w:val="clear" w:color="auto" w:fill="CDEAFA"/>
          </w:tcPr>
          <w:p>
            <w:pPr>
              <w:spacing w:after="0"/>
              <w:rPr>
                <w:sz w:val="18"/>
                <w:szCs w:val="18"/>
                <w:color w:val="auto"/>
              </w:rPr>
            </w:pPr>
          </w:p>
        </w:tc>
        <w:tc>
          <w:tcPr>
            <w:tcW w:w="116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340" w:type="dxa"/>
            <w:vAlign w:val="bottom"/>
            <w:shd w:val="clear" w:color="auto" w:fill="CDEAFA"/>
          </w:tcPr>
          <w:p>
            <w:pPr>
              <w:spacing w:after="0"/>
              <w:rPr>
                <w:sz w:val="18"/>
                <w:szCs w:val="18"/>
                <w:color w:val="auto"/>
              </w:rPr>
            </w:pPr>
          </w:p>
        </w:tc>
        <w:tc>
          <w:tcPr>
            <w:tcW w:w="800" w:type="dxa"/>
            <w:vAlign w:val="bottom"/>
            <w:shd w:val="clear" w:color="auto" w:fill="CDEAFA"/>
          </w:tcPr>
          <w:p>
            <w:pPr>
              <w:spacing w:after="0"/>
              <w:rPr>
                <w:sz w:val="18"/>
                <w:szCs w:val="18"/>
                <w:color w:val="auto"/>
              </w:rPr>
            </w:pPr>
          </w:p>
        </w:tc>
      </w:tr>
      <w:tr>
        <w:trPr>
          <w:trHeight w:val="230"/>
        </w:trPr>
        <w:tc>
          <w:tcPr>
            <w:tcW w:w="3800" w:type="dxa"/>
            <w:vAlign w:val="bottom"/>
            <w:tcBorders>
              <w:bottom w:val="single" w:sz="8" w:color="CDEAFA"/>
            </w:tcBorders>
          </w:tcPr>
          <w:p>
            <w:pPr>
              <w:ind w:left="540"/>
              <w:spacing w:after="0"/>
              <w:rPr>
                <w:sz w:val="20"/>
                <w:szCs w:val="20"/>
                <w:color w:val="auto"/>
              </w:rPr>
            </w:pPr>
            <w:r>
              <w:rPr>
                <w:rFonts w:ascii="Arial" w:cs="Arial" w:eastAsia="Arial" w:hAnsi="Arial"/>
                <w:sz w:val="18"/>
                <w:szCs w:val="18"/>
                <w:color w:val="auto"/>
              </w:rPr>
              <w:t>Exercised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CDEAFA"/>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DEAFA"/>
            </w:tcBorders>
          </w:tcPr>
          <w:p>
            <w:pPr>
              <w:jc w:val="right"/>
              <w:ind w:right="10"/>
              <w:spacing w:after="0"/>
              <w:rPr>
                <w:sz w:val="20"/>
                <w:szCs w:val="20"/>
                <w:color w:val="auto"/>
              </w:rPr>
            </w:pPr>
            <w:r>
              <w:rPr>
                <w:rFonts w:ascii="Arial" w:cs="Arial" w:eastAsia="Arial" w:hAnsi="Arial"/>
                <w:sz w:val="18"/>
                <w:szCs w:val="18"/>
                <w:color w:val="auto"/>
              </w:rPr>
              <w:t>299.23</w:t>
            </w:r>
          </w:p>
        </w:tc>
        <w:tc>
          <w:tcPr>
            <w:tcW w:w="160" w:type="dxa"/>
            <w:vAlign w:val="bottom"/>
            <w:tcBorders>
              <w:bottom w:val="single" w:sz="8" w:color="CDEAFA"/>
            </w:tcBorders>
          </w:tcPr>
          <w:p>
            <w:pPr>
              <w:spacing w:after="0"/>
              <w:rPr>
                <w:sz w:val="19"/>
                <w:szCs w:val="19"/>
                <w:color w:val="auto"/>
              </w:rPr>
            </w:pPr>
          </w:p>
        </w:tc>
        <w:tc>
          <w:tcPr>
            <w:tcW w:w="1160" w:type="dxa"/>
            <w:vAlign w:val="bottom"/>
            <w:tcBorders>
              <w:bottom w:val="single" w:sz="8" w:color="CDEAFA"/>
            </w:tcBorders>
          </w:tcPr>
          <w:p>
            <w:pPr>
              <w:spacing w:after="0"/>
              <w:rPr>
                <w:sz w:val="19"/>
                <w:szCs w:val="19"/>
                <w:color w:val="auto"/>
              </w:rPr>
            </w:pPr>
          </w:p>
        </w:tc>
        <w:tc>
          <w:tcPr>
            <w:tcW w:w="180" w:type="dxa"/>
            <w:vAlign w:val="bottom"/>
            <w:tcBorders>
              <w:bottom w:val="single" w:sz="8" w:color="CDEAFA"/>
            </w:tcBorders>
          </w:tcPr>
          <w:p>
            <w:pPr>
              <w:spacing w:after="0"/>
              <w:rPr>
                <w:sz w:val="19"/>
                <w:szCs w:val="19"/>
                <w:color w:val="auto"/>
              </w:rPr>
            </w:pPr>
          </w:p>
        </w:tc>
        <w:tc>
          <w:tcPr>
            <w:tcW w:w="340" w:type="dxa"/>
            <w:vAlign w:val="bottom"/>
            <w:tcBorders>
              <w:bottom w:val="single" w:sz="8" w:color="CDEAFA"/>
            </w:tcBorders>
          </w:tcPr>
          <w:p>
            <w:pPr>
              <w:spacing w:after="0"/>
              <w:rPr>
                <w:sz w:val="19"/>
                <w:szCs w:val="19"/>
                <w:color w:val="auto"/>
              </w:rPr>
            </w:pPr>
          </w:p>
        </w:tc>
        <w:tc>
          <w:tcPr>
            <w:tcW w:w="800" w:type="dxa"/>
            <w:vAlign w:val="bottom"/>
            <w:tcBorders>
              <w:bottom w:val="single" w:sz="8" w:color="CDEAFA"/>
            </w:tcBorders>
          </w:tcPr>
          <w:p>
            <w:pPr>
              <w:spacing w:after="0"/>
              <w:rPr>
                <w:sz w:val="19"/>
                <w:szCs w:val="19"/>
                <w:color w:val="auto"/>
              </w:rPr>
            </w:pPr>
          </w:p>
        </w:tc>
      </w:tr>
      <w:tr>
        <w:trPr>
          <w:trHeight w:val="210"/>
        </w:trPr>
        <w:tc>
          <w:tcPr>
            <w:tcW w:w="3800" w:type="dxa"/>
            <w:vAlign w:val="bottom"/>
            <w:shd w:val="clear" w:color="auto" w:fill="CDEAFA"/>
          </w:tcPr>
          <w:p>
            <w:pPr>
              <w:ind w:left="40"/>
              <w:spacing w:after="0"/>
              <w:rPr>
                <w:sz w:val="20"/>
                <w:szCs w:val="20"/>
                <w:color w:val="auto"/>
              </w:rPr>
            </w:pPr>
            <w:r>
              <w:rPr>
                <w:rFonts w:ascii="Arial" w:cs="Arial" w:eastAsia="Arial" w:hAnsi="Arial"/>
                <w:sz w:val="18"/>
                <w:szCs w:val="18"/>
                <w:color w:val="auto"/>
              </w:rPr>
              <w:t>Outstanding as of December 31, 2021</w:t>
            </w:r>
          </w:p>
        </w:tc>
        <w:tc>
          <w:tcPr>
            <w:tcW w:w="11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18.0</w:t>
            </w:r>
          </w:p>
        </w:tc>
        <w:tc>
          <w:tcPr>
            <w:tcW w:w="38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435.56</w:t>
            </w:r>
          </w:p>
        </w:tc>
        <w:tc>
          <w:tcPr>
            <w:tcW w:w="160" w:type="dxa"/>
            <w:vAlign w:val="bottom"/>
            <w:shd w:val="clear" w:color="auto" w:fill="CDEAFA"/>
          </w:tcPr>
          <w:p>
            <w:pPr>
              <w:spacing w:after="0"/>
              <w:rPr>
                <w:sz w:val="18"/>
                <w:szCs w:val="18"/>
                <w:color w:val="auto"/>
              </w:rPr>
            </w:pPr>
          </w:p>
        </w:tc>
        <w:tc>
          <w:tcPr>
            <w:tcW w:w="11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6.5</w:t>
            </w:r>
          </w:p>
        </w:tc>
        <w:tc>
          <w:tcPr>
            <w:tcW w:w="520" w:type="dxa"/>
            <w:vAlign w:val="bottom"/>
            <w:gridSpan w:val="2"/>
            <w:shd w:val="clear" w:color="auto" w:fill="CDEAFA"/>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3,654.5</w:t>
            </w:r>
          </w:p>
        </w:tc>
      </w:tr>
      <w:tr>
        <w:trPr>
          <w:trHeight w:val="216"/>
        </w:trPr>
        <w:tc>
          <w:tcPr>
            <w:tcW w:w="3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2"/>
        </w:trPr>
        <w:tc>
          <w:tcPr>
            <w:tcW w:w="3800" w:type="dxa"/>
            <w:vAlign w:val="bottom"/>
            <w:shd w:val="clear" w:color="auto" w:fill="CDEAFA"/>
          </w:tcPr>
          <w:p>
            <w:pPr>
              <w:ind w:left="40"/>
              <w:spacing w:after="0" w:line="201" w:lineRule="exact"/>
              <w:rPr>
                <w:sz w:val="20"/>
                <w:szCs w:val="20"/>
                <w:color w:val="auto"/>
              </w:rPr>
            </w:pPr>
            <w:r>
              <w:rPr>
                <w:rFonts w:ascii="Arial" w:cs="Arial" w:eastAsia="Arial" w:hAnsi="Arial"/>
                <w:sz w:val="18"/>
                <w:szCs w:val="18"/>
                <w:color w:val="auto"/>
                <w:w w:val="96"/>
              </w:rPr>
              <w:t>Vested and expected to vest as of December 31,</w:t>
            </w:r>
          </w:p>
        </w:tc>
        <w:tc>
          <w:tcPr>
            <w:tcW w:w="1180" w:type="dxa"/>
            <w:vAlign w:val="bottom"/>
            <w:shd w:val="clear" w:color="auto" w:fill="CDEAFA"/>
          </w:tcPr>
          <w:p>
            <w:pPr>
              <w:spacing w:after="0"/>
              <w:rPr>
                <w:sz w:val="17"/>
                <w:szCs w:val="17"/>
                <w:color w:val="auto"/>
              </w:rPr>
            </w:pPr>
          </w:p>
        </w:tc>
        <w:tc>
          <w:tcPr>
            <w:tcW w:w="200" w:type="dxa"/>
            <w:vAlign w:val="bottom"/>
            <w:shd w:val="clear" w:color="auto" w:fill="CDEAFA"/>
          </w:tcPr>
          <w:p>
            <w:pPr>
              <w:spacing w:after="0"/>
              <w:rPr>
                <w:sz w:val="17"/>
                <w:szCs w:val="17"/>
                <w:color w:val="auto"/>
              </w:rPr>
            </w:pPr>
          </w:p>
        </w:tc>
        <w:tc>
          <w:tcPr>
            <w:tcW w:w="180" w:type="dxa"/>
            <w:vAlign w:val="bottom"/>
            <w:shd w:val="clear" w:color="auto" w:fill="CDEAFA"/>
          </w:tcPr>
          <w:p>
            <w:pPr>
              <w:spacing w:after="0"/>
              <w:rPr>
                <w:sz w:val="17"/>
                <w:szCs w:val="17"/>
                <w:color w:val="auto"/>
              </w:rPr>
            </w:pPr>
          </w:p>
        </w:tc>
        <w:tc>
          <w:tcPr>
            <w:tcW w:w="980" w:type="dxa"/>
            <w:vAlign w:val="bottom"/>
            <w:shd w:val="clear" w:color="auto" w:fill="CDEAFA"/>
          </w:tcPr>
          <w:p>
            <w:pPr>
              <w:spacing w:after="0"/>
              <w:rPr>
                <w:sz w:val="17"/>
                <w:szCs w:val="17"/>
                <w:color w:val="auto"/>
              </w:rPr>
            </w:pPr>
          </w:p>
        </w:tc>
        <w:tc>
          <w:tcPr>
            <w:tcW w:w="160" w:type="dxa"/>
            <w:vAlign w:val="bottom"/>
            <w:shd w:val="clear" w:color="auto" w:fill="CDEAFA"/>
          </w:tcPr>
          <w:p>
            <w:pPr>
              <w:spacing w:after="0"/>
              <w:rPr>
                <w:sz w:val="17"/>
                <w:szCs w:val="17"/>
                <w:color w:val="auto"/>
              </w:rPr>
            </w:pPr>
          </w:p>
        </w:tc>
        <w:tc>
          <w:tcPr>
            <w:tcW w:w="1160" w:type="dxa"/>
            <w:vAlign w:val="bottom"/>
            <w:shd w:val="clear" w:color="auto" w:fill="CDEAFA"/>
          </w:tcPr>
          <w:p>
            <w:pPr>
              <w:spacing w:after="0"/>
              <w:rPr>
                <w:sz w:val="17"/>
                <w:szCs w:val="17"/>
                <w:color w:val="auto"/>
              </w:rPr>
            </w:pPr>
          </w:p>
        </w:tc>
        <w:tc>
          <w:tcPr>
            <w:tcW w:w="180" w:type="dxa"/>
            <w:vAlign w:val="bottom"/>
            <w:shd w:val="clear" w:color="auto" w:fill="CDEAFA"/>
          </w:tcPr>
          <w:p>
            <w:pPr>
              <w:spacing w:after="0"/>
              <w:rPr>
                <w:sz w:val="17"/>
                <w:szCs w:val="17"/>
                <w:color w:val="auto"/>
              </w:rPr>
            </w:pPr>
          </w:p>
        </w:tc>
        <w:tc>
          <w:tcPr>
            <w:tcW w:w="340" w:type="dxa"/>
            <w:vAlign w:val="bottom"/>
            <w:shd w:val="clear" w:color="auto" w:fill="CDEAFA"/>
          </w:tcPr>
          <w:p>
            <w:pPr>
              <w:spacing w:after="0"/>
              <w:rPr>
                <w:sz w:val="17"/>
                <w:szCs w:val="17"/>
                <w:color w:val="auto"/>
              </w:rPr>
            </w:pPr>
          </w:p>
        </w:tc>
        <w:tc>
          <w:tcPr>
            <w:tcW w:w="800" w:type="dxa"/>
            <w:vAlign w:val="bottom"/>
            <w:shd w:val="clear" w:color="auto" w:fill="CDEAFA"/>
          </w:tcPr>
          <w:p>
            <w:pPr>
              <w:spacing w:after="0"/>
              <w:rPr>
                <w:sz w:val="17"/>
                <w:szCs w:val="17"/>
                <w:color w:val="auto"/>
              </w:rPr>
            </w:pPr>
          </w:p>
        </w:tc>
      </w:tr>
      <w:tr>
        <w:trPr>
          <w:trHeight w:val="230"/>
        </w:trPr>
        <w:tc>
          <w:tcPr>
            <w:tcW w:w="3800" w:type="dxa"/>
            <w:vAlign w:val="bottom"/>
            <w:shd w:val="clear" w:color="auto" w:fill="CDEAFA"/>
          </w:tcPr>
          <w:p>
            <w:pPr>
              <w:ind w:left="220"/>
              <w:spacing w:after="0"/>
              <w:rPr>
                <w:sz w:val="20"/>
                <w:szCs w:val="20"/>
                <w:color w:val="auto"/>
              </w:rPr>
            </w:pPr>
            <w:r>
              <w:rPr>
                <w:rFonts w:ascii="Arial" w:cs="Arial" w:eastAsia="Arial" w:hAnsi="Arial"/>
                <w:sz w:val="18"/>
                <w:szCs w:val="18"/>
                <w:color w:val="auto"/>
              </w:rPr>
              <w:t>2021</w:t>
            </w:r>
          </w:p>
        </w:tc>
        <w:tc>
          <w:tcPr>
            <w:tcW w:w="11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17.2</w:t>
            </w:r>
          </w:p>
        </w:tc>
        <w:tc>
          <w:tcPr>
            <w:tcW w:w="38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431.33</w:t>
            </w:r>
          </w:p>
        </w:tc>
        <w:tc>
          <w:tcPr>
            <w:tcW w:w="160" w:type="dxa"/>
            <w:vAlign w:val="bottom"/>
            <w:shd w:val="clear" w:color="auto" w:fill="CDEAFA"/>
          </w:tcPr>
          <w:p>
            <w:pPr>
              <w:spacing w:after="0"/>
              <w:rPr>
                <w:sz w:val="20"/>
                <w:szCs w:val="20"/>
                <w:color w:val="auto"/>
              </w:rPr>
            </w:pPr>
          </w:p>
        </w:tc>
        <w:tc>
          <w:tcPr>
            <w:tcW w:w="11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6.3</w:t>
            </w:r>
          </w:p>
        </w:tc>
        <w:tc>
          <w:tcPr>
            <w:tcW w:w="520" w:type="dxa"/>
            <w:vAlign w:val="bottom"/>
            <w:gridSpan w:val="2"/>
            <w:shd w:val="clear" w:color="auto" w:fill="CDEAFA"/>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3,566.6</w:t>
            </w:r>
          </w:p>
        </w:tc>
      </w:tr>
      <w:tr>
        <w:trPr>
          <w:trHeight w:val="216"/>
        </w:trPr>
        <w:tc>
          <w:tcPr>
            <w:tcW w:w="3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800" w:type="dxa"/>
            <w:vAlign w:val="bottom"/>
            <w:shd w:val="clear" w:color="auto" w:fill="CDEAFA"/>
          </w:tcPr>
          <w:p>
            <w:pPr>
              <w:ind w:left="40"/>
              <w:spacing w:after="0"/>
              <w:rPr>
                <w:sz w:val="20"/>
                <w:szCs w:val="20"/>
                <w:color w:val="auto"/>
              </w:rPr>
            </w:pPr>
            <w:r>
              <w:rPr>
                <w:rFonts w:ascii="Arial" w:cs="Arial" w:eastAsia="Arial" w:hAnsi="Arial"/>
                <w:sz w:val="18"/>
                <w:szCs w:val="18"/>
                <w:color w:val="auto"/>
              </w:rPr>
              <w:t>Exercisable as of December 31, 2021</w:t>
            </w:r>
          </w:p>
        </w:tc>
        <w:tc>
          <w:tcPr>
            <w:tcW w:w="11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11.3</w:t>
            </w:r>
          </w:p>
        </w:tc>
        <w:tc>
          <w:tcPr>
            <w:tcW w:w="38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398.83</w:t>
            </w:r>
          </w:p>
        </w:tc>
        <w:tc>
          <w:tcPr>
            <w:tcW w:w="160" w:type="dxa"/>
            <w:vAlign w:val="bottom"/>
            <w:shd w:val="clear" w:color="auto" w:fill="CDEAFA"/>
          </w:tcPr>
          <w:p>
            <w:pPr>
              <w:spacing w:after="0"/>
              <w:rPr>
                <w:sz w:val="18"/>
                <w:szCs w:val="18"/>
                <w:color w:val="auto"/>
              </w:rPr>
            </w:pPr>
          </w:p>
        </w:tc>
        <w:tc>
          <w:tcPr>
            <w:tcW w:w="116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5.2</w:t>
            </w:r>
          </w:p>
        </w:tc>
        <w:tc>
          <w:tcPr>
            <w:tcW w:w="520" w:type="dxa"/>
            <w:vAlign w:val="bottom"/>
            <w:gridSpan w:val="2"/>
            <w:shd w:val="clear" w:color="auto" w:fill="CDEAFA"/>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2,697.6</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satisfies stock option exercises with newly issued shares of the Company’s Common Stock. The total intrinsic value of stock options exercised during 2021, 2020, and 2019 was $1.707 billion, $2.251 billion, and $558.9 million, respectively. The intrinsic value represents the amount by which the market price of the underlying stock exceeds the exercise price of an option.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9" w:name="page140"/>
    <w:bookmarkEnd w:id="139"/>
    <w:p>
      <w:pPr>
        <w:jc w:val="both"/>
        <w:spacing w:after="0" w:line="277" w:lineRule="auto"/>
        <w:rPr>
          <w:sz w:val="20"/>
          <w:szCs w:val="20"/>
          <w:color w:val="auto"/>
        </w:rPr>
      </w:pPr>
      <w:r>
        <w:rPr>
          <w:rFonts w:ascii="Arial" w:cs="Arial" w:eastAsia="Arial" w:hAnsi="Arial"/>
          <w:sz w:val="18"/>
          <w:szCs w:val="18"/>
          <w:color w:val="auto"/>
        </w:rPr>
        <w:t>The table below summarizes the weighted-average exercise prices and weighted-average grant-date fair values of options issued during the years ended December 31, 2021, 2020, and 2019.</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Options</w:t>
            </w: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0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Granted</w:t>
            </w: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4020" w:type="dxa"/>
            <w:vAlign w:val="bottom"/>
          </w:tcPr>
          <w:p>
            <w:pPr>
              <w:spacing w:after="0"/>
              <w:rPr>
                <w:sz w:val="20"/>
                <w:szCs w:val="20"/>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i w:val="1"/>
                <w:iCs w:val="1"/>
                <w:color w:val="auto"/>
                <w:w w:val="97"/>
              </w:rPr>
              <w:t>(In millions)</w:t>
            </w:r>
          </w:p>
        </w:tc>
        <w:tc>
          <w:tcPr>
            <w:tcW w:w="18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09"/>
        </w:trPr>
        <w:tc>
          <w:tcPr>
            <w:tcW w:w="4020" w:type="dxa"/>
            <w:vAlign w:val="bottom"/>
            <w:tcBorders>
              <w:top w:val="single" w:sz="8" w:color="CDEAFA"/>
            </w:tcBorders>
            <w:shd w:val="clear" w:color="auto" w:fill="CDEAFA"/>
          </w:tcPr>
          <w:p>
            <w:pPr>
              <w:jc w:val="right"/>
              <w:ind w:right="3470"/>
              <w:spacing w:after="0"/>
              <w:rPr>
                <w:sz w:val="20"/>
                <w:szCs w:val="20"/>
                <w:color w:val="auto"/>
              </w:rPr>
            </w:pPr>
            <w:r>
              <w:rPr>
                <w:rFonts w:ascii="Arial" w:cs="Arial" w:eastAsia="Arial" w:hAnsi="Arial"/>
                <w:sz w:val="18"/>
                <w:szCs w:val="18"/>
                <w:color w:val="auto"/>
                <w:w w:val="97"/>
              </w:rPr>
              <w:t>2021:</w:t>
            </w:r>
          </w:p>
        </w:tc>
        <w:tc>
          <w:tcPr>
            <w:tcW w:w="1180" w:type="dxa"/>
            <w:vAlign w:val="bottom"/>
            <w:tcBorders>
              <w:top w:val="single" w:sz="8" w:color="auto"/>
            </w:tcBorders>
            <w:shd w:val="clear" w:color="auto" w:fill="CDEAFA"/>
          </w:tcPr>
          <w:p>
            <w:pPr>
              <w:spacing w:after="0"/>
              <w:rPr>
                <w:sz w:val="18"/>
                <w:szCs w:val="18"/>
                <w:color w:val="auto"/>
              </w:rPr>
            </w:pPr>
          </w:p>
        </w:tc>
        <w:tc>
          <w:tcPr>
            <w:tcW w:w="160" w:type="dxa"/>
            <w:vAlign w:val="bottom"/>
            <w:tcBorders>
              <w:top w:val="single" w:sz="8" w:color="CDEAFA"/>
            </w:tcBorders>
            <w:shd w:val="clear" w:color="auto" w:fill="CDEAFA"/>
          </w:tcPr>
          <w:p>
            <w:pPr>
              <w:spacing w:after="0"/>
              <w:rPr>
                <w:sz w:val="18"/>
                <w:szCs w:val="18"/>
                <w:color w:val="auto"/>
              </w:rPr>
            </w:pPr>
          </w:p>
        </w:tc>
        <w:tc>
          <w:tcPr>
            <w:tcW w:w="180" w:type="dxa"/>
            <w:vAlign w:val="bottom"/>
            <w:tcBorders>
              <w:top w:val="single" w:sz="8" w:color="auto"/>
            </w:tcBorders>
            <w:shd w:val="clear" w:color="auto" w:fill="CDEAFA"/>
          </w:tcPr>
          <w:p>
            <w:pPr>
              <w:spacing w:after="0"/>
              <w:rPr>
                <w:sz w:val="18"/>
                <w:szCs w:val="18"/>
                <w:color w:val="auto"/>
              </w:rPr>
            </w:pPr>
          </w:p>
        </w:tc>
        <w:tc>
          <w:tcPr>
            <w:tcW w:w="1020" w:type="dxa"/>
            <w:vAlign w:val="bottom"/>
            <w:tcBorders>
              <w:top w:val="single" w:sz="8" w:color="auto"/>
            </w:tcBorders>
            <w:shd w:val="clear" w:color="auto" w:fill="CDEAFA"/>
          </w:tcPr>
          <w:p>
            <w:pPr>
              <w:spacing w:after="0"/>
              <w:rPr>
                <w:sz w:val="18"/>
                <w:szCs w:val="18"/>
                <w:color w:val="auto"/>
              </w:rPr>
            </w:pPr>
          </w:p>
        </w:tc>
        <w:tc>
          <w:tcPr>
            <w:tcW w:w="140" w:type="dxa"/>
            <w:vAlign w:val="bottom"/>
            <w:tcBorders>
              <w:top w:val="single" w:sz="8" w:color="CDEAFA"/>
            </w:tcBorders>
            <w:shd w:val="clear" w:color="auto" w:fill="CDEAFA"/>
          </w:tcPr>
          <w:p>
            <w:pPr>
              <w:spacing w:after="0"/>
              <w:rPr>
                <w:sz w:val="18"/>
                <w:szCs w:val="18"/>
                <w:color w:val="auto"/>
              </w:rPr>
            </w:pPr>
          </w:p>
        </w:tc>
        <w:tc>
          <w:tcPr>
            <w:tcW w:w="160" w:type="dxa"/>
            <w:vAlign w:val="bottom"/>
            <w:tcBorders>
              <w:top w:val="single" w:sz="8" w:color="auto"/>
            </w:tcBorders>
            <w:shd w:val="clear" w:color="auto" w:fill="CDEAFA"/>
          </w:tcPr>
          <w:p>
            <w:pPr>
              <w:spacing w:after="0"/>
              <w:rPr>
                <w:sz w:val="18"/>
                <w:szCs w:val="18"/>
                <w:color w:val="auto"/>
              </w:rPr>
            </w:pPr>
          </w:p>
        </w:tc>
        <w:tc>
          <w:tcPr>
            <w:tcW w:w="1000" w:type="dxa"/>
            <w:vAlign w:val="bottom"/>
            <w:tcBorders>
              <w:top w:val="single" w:sz="8" w:color="auto"/>
            </w:tcBorders>
            <w:shd w:val="clear" w:color="auto" w:fill="CDEAFA"/>
          </w:tcPr>
          <w:p>
            <w:pPr>
              <w:spacing w:after="0"/>
              <w:rPr>
                <w:sz w:val="18"/>
                <w:szCs w:val="18"/>
                <w:color w:val="auto"/>
              </w:rPr>
            </w:pPr>
          </w:p>
        </w:tc>
      </w:tr>
      <w:tr>
        <w:trPr>
          <w:trHeight w:val="216"/>
        </w:trPr>
        <w:tc>
          <w:tcPr>
            <w:tcW w:w="4020" w:type="dxa"/>
            <w:vAlign w:val="bottom"/>
          </w:tcPr>
          <w:p>
            <w:pPr>
              <w:jc w:val="right"/>
              <w:ind w:right="1130"/>
              <w:spacing w:after="0"/>
              <w:rPr>
                <w:sz w:val="20"/>
                <w:szCs w:val="20"/>
                <w:color w:val="auto"/>
              </w:rPr>
            </w:pPr>
            <w:r>
              <w:rPr>
                <w:rFonts w:ascii="Arial" w:cs="Arial" w:eastAsia="Arial" w:hAnsi="Arial"/>
                <w:sz w:val="18"/>
                <w:szCs w:val="18"/>
                <w:color w:val="auto"/>
                <w:w w:val="96"/>
              </w:rPr>
              <w:t>Exercise price equal to Market Price</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628.43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174.20</w:t>
            </w:r>
          </w:p>
        </w:tc>
      </w:tr>
      <w:tr>
        <w:trPr>
          <w:trHeight w:val="216"/>
        </w:trPr>
        <w:tc>
          <w:tcPr>
            <w:tcW w:w="4020" w:type="dxa"/>
            <w:vAlign w:val="bottom"/>
            <w:shd w:val="clear" w:color="auto" w:fill="CDEAFA"/>
          </w:tcPr>
          <w:p>
            <w:pPr>
              <w:jc w:val="right"/>
              <w:ind w:right="3470"/>
              <w:spacing w:after="0"/>
              <w:rPr>
                <w:sz w:val="20"/>
                <w:szCs w:val="20"/>
                <w:color w:val="auto"/>
              </w:rPr>
            </w:pPr>
            <w:r>
              <w:rPr>
                <w:rFonts w:ascii="Arial" w:cs="Arial" w:eastAsia="Arial" w:hAnsi="Arial"/>
                <w:sz w:val="18"/>
                <w:szCs w:val="18"/>
                <w:color w:val="auto"/>
                <w:w w:val="97"/>
              </w:rPr>
              <w:t>2020:</w:t>
            </w:r>
          </w:p>
        </w:tc>
        <w:tc>
          <w:tcPr>
            <w:tcW w:w="118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102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1000" w:type="dxa"/>
            <w:vAlign w:val="bottom"/>
            <w:shd w:val="clear" w:color="auto" w:fill="CDEAFA"/>
          </w:tcPr>
          <w:p>
            <w:pPr>
              <w:spacing w:after="0"/>
              <w:rPr>
                <w:sz w:val="18"/>
                <w:szCs w:val="18"/>
                <w:color w:val="auto"/>
              </w:rPr>
            </w:pPr>
          </w:p>
        </w:tc>
      </w:tr>
      <w:tr>
        <w:trPr>
          <w:trHeight w:val="216"/>
        </w:trPr>
        <w:tc>
          <w:tcPr>
            <w:tcW w:w="4020" w:type="dxa"/>
            <w:vAlign w:val="bottom"/>
          </w:tcPr>
          <w:p>
            <w:pPr>
              <w:jc w:val="right"/>
              <w:ind w:right="1130"/>
              <w:spacing w:after="0"/>
              <w:rPr>
                <w:sz w:val="20"/>
                <w:szCs w:val="20"/>
                <w:color w:val="auto"/>
              </w:rPr>
            </w:pPr>
            <w:r>
              <w:rPr>
                <w:rFonts w:ascii="Arial" w:cs="Arial" w:eastAsia="Arial" w:hAnsi="Arial"/>
                <w:sz w:val="18"/>
                <w:szCs w:val="18"/>
                <w:color w:val="auto"/>
                <w:w w:val="96"/>
              </w:rPr>
              <w:t>Exercise price equal to Market Price</w:t>
            </w: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492.60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126.50</w:t>
            </w:r>
          </w:p>
        </w:tc>
      </w:tr>
      <w:tr>
        <w:trPr>
          <w:trHeight w:val="216"/>
        </w:trPr>
        <w:tc>
          <w:tcPr>
            <w:tcW w:w="4020" w:type="dxa"/>
            <w:vAlign w:val="bottom"/>
            <w:shd w:val="clear" w:color="auto" w:fill="CDEAFA"/>
          </w:tcPr>
          <w:p>
            <w:pPr>
              <w:jc w:val="right"/>
              <w:ind w:right="3470"/>
              <w:spacing w:after="0"/>
              <w:rPr>
                <w:sz w:val="20"/>
                <w:szCs w:val="20"/>
                <w:color w:val="auto"/>
              </w:rPr>
            </w:pPr>
            <w:r>
              <w:rPr>
                <w:rFonts w:ascii="Arial" w:cs="Arial" w:eastAsia="Arial" w:hAnsi="Arial"/>
                <w:sz w:val="18"/>
                <w:szCs w:val="18"/>
                <w:color w:val="auto"/>
                <w:w w:val="97"/>
              </w:rPr>
              <w:t>2019:</w:t>
            </w:r>
          </w:p>
        </w:tc>
        <w:tc>
          <w:tcPr>
            <w:tcW w:w="118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180" w:type="dxa"/>
            <w:vAlign w:val="bottom"/>
            <w:shd w:val="clear" w:color="auto" w:fill="CDEAFA"/>
          </w:tcPr>
          <w:p>
            <w:pPr>
              <w:spacing w:after="0"/>
              <w:rPr>
                <w:sz w:val="18"/>
                <w:szCs w:val="18"/>
                <w:color w:val="auto"/>
              </w:rPr>
            </w:pPr>
          </w:p>
        </w:tc>
        <w:tc>
          <w:tcPr>
            <w:tcW w:w="1020" w:type="dxa"/>
            <w:vAlign w:val="bottom"/>
            <w:shd w:val="clear" w:color="auto" w:fill="CDEAFA"/>
          </w:tcPr>
          <w:p>
            <w:pPr>
              <w:spacing w:after="0"/>
              <w:rPr>
                <w:sz w:val="18"/>
                <w:szCs w:val="18"/>
                <w:color w:val="auto"/>
              </w:rPr>
            </w:pPr>
          </w:p>
        </w:tc>
        <w:tc>
          <w:tcPr>
            <w:tcW w:w="14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1000" w:type="dxa"/>
            <w:vAlign w:val="bottom"/>
            <w:shd w:val="clear" w:color="auto" w:fill="CDEAFA"/>
          </w:tcPr>
          <w:p>
            <w:pPr>
              <w:spacing w:after="0"/>
              <w:rPr>
                <w:sz w:val="18"/>
                <w:szCs w:val="18"/>
                <w:color w:val="auto"/>
              </w:rPr>
            </w:pPr>
          </w:p>
        </w:tc>
      </w:tr>
      <w:tr>
        <w:trPr>
          <w:trHeight w:val="230"/>
        </w:trPr>
        <w:tc>
          <w:tcPr>
            <w:tcW w:w="4020" w:type="dxa"/>
            <w:vAlign w:val="bottom"/>
          </w:tcPr>
          <w:p>
            <w:pPr>
              <w:jc w:val="right"/>
              <w:ind w:right="1130"/>
              <w:spacing w:after="0"/>
              <w:rPr>
                <w:sz w:val="20"/>
                <w:szCs w:val="20"/>
                <w:color w:val="auto"/>
              </w:rPr>
            </w:pPr>
            <w:r>
              <w:rPr>
                <w:rFonts w:ascii="Arial" w:cs="Arial" w:eastAsia="Arial" w:hAnsi="Arial"/>
                <w:sz w:val="18"/>
                <w:szCs w:val="18"/>
                <w:color w:val="auto"/>
                <w:w w:val="96"/>
              </w:rPr>
              <w:t>Exercise price equal to Market Price</w:t>
            </w: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366.65</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100.80</w:t>
            </w:r>
          </w:p>
        </w:tc>
      </w:tr>
    </w:tbl>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years ended December 31, 2021, 2020, and 2019, the Company recognized $328.7 million, $329.5 million, and $422.8 million, respectively, of non-cash stock-based compensation expense related to stock option awards (net of amounts capitalized as inventory, which were not material for each of the three years). As of December 31, 2021, there was $515.9 million of stock-based compensation cost related to unvested stock options, net of estimated forfeitures, which had not yet been recognized. The Company expects to recognize this compensation cost over a weighted-average period of 1.8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option grants during 2021, 2020, and 2019.</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900" w:type="dxa"/>
            <w:vAlign w:val="bottom"/>
            <w:tcBorders>
              <w:bottom w:val="single" w:sz="8" w:color="CDEAFA"/>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DEAFA"/>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DEAFA"/>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r>
      <w:tr>
        <w:trPr>
          <w:trHeight w:val="209"/>
        </w:trPr>
        <w:tc>
          <w:tcPr>
            <w:tcW w:w="3900" w:type="dxa"/>
            <w:vAlign w:val="bottom"/>
            <w:shd w:val="clear" w:color="auto" w:fill="CDEAFA"/>
          </w:tcPr>
          <w:p>
            <w:pPr>
              <w:ind w:left="40"/>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DEAFA"/>
          </w:tcPr>
          <w:p>
            <w:pPr>
              <w:spacing w:after="0"/>
              <w:rPr>
                <w:sz w:val="18"/>
                <w:szCs w:val="18"/>
                <w:color w:val="auto"/>
              </w:rPr>
            </w:pPr>
          </w:p>
        </w:tc>
        <w:tc>
          <w:tcPr>
            <w:tcW w:w="8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DEAFA"/>
          </w:tcPr>
          <w:p>
            <w:pPr>
              <w:spacing w:after="0"/>
              <w:rPr>
                <w:sz w:val="18"/>
                <w:szCs w:val="18"/>
                <w:color w:val="auto"/>
              </w:rPr>
            </w:pPr>
          </w:p>
        </w:tc>
        <w:tc>
          <w:tcPr>
            <w:tcW w:w="8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900" w:type="dxa"/>
            <w:vAlign w:val="bottom"/>
          </w:tcPr>
          <w:p>
            <w:pPr>
              <w:ind w:left="40"/>
              <w:spacing w:after="0"/>
              <w:rPr>
                <w:sz w:val="20"/>
                <w:szCs w:val="20"/>
                <w:color w:val="auto"/>
              </w:rPr>
            </w:pPr>
            <w:r>
              <w:rPr>
                <w:rFonts w:ascii="Arial" w:cs="Arial" w:eastAsia="Arial" w:hAnsi="Arial"/>
                <w:sz w:val="18"/>
                <w:szCs w:val="18"/>
                <w:color w:val="auto"/>
              </w:rPr>
              <w:t>Expected lives from grant date</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5.5 years</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5.0 years</w:t>
            </w:r>
          </w:p>
        </w:tc>
        <w:tc>
          <w:tcPr>
            <w:tcW w:w="880" w:type="dxa"/>
            <w:vAlign w:val="bottom"/>
          </w:tcPr>
          <w:p>
            <w:pPr>
              <w:jc w:val="right"/>
              <w:spacing w:after="0"/>
              <w:rPr>
                <w:sz w:val="20"/>
                <w:szCs w:val="20"/>
                <w:color w:val="auto"/>
              </w:rPr>
            </w:pPr>
            <w:r>
              <w:rPr>
                <w:rFonts w:ascii="Arial" w:cs="Arial" w:eastAsia="Arial" w:hAnsi="Arial"/>
                <w:sz w:val="18"/>
                <w:szCs w:val="18"/>
                <w:color w:val="auto"/>
              </w:rPr>
              <w:t>5.0 years</w:t>
            </w:r>
          </w:p>
        </w:tc>
      </w:tr>
      <w:tr>
        <w:trPr>
          <w:trHeight w:val="216"/>
        </w:trPr>
        <w:tc>
          <w:tcPr>
            <w:tcW w:w="3900" w:type="dxa"/>
            <w:vAlign w:val="bottom"/>
            <w:shd w:val="clear" w:color="auto" w:fill="CDEAFA"/>
          </w:tcPr>
          <w:p>
            <w:pPr>
              <w:ind w:left="40"/>
              <w:spacing w:after="0"/>
              <w:rPr>
                <w:sz w:val="20"/>
                <w:szCs w:val="20"/>
                <w:color w:val="auto"/>
              </w:rPr>
            </w:pPr>
            <w:r>
              <w:rPr>
                <w:rFonts w:ascii="Arial" w:cs="Arial" w:eastAsia="Arial" w:hAnsi="Arial"/>
                <w:sz w:val="18"/>
                <w:szCs w:val="18"/>
                <w:color w:val="auto"/>
              </w:rPr>
              <w:t>Expected dividend yield</w:t>
            </w:r>
          </w:p>
        </w:tc>
        <w:tc>
          <w:tcPr>
            <w:tcW w:w="8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DEAFA"/>
          </w:tcPr>
          <w:p>
            <w:pPr>
              <w:spacing w:after="0"/>
              <w:rPr>
                <w:sz w:val="18"/>
                <w:szCs w:val="18"/>
                <w:color w:val="auto"/>
              </w:rPr>
            </w:pPr>
          </w:p>
        </w:tc>
        <w:tc>
          <w:tcPr>
            <w:tcW w:w="8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DEAFA"/>
          </w:tcPr>
          <w:p>
            <w:pPr>
              <w:spacing w:after="0"/>
              <w:rPr>
                <w:sz w:val="18"/>
                <w:szCs w:val="18"/>
                <w:color w:val="auto"/>
              </w:rPr>
            </w:pPr>
          </w:p>
        </w:tc>
        <w:tc>
          <w:tcPr>
            <w:tcW w:w="8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 Awards and Time-Based Restricted Stock Units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activity related to restricted stock awards and time-based restricted stock units (excluding performance-based restricted stock units, which are detailed further below) (collectively, “restricted stock”) during 2021 is summarized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Shares/Units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Date Fair</w:t>
            </w:r>
          </w:p>
        </w:tc>
        <w:tc>
          <w:tcPr>
            <w:tcW w:w="224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2840" w:type="dxa"/>
            <w:vAlign w:val="bottom"/>
            <w:tcBorders>
              <w:bottom w:val="single" w:sz="8" w:color="CDEAFA"/>
            </w:tcBorders>
          </w:tcPr>
          <w:p>
            <w:pPr>
              <w:spacing w:after="0"/>
              <w:rPr>
                <w:sz w:val="20"/>
                <w:szCs w:val="20"/>
                <w:color w:val="auto"/>
              </w:rPr>
            </w:pPr>
          </w:p>
        </w:tc>
        <w:tc>
          <w:tcPr>
            <w:tcW w:w="1340" w:type="dxa"/>
            <w:vAlign w:val="bottom"/>
            <w:tcBorders>
              <w:bottom w:val="single" w:sz="8" w:color="CDEAFA"/>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7"/>
              </w:rPr>
              <w:t>(In millions)</w:t>
            </w:r>
          </w:p>
        </w:tc>
        <w:tc>
          <w:tcPr>
            <w:tcW w:w="120" w:type="dxa"/>
            <w:vAlign w:val="bottom"/>
            <w:tcBorders>
              <w:bottom w:val="single" w:sz="8" w:color="CDEAFA"/>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2240" w:type="dxa"/>
            <w:vAlign w:val="bottom"/>
          </w:tcPr>
          <w:p>
            <w:pPr>
              <w:spacing w:after="0"/>
              <w:rPr>
                <w:sz w:val="20"/>
                <w:szCs w:val="20"/>
                <w:color w:val="auto"/>
              </w:rPr>
            </w:pPr>
          </w:p>
        </w:tc>
      </w:tr>
      <w:tr>
        <w:trPr>
          <w:trHeight w:val="210"/>
        </w:trPr>
        <w:tc>
          <w:tcPr>
            <w:tcW w:w="2260" w:type="dxa"/>
            <w:vAlign w:val="bottom"/>
          </w:tcPr>
          <w:p>
            <w:pPr>
              <w:spacing w:after="0"/>
              <w:rPr>
                <w:sz w:val="18"/>
                <w:szCs w:val="18"/>
                <w:color w:val="auto"/>
              </w:rPr>
            </w:pPr>
          </w:p>
        </w:tc>
        <w:tc>
          <w:tcPr>
            <w:tcW w:w="2840" w:type="dxa"/>
            <w:vAlign w:val="bottom"/>
            <w:shd w:val="clear" w:color="auto" w:fill="CDEAFA"/>
          </w:tcPr>
          <w:p>
            <w:pPr>
              <w:ind w:left="40"/>
              <w:spacing w:after="0"/>
              <w:rPr>
                <w:sz w:val="20"/>
                <w:szCs w:val="20"/>
                <w:color w:val="auto"/>
              </w:rPr>
            </w:pPr>
            <w:r>
              <w:rPr>
                <w:rFonts w:ascii="Arial" w:cs="Arial" w:eastAsia="Arial" w:hAnsi="Arial"/>
                <w:sz w:val="18"/>
                <w:szCs w:val="18"/>
                <w:color w:val="auto"/>
              </w:rPr>
              <w:t>Balance as of December 31, 2020</w:t>
            </w:r>
          </w:p>
        </w:tc>
        <w:tc>
          <w:tcPr>
            <w:tcW w:w="1340" w:type="dxa"/>
            <w:vAlign w:val="bottom"/>
            <w:shd w:val="clear" w:color="auto" w:fill="CDEAFA"/>
          </w:tcPr>
          <w:p>
            <w:pPr>
              <w:spacing w:after="0"/>
              <w:rPr>
                <w:sz w:val="18"/>
                <w:szCs w:val="18"/>
                <w:color w:val="auto"/>
              </w:rPr>
            </w:pPr>
          </w:p>
        </w:tc>
        <w:tc>
          <w:tcPr>
            <w:tcW w:w="10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DEAFA"/>
          </w:tcPr>
          <w:p>
            <w:pPr>
              <w:spacing w:after="0"/>
              <w:rPr>
                <w:sz w:val="18"/>
                <w:szCs w:val="18"/>
                <w:color w:val="auto"/>
              </w:rPr>
            </w:pPr>
          </w:p>
        </w:tc>
        <w:tc>
          <w:tcPr>
            <w:tcW w:w="2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421.58</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8"/>
                <w:szCs w:val="18"/>
                <w:color w:val="auto"/>
              </w:rPr>
              <w:t>Granted</w:t>
            </w:r>
          </w:p>
        </w:tc>
        <w:tc>
          <w:tcPr>
            <w:tcW w:w="2380" w:type="dxa"/>
            <w:vAlign w:val="bottom"/>
            <w:gridSpan w:val="2"/>
          </w:tcPr>
          <w:p>
            <w:pPr>
              <w:jc w:val="right"/>
              <w:ind w:right="10"/>
              <w:spacing w:after="0"/>
              <w:rPr>
                <w:sz w:val="20"/>
                <w:szCs w:val="20"/>
                <w:color w:val="auto"/>
              </w:rPr>
            </w:pPr>
            <w:r>
              <w:rPr>
                <w:rFonts w:ascii="Arial" w:cs="Arial" w:eastAsia="Arial" w:hAnsi="Arial"/>
                <w:sz w:val="18"/>
                <w:szCs w:val="18"/>
                <w:color w:val="auto"/>
              </w:rPr>
              <w:t>0.7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633.31</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840" w:type="dxa"/>
            <w:vAlign w:val="bottom"/>
            <w:shd w:val="clear" w:color="auto" w:fill="CDEAFA"/>
          </w:tcPr>
          <w:p>
            <w:pPr>
              <w:ind w:left="540"/>
              <w:spacing w:after="0"/>
              <w:rPr>
                <w:sz w:val="20"/>
                <w:szCs w:val="20"/>
                <w:color w:val="auto"/>
              </w:rPr>
            </w:pPr>
            <w:r>
              <w:rPr>
                <w:rFonts w:ascii="Arial" w:cs="Arial" w:eastAsia="Arial" w:hAnsi="Arial"/>
                <w:sz w:val="18"/>
                <w:szCs w:val="18"/>
                <w:color w:val="auto"/>
              </w:rPr>
              <w:t>Vested</w:t>
            </w:r>
          </w:p>
        </w:tc>
        <w:tc>
          <w:tcPr>
            <w:tcW w:w="238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(0.2)</w:t>
            </w:r>
          </w:p>
        </w:tc>
        <w:tc>
          <w:tcPr>
            <w:tcW w:w="340" w:type="dxa"/>
            <w:vAlign w:val="bottom"/>
            <w:gridSpan w:val="2"/>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374.17</w:t>
            </w:r>
          </w:p>
        </w:tc>
        <w:tc>
          <w:tcPr>
            <w:tcW w:w="2240" w:type="dxa"/>
            <w:vAlign w:val="bottom"/>
          </w:tcPr>
          <w:p>
            <w:pPr>
              <w:spacing w:after="0"/>
              <w:rPr>
                <w:sz w:val="18"/>
                <w:szCs w:val="18"/>
                <w:color w:val="auto"/>
              </w:rPr>
            </w:pPr>
          </w:p>
        </w:tc>
      </w:tr>
      <w:tr>
        <w:trPr>
          <w:trHeight w:val="230"/>
        </w:trPr>
        <w:tc>
          <w:tcPr>
            <w:tcW w:w="2260" w:type="dxa"/>
            <w:vAlign w:val="bottom"/>
          </w:tcPr>
          <w:p>
            <w:pPr>
              <w:spacing w:after="0"/>
              <w:rPr>
                <w:sz w:val="19"/>
                <w:szCs w:val="19"/>
                <w:color w:val="auto"/>
              </w:rPr>
            </w:pPr>
          </w:p>
        </w:tc>
        <w:tc>
          <w:tcPr>
            <w:tcW w:w="2840" w:type="dxa"/>
            <w:vAlign w:val="bottom"/>
          </w:tcPr>
          <w:p>
            <w:pPr>
              <w:ind w:left="540"/>
              <w:spacing w:after="0"/>
              <w:rPr>
                <w:sz w:val="20"/>
                <w:szCs w:val="20"/>
                <w:color w:val="auto"/>
              </w:rPr>
            </w:pPr>
            <w:r>
              <w:rPr>
                <w:rFonts w:ascii="Arial" w:cs="Arial" w:eastAsia="Arial" w:hAnsi="Arial"/>
                <w:sz w:val="18"/>
                <w:szCs w:val="18"/>
                <w:color w:val="auto"/>
              </w:rPr>
              <w:t>Forfeited</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440.08</w:t>
            </w: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840" w:type="dxa"/>
            <w:vAlign w:val="bottom"/>
            <w:tcBorders>
              <w:top w:val="single" w:sz="8" w:color="CDEAFA"/>
              <w:bottom w:val="single" w:sz="8" w:color="CDEAFA"/>
            </w:tcBorders>
            <w:shd w:val="clear" w:color="auto" w:fill="CDEAFA"/>
          </w:tcPr>
          <w:p>
            <w:pPr>
              <w:ind w:left="40"/>
              <w:spacing w:after="0"/>
              <w:rPr>
                <w:sz w:val="20"/>
                <w:szCs w:val="20"/>
                <w:color w:val="auto"/>
              </w:rPr>
            </w:pPr>
            <w:r>
              <w:rPr>
                <w:rFonts w:ascii="Arial" w:cs="Arial" w:eastAsia="Arial" w:hAnsi="Arial"/>
                <w:sz w:val="18"/>
                <w:szCs w:val="18"/>
                <w:color w:val="auto"/>
              </w:rPr>
              <w:t>Balance as of December 31, 2021</w:t>
            </w:r>
          </w:p>
        </w:tc>
        <w:tc>
          <w:tcPr>
            <w:tcW w:w="1340" w:type="dxa"/>
            <w:vAlign w:val="bottom"/>
            <w:tcBorders>
              <w:top w:val="single" w:sz="8" w:color="CDEAFA"/>
              <w:bottom w:val="single" w:sz="8" w:color="CDEAFA"/>
            </w:tcBorders>
            <w:shd w:val="clear" w:color="auto" w:fill="CDEAFA"/>
          </w:tcPr>
          <w:p>
            <w:pPr>
              <w:spacing w:after="0"/>
              <w:rPr>
                <w:sz w:val="19"/>
                <w:szCs w:val="19"/>
                <w:color w:val="auto"/>
              </w:rPr>
            </w:pPr>
          </w:p>
        </w:tc>
        <w:tc>
          <w:tcPr>
            <w:tcW w:w="1040" w:type="dxa"/>
            <w:vAlign w:val="bottom"/>
            <w:tcBorders>
              <w:top w:val="single" w:sz="8" w:color="auto"/>
              <w:bottom w:val="single" w:sz="8" w:color="auto"/>
            </w:tcBorders>
            <w:shd w:val="clear" w:color="auto" w:fill="CDEAFA"/>
          </w:tcPr>
          <w:p>
            <w:pPr>
              <w:jc w:val="right"/>
              <w:ind w:right="10"/>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CDEAFA"/>
              <w:bottom w:val="single" w:sz="8" w:color="CDEAFA"/>
            </w:tcBorders>
            <w:gridSpan w:val="2"/>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DEAFA"/>
              <w:bottom w:val="single" w:sz="8" w:color="CDEAFA"/>
            </w:tcBorders>
            <w:shd w:val="clear" w:color="auto" w:fill="CDEAFA"/>
          </w:tcPr>
          <w:p>
            <w:pPr>
              <w:jc w:val="right"/>
              <w:spacing w:after="0"/>
              <w:rPr>
                <w:sz w:val="20"/>
                <w:szCs w:val="20"/>
                <w:color w:val="auto"/>
              </w:rPr>
            </w:pPr>
            <w:r>
              <w:rPr>
                <w:rFonts w:ascii="Arial" w:cs="Arial" w:eastAsia="Arial" w:hAnsi="Arial"/>
                <w:sz w:val="18"/>
                <w:szCs w:val="18"/>
                <w:color w:val="auto"/>
              </w:rPr>
              <w:t>499.85</w:t>
            </w:r>
          </w:p>
        </w:tc>
        <w:tc>
          <w:tcPr>
            <w:tcW w:w="224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86"/>
        </w:trPr>
        <w:tc>
          <w:tcPr>
            <w:tcW w:w="2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80" w:type="dxa"/>
            <w:vAlign w:val="bottom"/>
            <w:gridSpan w:val="2"/>
          </w:tcPr>
          <w:p>
            <w:pPr>
              <w:jc w:val="right"/>
              <w:ind w:right="1590"/>
              <w:spacing w:after="0"/>
              <w:rPr>
                <w:sz w:val="20"/>
                <w:szCs w:val="20"/>
                <w:color w:val="auto"/>
              </w:rPr>
            </w:pPr>
            <w:r>
              <w:rPr>
                <w:rFonts w:ascii="Arial" w:cs="Arial" w:eastAsia="Arial" w:hAnsi="Arial"/>
                <w:sz w:val="18"/>
                <w:szCs w:val="18"/>
                <w:color w:val="auto"/>
              </w:rPr>
              <w:t>F-32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0"/>
        </w:trPr>
        <w:tc>
          <w:tcPr>
            <w:tcW w:w="2260" w:type="dxa"/>
            <w:vAlign w:val="bottom"/>
            <w:tcBorders>
              <w:bottom w:val="single" w:sz="8" w:color="C0C0C0"/>
            </w:tcBorders>
          </w:tcPr>
          <w:p>
            <w:pPr>
              <w:spacing w:after="0"/>
              <w:rPr>
                <w:sz w:val="21"/>
                <w:szCs w:val="21"/>
                <w:color w:val="auto"/>
              </w:rPr>
            </w:pPr>
          </w:p>
        </w:tc>
        <w:tc>
          <w:tcPr>
            <w:tcW w:w="2840" w:type="dxa"/>
            <w:vAlign w:val="bottom"/>
            <w:tcBorders>
              <w:bottom w:val="single" w:sz="8" w:color="C0C0C0"/>
            </w:tcBorders>
          </w:tcPr>
          <w:p>
            <w:pPr>
              <w:spacing w:after="0"/>
              <w:rPr>
                <w:sz w:val="21"/>
                <w:szCs w:val="21"/>
                <w:color w:val="auto"/>
              </w:rPr>
            </w:pPr>
          </w:p>
        </w:tc>
        <w:tc>
          <w:tcPr>
            <w:tcW w:w="1340" w:type="dxa"/>
            <w:vAlign w:val="bottom"/>
            <w:tcBorders>
              <w:bottom w:val="single" w:sz="8" w:color="C0C0C0"/>
            </w:tcBorders>
          </w:tcPr>
          <w:p>
            <w:pPr>
              <w:spacing w:after="0"/>
              <w:rPr>
                <w:sz w:val="21"/>
                <w:szCs w:val="21"/>
                <w:color w:val="auto"/>
              </w:rPr>
            </w:pPr>
          </w:p>
        </w:tc>
        <w:tc>
          <w:tcPr>
            <w:tcW w:w="10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180" w:type="dxa"/>
            <w:vAlign w:val="bottom"/>
            <w:tcBorders>
              <w:bottom w:val="single" w:sz="8" w:color="C0C0C0"/>
            </w:tcBorders>
          </w:tcPr>
          <w:p>
            <w:pPr>
              <w:spacing w:after="0"/>
              <w:rPr>
                <w:sz w:val="21"/>
                <w:szCs w:val="21"/>
                <w:color w:val="auto"/>
              </w:rPr>
            </w:pPr>
          </w:p>
        </w:tc>
        <w:tc>
          <w:tcPr>
            <w:tcW w:w="22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9" w:right="339" w:bottom="1440" w:gutter="0" w:footer="0" w:header="0"/>
        </w:sectPr>
      </w:pPr>
    </w:p>
    <w:bookmarkStart w:id="140" w:name="page141"/>
    <w:bookmarkEnd w:id="140"/>
    <w:p>
      <w:pPr>
        <w:jc w:val="both"/>
        <w:spacing w:after="0" w:line="259" w:lineRule="auto"/>
        <w:rPr>
          <w:sz w:val="20"/>
          <w:szCs w:val="20"/>
          <w:color w:val="auto"/>
        </w:rPr>
      </w:pPr>
      <w:r>
        <w:rPr>
          <w:rFonts w:ascii="Arial" w:cs="Arial" w:eastAsia="Arial" w:hAnsi="Arial"/>
          <w:sz w:val="18"/>
          <w:szCs w:val="18"/>
          <w:color w:val="auto"/>
        </w:rPr>
        <w:t>The Company recognized non-cash stock-based compensation expense related to restricted stock of $221.0 million, $102.5 million, and $29.7 million in 2021, 2020, and 2019, respectively (net of amounts capitalized as inventory, which were not material for each of the three years). As of December 31, 2021, there was $649.1 million of stock-based compensation cost related to unvested restricted stock which had not yet been recognized. The Company expects to recognize this compensation cost over a weighted-average period of 2.4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Performance-based Restricted Stock Units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Performance-based restricted stock units (“PSUs”) have been granted to certain executive officers of the Company. The PSUs will be earned based upon the achievement of predetermined, cumulative total shareholder return goals with respect to the Company’s Common Stock price over a specified (generally five-year) period beginning on the grant date. The number of PSUs granted represents the maximum number of units that are eligible to be earned. Depending on the terms of the PSUs and the outcome of the performance goals, a recipient may ultimately earn 0% to 250% (as specified for each PSU grant) of the target number of PSUs granted. As of December 31, 2021 and 2020, 1.3 million PSUs were outstanding with a weighted-average grant date fair value of $209.06 per unit. During the year ended December 31, 2021, the Company did not grant new PSUs and no PSUs were vested, forfeited, or cancelled.</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non-cash stock-based compensation expense related to PSUs of $52.0 million and $11.7 million in 2021 and 2019, respectively. The Company did not recognize non-cash stock-based compensation expense related to PSUs in 2020 (as PSUs granted in 2020 were granted on December 31, 2020 and are expensed over the vesting period). As of December 31, 2021, there was $208.0 million of stock-based compensation cost related to unvested PSUs which had not yet been recognized. The Company expects to recognize this compensation cost on a straight-line basis over a period of 4.0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PSUs that were granted during 2020 and 2019.</w:t>
      </w:r>
    </w:p>
    <w:p>
      <w:pPr>
        <w:spacing w:after="0" w:line="180" w:lineRule="exact"/>
        <w:rPr>
          <w:sz w:val="20"/>
          <w:szCs w:val="20"/>
          <w:color w:val="auto"/>
        </w:rPr>
      </w:pPr>
    </w:p>
    <w:tbl>
      <w:tblPr>
        <w:tblLayout w:type="fixed"/>
        <w:tblInd w:w="2540" w:type="dxa"/>
        <w:tblCellMar>
          <w:top w:w="0" w:type="dxa"/>
          <w:left w:w="0" w:type="dxa"/>
          <w:bottom w:w="0" w:type="dxa"/>
          <w:right w:w="0" w:type="dxa"/>
        </w:tblCellMar>
      </w:tblPr>
      <w:tr>
        <w:trPr>
          <w:trHeight w:val="234"/>
        </w:trPr>
        <w:tc>
          <w:tcPr>
            <w:tcW w:w="4080" w:type="dxa"/>
            <w:vAlign w:val="bottom"/>
            <w:tcBorders>
              <w:bottom w:val="single" w:sz="8" w:color="CDEAFA"/>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DEAFA"/>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209"/>
        </w:trPr>
        <w:tc>
          <w:tcPr>
            <w:tcW w:w="4080" w:type="dxa"/>
            <w:vAlign w:val="bottom"/>
            <w:shd w:val="clear" w:color="auto" w:fill="CDEAFA"/>
          </w:tcPr>
          <w:p>
            <w:pPr>
              <w:ind w:left="60"/>
              <w:spacing w:after="0"/>
              <w:rPr>
                <w:sz w:val="20"/>
                <w:szCs w:val="20"/>
                <w:color w:val="auto"/>
              </w:rPr>
            </w:pPr>
            <w:r>
              <w:rPr>
                <w:rFonts w:ascii="Arial" w:cs="Arial" w:eastAsia="Arial" w:hAnsi="Arial"/>
                <w:sz w:val="18"/>
                <w:szCs w:val="18"/>
                <w:color w:val="auto"/>
              </w:rPr>
              <w:t>Expected volatility</w:t>
            </w:r>
          </w:p>
        </w:tc>
        <w:tc>
          <w:tcPr>
            <w:tcW w:w="9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DEAFA"/>
          </w:tcPr>
          <w:p>
            <w:pPr>
              <w:spacing w:after="0"/>
              <w:rPr>
                <w:sz w:val="18"/>
                <w:szCs w:val="18"/>
                <w:color w:val="auto"/>
              </w:rPr>
            </w:pPr>
          </w:p>
        </w:tc>
        <w:tc>
          <w:tcPr>
            <w:tcW w:w="10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08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80" w:type="dxa"/>
            <w:vAlign w:val="bottom"/>
            <w:shd w:val="clear" w:color="auto" w:fill="CDEAFA"/>
          </w:tcPr>
          <w:p>
            <w:pPr>
              <w:ind w:left="60"/>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DEAFA"/>
          </w:tcPr>
          <w:p>
            <w:pPr>
              <w:spacing w:after="0"/>
              <w:rPr>
                <w:sz w:val="18"/>
                <w:szCs w:val="18"/>
                <w:color w:val="auto"/>
              </w:rPr>
            </w:pPr>
          </w:p>
        </w:tc>
        <w:tc>
          <w:tcPr>
            <w:tcW w:w="10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1.63%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Savings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the Regeneron Pharmaceuticals, Inc. 401(k) Savings Plan, as amended and restated (the “Savings Plan”). The terms of the Savings Plan allow U.S. employees (as defined by the Savings Plan) to contribute to the Savings Plan a percentage of their compensation. In addition, the Company may make discretionary contributions, as defined, to the accounts of participants under the Savings Plan. The Company also maintains additional employee savings plans outside of the United States, which cover eligible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Expenses recognized by the Company related to contributions to such plans were not material during 2021, 2020, and 2019.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subject to U.S. federal, state, and foreign income taxes. Components of income before income taxes consist of the following:</w:t>
      </w:r>
    </w:p>
    <w:p>
      <w:pPr>
        <w:spacing w:after="0" w:line="246" w:lineRule="exact"/>
        <w:rPr>
          <w:sz w:val="20"/>
          <w:szCs w:val="20"/>
          <w:color w:val="auto"/>
        </w:rPr>
      </w:pPr>
    </w:p>
    <w:tbl>
      <w:tblPr>
        <w:tblLayout w:type="fixed"/>
        <w:tblInd w:w="2540" w:type="dxa"/>
        <w:tblCellMar>
          <w:top w:w="0" w:type="dxa"/>
          <w:left w:w="0" w:type="dxa"/>
          <w:bottom w:w="0" w:type="dxa"/>
          <w:right w:w="0" w:type="dxa"/>
        </w:tblCellMar>
      </w:tblPr>
      <w:tr>
        <w:trPr>
          <w:trHeight w:val="234"/>
        </w:trPr>
        <w:tc>
          <w:tcPr>
            <w:tcW w:w="324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39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DEAFA"/>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CDEAF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DEA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3240" w:type="dxa"/>
            <w:vAlign w:val="bottom"/>
            <w:shd w:val="clear" w:color="auto" w:fill="CDEAFA"/>
          </w:tcPr>
          <w:p>
            <w:pPr>
              <w:ind w:left="6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DEAFA"/>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5,944.7</w:t>
            </w:r>
          </w:p>
        </w:tc>
        <w:tc>
          <w:tcPr>
            <w:tcW w:w="120" w:type="dxa"/>
            <w:vAlign w:val="bottom"/>
            <w:shd w:val="clear" w:color="auto" w:fill="CDEAFA"/>
          </w:tcPr>
          <w:p>
            <w:pPr>
              <w:spacing w:after="0"/>
              <w:rPr>
                <w:sz w:val="18"/>
                <w:szCs w:val="18"/>
                <w:color w:val="auto"/>
              </w:rPr>
            </w:pPr>
          </w:p>
        </w:tc>
        <w:tc>
          <w:tcPr>
            <w:tcW w:w="160" w:type="dxa"/>
            <w:vAlign w:val="bottom"/>
            <w:shd w:val="clear" w:color="auto" w:fill="CDEAFA"/>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2,442.3</w:t>
            </w:r>
          </w:p>
        </w:tc>
        <w:tc>
          <w:tcPr>
            <w:tcW w:w="140" w:type="dxa"/>
            <w:vAlign w:val="bottom"/>
            <w:shd w:val="clear" w:color="auto" w:fill="CDEAFA"/>
          </w:tcPr>
          <w:p>
            <w:pPr>
              <w:spacing w:after="0"/>
              <w:rPr>
                <w:sz w:val="18"/>
                <w:szCs w:val="18"/>
                <w:color w:val="auto"/>
              </w:rPr>
            </w:pPr>
          </w:p>
        </w:tc>
        <w:tc>
          <w:tcPr>
            <w:tcW w:w="180" w:type="dxa"/>
            <w:vAlign w:val="bottom"/>
            <w:shd w:val="clear" w:color="auto" w:fill="CDEAFA"/>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2,011.2</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DEAFA"/>
            </w:tcBorders>
          </w:tcPr>
          <w:p>
            <w:pPr>
              <w:ind w:left="6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3,381.1</w:t>
            </w:r>
          </w:p>
        </w:tc>
        <w:tc>
          <w:tcPr>
            <w:tcW w:w="120" w:type="dxa"/>
            <w:vAlign w:val="bottom"/>
            <w:tcBorders>
              <w:bottom w:val="single" w:sz="8" w:color="CDEAF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w:t>
            </w:r>
          </w:p>
        </w:tc>
        <w:tc>
          <w:tcPr>
            <w:tcW w:w="140" w:type="dxa"/>
            <w:vAlign w:val="bottom"/>
            <w:tcBorders>
              <w:bottom w:val="single" w:sz="8" w:color="CDEA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DEAFA"/>
            </w:tcBorders>
            <w:shd w:val="clear" w:color="auto" w:fill="CDEAFA"/>
          </w:tcPr>
          <w:p>
            <w:pPr>
              <w:spacing w:after="0"/>
              <w:rPr>
                <w:sz w:val="19"/>
                <w:szCs w:val="19"/>
                <w:color w:val="auto"/>
              </w:rPr>
            </w:pPr>
          </w:p>
        </w:tc>
        <w:tc>
          <w:tcPr>
            <w:tcW w:w="2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9,325.8</w:t>
            </w:r>
          </w:p>
        </w:tc>
        <w:tc>
          <w:tcPr>
            <w:tcW w:w="120" w:type="dxa"/>
            <w:vAlign w:val="bottom"/>
            <w:tcBorders>
              <w:bottom w:val="single" w:sz="8" w:color="CDEAFA"/>
            </w:tcBorders>
            <w:shd w:val="clear" w:color="auto" w:fill="CDEAFA"/>
          </w:tcPr>
          <w:p>
            <w:pPr>
              <w:spacing w:after="0"/>
              <w:rPr>
                <w:sz w:val="19"/>
                <w:szCs w:val="19"/>
                <w:color w:val="auto"/>
              </w:rPr>
            </w:pPr>
          </w:p>
        </w:tc>
        <w:tc>
          <w:tcPr>
            <w:tcW w:w="160" w:type="dxa"/>
            <w:vAlign w:val="bottom"/>
            <w:tcBorders>
              <w:bottom w:val="single" w:sz="8" w:color="auto"/>
            </w:tcBorders>
            <w:shd w:val="clear" w:color="auto" w:fill="CDEAFA"/>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3,810.4</w:t>
            </w:r>
          </w:p>
        </w:tc>
        <w:tc>
          <w:tcPr>
            <w:tcW w:w="140" w:type="dxa"/>
            <w:vAlign w:val="bottom"/>
            <w:tcBorders>
              <w:bottom w:val="single" w:sz="8" w:color="CDEAFA"/>
            </w:tcBorders>
            <w:shd w:val="clear" w:color="auto" w:fill="CDEAFA"/>
          </w:tcPr>
          <w:p>
            <w:pPr>
              <w:spacing w:after="0"/>
              <w:rPr>
                <w:sz w:val="19"/>
                <w:szCs w:val="19"/>
                <w:color w:val="auto"/>
              </w:rPr>
            </w:pPr>
          </w:p>
        </w:tc>
        <w:tc>
          <w:tcPr>
            <w:tcW w:w="1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2,429.1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Components of income tax expense consist of the following:</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4"/>
                <w:szCs w:val="24"/>
                <w:color w:val="auto"/>
              </w:rPr>
            </w:pPr>
          </w:p>
        </w:tc>
        <w:tc>
          <w:tcPr>
            <w:tcW w:w="45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500" w:type="dxa"/>
            <w:vAlign w:val="bottom"/>
            <w:tcBorders>
              <w:bottom w:val="single" w:sz="8" w:color="CDEAFA"/>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DEAFA"/>
            </w:tcBorders>
          </w:tcPr>
          <w:p>
            <w:pPr>
              <w:spacing w:after="0"/>
              <w:rPr>
                <w:sz w:val="19"/>
                <w:szCs w:val="19"/>
                <w:color w:val="auto"/>
              </w:rPr>
            </w:pPr>
          </w:p>
        </w:tc>
        <w:tc>
          <w:tcPr>
            <w:tcW w:w="16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2020</w:t>
            </w:r>
          </w:p>
        </w:tc>
        <w:tc>
          <w:tcPr>
            <w:tcW w:w="60" w:type="dxa"/>
            <w:vAlign w:val="bottom"/>
            <w:tcBorders>
              <w:bottom w:val="single" w:sz="8" w:color="CDEAFA"/>
            </w:tcBorders>
          </w:tcPr>
          <w:p>
            <w:pPr>
              <w:spacing w:after="0"/>
              <w:rPr>
                <w:sz w:val="19"/>
                <w:szCs w:val="19"/>
                <w:color w:val="auto"/>
              </w:rPr>
            </w:pPr>
          </w:p>
        </w:tc>
        <w:tc>
          <w:tcPr>
            <w:tcW w:w="16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2019</w:t>
            </w:r>
          </w:p>
        </w:tc>
        <w:tc>
          <w:tcPr>
            <w:tcW w:w="80" w:type="dxa"/>
            <w:vAlign w:val="bottom"/>
            <w:tcBorders>
              <w:bottom w:val="single" w:sz="8" w:color="CDEAFA"/>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500" w:type="dxa"/>
            <w:vAlign w:val="bottom"/>
            <w:shd w:val="clear" w:color="auto" w:fill="CDEAFA"/>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DEAFA"/>
          </w:tcPr>
          <w:p>
            <w:pPr>
              <w:spacing w:after="0"/>
              <w:rPr>
                <w:sz w:val="18"/>
                <w:szCs w:val="18"/>
                <w:color w:val="auto"/>
              </w:rPr>
            </w:pPr>
          </w:p>
        </w:tc>
        <w:tc>
          <w:tcPr>
            <w:tcW w:w="720" w:type="dxa"/>
            <w:vAlign w:val="bottom"/>
            <w:shd w:val="clear" w:color="auto" w:fill="CDEAFA"/>
          </w:tcPr>
          <w:p>
            <w:pPr>
              <w:spacing w:after="0"/>
              <w:rPr>
                <w:sz w:val="18"/>
                <w:szCs w:val="18"/>
                <w:color w:val="auto"/>
              </w:rPr>
            </w:pPr>
          </w:p>
        </w:tc>
        <w:tc>
          <w:tcPr>
            <w:tcW w:w="10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72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16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640" w:type="dxa"/>
            <w:vAlign w:val="bottom"/>
            <w:shd w:val="clear" w:color="auto" w:fill="CDEAFA"/>
          </w:tcPr>
          <w:p>
            <w:pPr>
              <w:spacing w:after="0"/>
              <w:rPr>
                <w:sz w:val="18"/>
                <w:szCs w:val="18"/>
                <w:color w:val="auto"/>
              </w:rPr>
            </w:pPr>
          </w:p>
        </w:tc>
        <w:tc>
          <w:tcPr>
            <w:tcW w:w="8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1,429.8</w:t>
            </w:r>
          </w:p>
        </w:tc>
        <w:tc>
          <w:tcPr>
            <w:tcW w:w="1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199.0</w:t>
            </w:r>
          </w:p>
        </w:tc>
        <w:tc>
          <w:tcPr>
            <w:tcW w:w="16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DEAFA"/>
          </w:tcPr>
          <w:p>
            <w:pPr>
              <w:spacing w:after="0"/>
              <w:rPr>
                <w:sz w:val="18"/>
                <w:szCs w:val="18"/>
                <w:color w:val="auto"/>
              </w:rPr>
            </w:pPr>
          </w:p>
        </w:tc>
        <w:tc>
          <w:tcPr>
            <w:tcW w:w="820" w:type="dxa"/>
            <w:vAlign w:val="bottom"/>
            <w:gridSpan w:val="2"/>
            <w:shd w:val="clear" w:color="auto" w:fill="CDEAFA"/>
          </w:tcPr>
          <w:p>
            <w:pPr>
              <w:jc w:val="right"/>
              <w:ind w:right="10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780" w:type="dxa"/>
            <w:vAlign w:val="bottom"/>
            <w:gridSpan w:val="2"/>
            <w:shd w:val="clear" w:color="auto" w:fill="CDEAFA"/>
          </w:tcPr>
          <w:p>
            <w:pPr>
              <w:jc w:val="right"/>
              <w:ind w:right="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720" w:type="dxa"/>
            <w:vAlign w:val="bottom"/>
            <w:gridSpan w:val="2"/>
            <w:shd w:val="clear" w:color="auto" w:fill="CDEAFA"/>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500" w:type="dxa"/>
            <w:vAlign w:val="bottom"/>
            <w:tcBorders>
              <w:bottom w:val="single" w:sz="8" w:color="CDEAFA"/>
            </w:tcBorders>
          </w:tcPr>
          <w:p>
            <w:pPr>
              <w:ind w:left="18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(38.4)</w:t>
            </w:r>
          </w:p>
        </w:tc>
        <w:tc>
          <w:tcPr>
            <w:tcW w:w="160" w:type="dxa"/>
            <w:vAlign w:val="bottom"/>
            <w:tcBorders>
              <w:bottom w:val="single" w:sz="8" w:color="CDEA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21.4</w:t>
            </w:r>
          </w:p>
        </w:tc>
        <w:tc>
          <w:tcPr>
            <w:tcW w:w="160" w:type="dxa"/>
            <w:vAlign w:val="bottom"/>
            <w:tcBorders>
              <w:bottom w:val="single" w:sz="8" w:color="CDEA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500" w:type="dxa"/>
            <w:vAlign w:val="bottom"/>
            <w:shd w:val="clear" w:color="auto" w:fill="CDEAFA"/>
          </w:tcPr>
          <w:p>
            <w:pPr>
              <w:ind w:left="40"/>
              <w:spacing w:after="0"/>
              <w:rPr>
                <w:sz w:val="20"/>
                <w:szCs w:val="20"/>
                <w:color w:val="auto"/>
              </w:rPr>
            </w:pPr>
            <w:r>
              <w:rPr>
                <w:rFonts w:ascii="Arial" w:cs="Arial" w:eastAsia="Arial" w:hAnsi="Arial"/>
                <w:sz w:val="18"/>
                <w:szCs w:val="18"/>
                <w:color w:val="auto"/>
              </w:rPr>
              <w:t>Total current tax expense</w:t>
            </w:r>
          </w:p>
        </w:tc>
        <w:tc>
          <w:tcPr>
            <w:tcW w:w="220" w:type="dxa"/>
            <w:vAlign w:val="bottom"/>
            <w:tcBorders>
              <w:bottom w:val="single" w:sz="8" w:color="auto"/>
            </w:tcBorders>
            <w:shd w:val="clear" w:color="auto" w:fill="CDEAFA"/>
          </w:tcPr>
          <w:p>
            <w:pPr>
              <w:spacing w:after="0"/>
              <w:rPr>
                <w:sz w:val="18"/>
                <w:szCs w:val="18"/>
                <w:color w:val="auto"/>
              </w:rPr>
            </w:pPr>
          </w:p>
        </w:tc>
        <w:tc>
          <w:tcPr>
            <w:tcW w:w="820" w:type="dxa"/>
            <w:vAlign w:val="bottom"/>
            <w:tcBorders>
              <w:bottom w:val="single" w:sz="8" w:color="auto"/>
            </w:tcBorders>
            <w:gridSpan w:val="2"/>
            <w:shd w:val="clear" w:color="auto" w:fill="CDEAFA"/>
          </w:tcPr>
          <w:p>
            <w:pPr>
              <w:jc w:val="right"/>
              <w:ind w:right="100"/>
              <w:spacing w:after="0"/>
              <w:rPr>
                <w:sz w:val="20"/>
                <w:szCs w:val="20"/>
                <w:color w:val="auto"/>
              </w:rPr>
            </w:pPr>
            <w:r>
              <w:rPr>
                <w:rFonts w:ascii="Arial" w:cs="Arial" w:eastAsia="Arial" w:hAnsi="Arial"/>
                <w:sz w:val="18"/>
                <w:szCs w:val="18"/>
                <w:color w:val="auto"/>
              </w:rPr>
              <w:t>1,397.6</w:t>
            </w:r>
          </w:p>
        </w:tc>
        <w:tc>
          <w:tcPr>
            <w:tcW w:w="160" w:type="dxa"/>
            <w:vAlign w:val="bottom"/>
            <w:shd w:val="clear" w:color="auto" w:fill="CDEAFA"/>
          </w:tcPr>
          <w:p>
            <w:pPr>
              <w:spacing w:after="0"/>
              <w:rPr>
                <w:sz w:val="18"/>
                <w:szCs w:val="18"/>
                <w:color w:val="auto"/>
              </w:rPr>
            </w:pPr>
          </w:p>
        </w:tc>
        <w:tc>
          <w:tcPr>
            <w:tcW w:w="220" w:type="dxa"/>
            <w:vAlign w:val="bottom"/>
            <w:tcBorders>
              <w:bottom w:val="single" w:sz="8" w:color="auto"/>
            </w:tcBorders>
            <w:shd w:val="clear" w:color="auto" w:fill="CDEAFA"/>
          </w:tcPr>
          <w:p>
            <w:pPr>
              <w:spacing w:after="0"/>
              <w:rPr>
                <w:sz w:val="18"/>
                <w:szCs w:val="18"/>
                <w:color w:val="auto"/>
              </w:rPr>
            </w:pPr>
          </w:p>
        </w:tc>
        <w:tc>
          <w:tcPr>
            <w:tcW w:w="780" w:type="dxa"/>
            <w:vAlign w:val="bottom"/>
            <w:tcBorders>
              <w:bottom w:val="single" w:sz="8" w:color="auto"/>
            </w:tcBorders>
            <w:gridSpan w:val="2"/>
            <w:shd w:val="clear" w:color="auto" w:fill="CDEAFA"/>
          </w:tcPr>
          <w:p>
            <w:pPr>
              <w:jc w:val="right"/>
              <w:ind w:right="60"/>
              <w:spacing w:after="0"/>
              <w:rPr>
                <w:sz w:val="20"/>
                <w:szCs w:val="20"/>
                <w:color w:val="auto"/>
              </w:rPr>
            </w:pPr>
            <w:r>
              <w:rPr>
                <w:rFonts w:ascii="Arial" w:cs="Arial" w:eastAsia="Arial" w:hAnsi="Arial"/>
                <w:sz w:val="18"/>
                <w:szCs w:val="18"/>
                <w:color w:val="auto"/>
              </w:rPr>
              <w:t>221.6</w:t>
            </w:r>
          </w:p>
        </w:tc>
        <w:tc>
          <w:tcPr>
            <w:tcW w:w="160" w:type="dxa"/>
            <w:vAlign w:val="bottom"/>
            <w:shd w:val="clear" w:color="auto" w:fill="CDEAFA"/>
          </w:tcPr>
          <w:p>
            <w:pPr>
              <w:spacing w:after="0"/>
              <w:rPr>
                <w:sz w:val="18"/>
                <w:szCs w:val="18"/>
                <w:color w:val="auto"/>
              </w:rPr>
            </w:pPr>
          </w:p>
        </w:tc>
        <w:tc>
          <w:tcPr>
            <w:tcW w:w="280" w:type="dxa"/>
            <w:vAlign w:val="bottom"/>
            <w:tcBorders>
              <w:bottom w:val="single" w:sz="8" w:color="auto"/>
            </w:tcBorders>
            <w:shd w:val="clear" w:color="auto" w:fill="CDEAFA"/>
          </w:tcPr>
          <w:p>
            <w:pPr>
              <w:spacing w:after="0"/>
              <w:rPr>
                <w:sz w:val="18"/>
                <w:szCs w:val="18"/>
                <w:color w:val="auto"/>
              </w:rPr>
            </w:pPr>
          </w:p>
        </w:tc>
        <w:tc>
          <w:tcPr>
            <w:tcW w:w="720" w:type="dxa"/>
            <w:vAlign w:val="bottom"/>
            <w:tcBorders>
              <w:bottom w:val="single" w:sz="8" w:color="auto"/>
            </w:tcBorders>
            <w:gridSpan w:val="2"/>
            <w:shd w:val="clear" w:color="auto" w:fill="CDEAFA"/>
          </w:tcPr>
          <w:p>
            <w:pPr>
              <w:jc w:val="right"/>
              <w:ind w:right="80"/>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DEAFA"/>
          </w:tcPr>
          <w:p>
            <w:pPr>
              <w:spacing w:after="0"/>
              <w:rPr>
                <w:sz w:val="18"/>
                <w:szCs w:val="18"/>
                <w:color w:val="auto"/>
              </w:rPr>
            </w:pPr>
          </w:p>
        </w:tc>
        <w:tc>
          <w:tcPr>
            <w:tcW w:w="820" w:type="dxa"/>
            <w:vAlign w:val="bottom"/>
            <w:gridSpan w:val="2"/>
            <w:shd w:val="clear" w:color="auto" w:fill="CDEAFA"/>
          </w:tcPr>
          <w:p>
            <w:pPr>
              <w:jc w:val="right"/>
              <w:ind w:right="40"/>
              <w:spacing w:after="0"/>
              <w:rPr>
                <w:sz w:val="20"/>
                <w:szCs w:val="20"/>
                <w:color w:val="auto"/>
              </w:rPr>
            </w:pPr>
            <w:r>
              <w:rPr>
                <w:rFonts w:ascii="Arial" w:cs="Arial" w:eastAsia="Arial" w:hAnsi="Arial"/>
                <w:sz w:val="18"/>
                <w:szCs w:val="18"/>
                <w:color w:val="auto"/>
              </w:rPr>
              <w:t>(423.2)</w:t>
            </w:r>
          </w:p>
        </w:tc>
        <w:tc>
          <w:tcPr>
            <w:tcW w:w="160" w:type="dxa"/>
            <w:vAlign w:val="bottom"/>
            <w:shd w:val="clear" w:color="auto" w:fill="CDEAFA"/>
          </w:tcPr>
          <w:p>
            <w:pPr>
              <w:spacing w:after="0"/>
              <w:rPr>
                <w:sz w:val="18"/>
                <w:szCs w:val="18"/>
                <w:color w:val="auto"/>
              </w:rPr>
            </w:pPr>
          </w:p>
        </w:tc>
        <w:tc>
          <w:tcPr>
            <w:tcW w:w="220" w:type="dxa"/>
            <w:vAlign w:val="bottom"/>
            <w:shd w:val="clear" w:color="auto" w:fill="CDEAFA"/>
          </w:tcPr>
          <w:p>
            <w:pPr>
              <w:spacing w:after="0"/>
              <w:rPr>
                <w:sz w:val="18"/>
                <w:szCs w:val="18"/>
                <w:color w:val="auto"/>
              </w:rPr>
            </w:pPr>
          </w:p>
        </w:tc>
        <w:tc>
          <w:tcPr>
            <w:tcW w:w="780" w:type="dxa"/>
            <w:vAlign w:val="bottom"/>
            <w:gridSpan w:val="2"/>
            <w:shd w:val="clear" w:color="auto" w:fill="CDEAFA"/>
          </w:tcPr>
          <w:p>
            <w:pPr>
              <w:jc w:val="right"/>
              <w:ind w:right="60"/>
              <w:spacing w:after="0"/>
              <w:rPr>
                <w:sz w:val="20"/>
                <w:szCs w:val="20"/>
                <w:color w:val="auto"/>
              </w:rPr>
            </w:pPr>
            <w:r>
              <w:rPr>
                <w:rFonts w:ascii="Arial" w:cs="Arial" w:eastAsia="Arial" w:hAnsi="Arial"/>
                <w:sz w:val="18"/>
                <w:szCs w:val="18"/>
                <w:color w:val="auto"/>
              </w:rPr>
              <w:t>109.0</w:t>
            </w:r>
          </w:p>
        </w:tc>
        <w:tc>
          <w:tcPr>
            <w:tcW w:w="160" w:type="dxa"/>
            <w:vAlign w:val="bottom"/>
            <w:shd w:val="clear" w:color="auto" w:fill="CDEAFA"/>
          </w:tcPr>
          <w:p>
            <w:pPr>
              <w:spacing w:after="0"/>
              <w:rPr>
                <w:sz w:val="18"/>
                <w:szCs w:val="18"/>
                <w:color w:val="auto"/>
              </w:rPr>
            </w:pPr>
          </w:p>
        </w:tc>
        <w:tc>
          <w:tcPr>
            <w:tcW w:w="280" w:type="dxa"/>
            <w:vAlign w:val="bottom"/>
            <w:shd w:val="clear" w:color="auto" w:fill="CDEAFA"/>
          </w:tcPr>
          <w:p>
            <w:pPr>
              <w:spacing w:after="0"/>
              <w:rPr>
                <w:sz w:val="18"/>
                <w:szCs w:val="18"/>
                <w:color w:val="auto"/>
              </w:rPr>
            </w:pPr>
          </w:p>
        </w:tc>
        <w:tc>
          <w:tcPr>
            <w:tcW w:w="720" w:type="dxa"/>
            <w:vAlign w:val="bottom"/>
            <w:gridSpan w:val="2"/>
            <w:shd w:val="clear" w:color="auto" w:fill="CDEAFA"/>
          </w:tcPr>
          <w:p>
            <w:pPr>
              <w:jc w:val="right"/>
              <w:ind w:right="2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500" w:type="dxa"/>
            <w:vAlign w:val="bottom"/>
            <w:shd w:val="clear" w:color="auto" w:fill="CDEAFA"/>
          </w:tcPr>
          <w:p>
            <w:pPr>
              <w:ind w:left="18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shd w:val="clear" w:color="auto" w:fill="CDEAFA"/>
          </w:tcPr>
          <w:p>
            <w:pPr>
              <w:spacing w:after="0"/>
              <w:rPr>
                <w:sz w:val="19"/>
                <w:szCs w:val="19"/>
                <w:color w:val="auto"/>
              </w:rPr>
            </w:pPr>
          </w:p>
        </w:tc>
        <w:tc>
          <w:tcPr>
            <w:tcW w:w="820" w:type="dxa"/>
            <w:vAlign w:val="bottom"/>
            <w:tcBorders>
              <w:bottom w:val="single" w:sz="8" w:color="auto"/>
            </w:tcBorders>
            <w:gridSpan w:val="2"/>
            <w:shd w:val="clear" w:color="auto" w:fill="CDEAFA"/>
          </w:tcPr>
          <w:p>
            <w:pPr>
              <w:jc w:val="right"/>
              <w:ind w:right="100"/>
              <w:spacing w:after="0"/>
              <w:rPr>
                <w:sz w:val="20"/>
                <w:szCs w:val="20"/>
                <w:color w:val="auto"/>
              </w:rPr>
            </w:pPr>
            <w:r>
              <w:rPr>
                <w:rFonts w:ascii="Arial" w:cs="Arial" w:eastAsia="Arial" w:hAnsi="Arial"/>
                <w:sz w:val="18"/>
                <w:szCs w:val="18"/>
                <w:color w:val="auto"/>
              </w:rPr>
              <w:t>276.7</w:t>
            </w:r>
          </w:p>
        </w:tc>
        <w:tc>
          <w:tcPr>
            <w:tcW w:w="160" w:type="dxa"/>
            <w:vAlign w:val="bottom"/>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spacing w:after="0"/>
              <w:rPr>
                <w:sz w:val="19"/>
                <w:szCs w:val="19"/>
                <w:color w:val="auto"/>
              </w:rPr>
            </w:pPr>
          </w:p>
        </w:tc>
        <w:tc>
          <w:tcPr>
            <w:tcW w:w="780" w:type="dxa"/>
            <w:vAlign w:val="bottom"/>
            <w:tcBorders>
              <w:bottom w:val="single" w:sz="8" w:color="auto"/>
            </w:tcBorders>
            <w:gridSpan w:val="2"/>
            <w:shd w:val="clear" w:color="auto" w:fill="CDEAFA"/>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spacing w:after="0"/>
              <w:rPr>
                <w:sz w:val="19"/>
                <w:szCs w:val="19"/>
                <w:color w:val="auto"/>
              </w:rPr>
            </w:pPr>
          </w:p>
        </w:tc>
        <w:tc>
          <w:tcPr>
            <w:tcW w:w="720" w:type="dxa"/>
            <w:vAlign w:val="bottom"/>
            <w:tcBorders>
              <w:bottom w:val="single" w:sz="8" w:color="auto"/>
            </w:tcBorders>
            <w:gridSpan w:val="2"/>
            <w:shd w:val="clear" w:color="auto" w:fill="CDEAFA"/>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500" w:type="dxa"/>
            <w:vAlign w:val="bottom"/>
            <w:tcBorders>
              <w:bottom w:val="single" w:sz="8" w:color="CDEAFA"/>
            </w:tcBorders>
          </w:tcPr>
          <w:p>
            <w:pPr>
              <w:ind w:left="40"/>
              <w:spacing w:after="0"/>
              <w:rPr>
                <w:sz w:val="20"/>
                <w:szCs w:val="20"/>
                <w:color w:val="auto"/>
              </w:rPr>
            </w:pPr>
            <w:r>
              <w:rPr>
                <w:rFonts w:ascii="Arial" w:cs="Arial" w:eastAsia="Arial" w:hAnsi="Arial"/>
                <w:sz w:val="18"/>
                <w:szCs w:val="18"/>
                <w:color w:val="auto"/>
              </w:rPr>
              <w:t>Total deferred tax (benefit)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(147.1)</w:t>
            </w:r>
          </w:p>
        </w:tc>
        <w:tc>
          <w:tcPr>
            <w:tcW w:w="160" w:type="dxa"/>
            <w:vAlign w:val="bottom"/>
            <w:tcBorders>
              <w:bottom w:val="single" w:sz="8" w:color="CDEAF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75.6</w:t>
            </w:r>
          </w:p>
        </w:tc>
        <w:tc>
          <w:tcPr>
            <w:tcW w:w="160" w:type="dxa"/>
            <w:vAlign w:val="bottom"/>
            <w:tcBorders>
              <w:bottom w:val="single" w:sz="8" w:color="CDEAFA"/>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500" w:type="dxa"/>
            <w:vAlign w:val="bottom"/>
            <w:tcBorders>
              <w:bottom w:val="single" w:sz="8" w:color="CDEAFA"/>
            </w:tcBorders>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DEAFA"/>
          </w:tcPr>
          <w:p>
            <w:pPr>
              <w:jc w:val="right"/>
              <w:ind w:right="100"/>
              <w:spacing w:after="0"/>
              <w:rPr>
                <w:sz w:val="20"/>
                <w:szCs w:val="20"/>
                <w:color w:val="auto"/>
              </w:rPr>
            </w:pPr>
            <w:r>
              <w:rPr>
                <w:rFonts w:ascii="Arial" w:cs="Arial" w:eastAsia="Arial" w:hAnsi="Arial"/>
                <w:sz w:val="18"/>
                <w:szCs w:val="18"/>
                <w:color w:val="auto"/>
              </w:rPr>
              <w:t>1,250.5</w:t>
            </w:r>
          </w:p>
        </w:tc>
        <w:tc>
          <w:tcPr>
            <w:tcW w:w="160" w:type="dxa"/>
            <w:vAlign w:val="bottom"/>
            <w:tcBorders>
              <w:bottom w:val="single" w:sz="8" w:color="CDEAFA"/>
            </w:tcBorders>
            <w:shd w:val="clear" w:color="auto" w:fill="CDEAFA"/>
          </w:tcPr>
          <w:p>
            <w:pPr>
              <w:spacing w:after="0"/>
              <w:rPr>
                <w:sz w:val="19"/>
                <w:szCs w:val="19"/>
                <w:color w:val="auto"/>
              </w:rPr>
            </w:pPr>
          </w:p>
        </w:tc>
        <w:tc>
          <w:tcPr>
            <w:tcW w:w="2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DEAFA"/>
          </w:tcPr>
          <w:p>
            <w:pPr>
              <w:jc w:val="right"/>
              <w:ind w:right="60"/>
              <w:spacing w:after="0"/>
              <w:rPr>
                <w:sz w:val="20"/>
                <w:szCs w:val="20"/>
                <w:color w:val="auto"/>
              </w:rPr>
            </w:pPr>
            <w:r>
              <w:rPr>
                <w:rFonts w:ascii="Arial" w:cs="Arial" w:eastAsia="Arial" w:hAnsi="Arial"/>
                <w:sz w:val="18"/>
                <w:szCs w:val="18"/>
                <w:color w:val="auto"/>
              </w:rPr>
              <w:t>297.2</w:t>
            </w:r>
          </w:p>
        </w:tc>
        <w:tc>
          <w:tcPr>
            <w:tcW w:w="160" w:type="dxa"/>
            <w:vAlign w:val="bottom"/>
            <w:tcBorders>
              <w:bottom w:val="single" w:sz="8" w:color="CDEAFA"/>
            </w:tcBorders>
            <w:shd w:val="clear" w:color="auto" w:fill="CDEAFA"/>
          </w:tcPr>
          <w:p>
            <w:pPr>
              <w:spacing w:after="0"/>
              <w:rPr>
                <w:sz w:val="19"/>
                <w:szCs w:val="19"/>
                <w:color w:val="auto"/>
              </w:rPr>
            </w:pPr>
          </w:p>
        </w:tc>
        <w:tc>
          <w:tcPr>
            <w:tcW w:w="280" w:type="dxa"/>
            <w:vAlign w:val="bottom"/>
            <w:tcBorders>
              <w:bottom w:val="single" w:sz="8" w:color="auto"/>
            </w:tcBorders>
            <w:shd w:val="clear" w:color="auto" w:fill="CDEAFA"/>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DEAFA"/>
          </w:tcPr>
          <w:p>
            <w:pPr>
              <w:jc w:val="right"/>
              <w:ind w:right="80"/>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income tax rate to the Company’s effective income tax rate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92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b w:val="1"/>
                <w:bCs w:val="1"/>
                <w:color w:val="auto"/>
                <w:w w:val="92"/>
              </w:rPr>
              <w:t>Year Ended December 31,</w:t>
            </w:r>
          </w:p>
        </w:tc>
        <w:tc>
          <w:tcPr>
            <w:tcW w:w="80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60" w:type="dxa"/>
            <w:vAlign w:val="bottom"/>
            <w:tcBorders>
              <w:bottom w:val="single" w:sz="8" w:color="CDEAFA"/>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DEAFA"/>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DEAF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60" w:type="dxa"/>
            <w:vAlign w:val="bottom"/>
            <w:shd w:val="clear" w:color="auto" w:fill="CDEAFA"/>
          </w:tcPr>
          <w:p>
            <w:pPr>
              <w:ind w:left="40"/>
              <w:spacing w:after="0"/>
              <w:rPr>
                <w:sz w:val="20"/>
                <w:szCs w:val="20"/>
                <w:color w:val="auto"/>
              </w:rPr>
            </w:pPr>
            <w:r>
              <w:rPr>
                <w:rFonts w:ascii="Arial" w:cs="Arial" w:eastAsia="Arial" w:hAnsi="Arial"/>
                <w:sz w:val="18"/>
                <w:szCs w:val="18"/>
                <w:color w:val="auto"/>
              </w:rPr>
              <w:t>U.S. federal statutory tax rate</w:t>
            </w:r>
          </w:p>
        </w:tc>
        <w:tc>
          <w:tcPr>
            <w:tcW w:w="11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DEAFA"/>
          </w:tcPr>
          <w:p>
            <w:pPr>
              <w:spacing w:after="0"/>
              <w:rPr>
                <w:sz w:val="18"/>
                <w:szCs w:val="18"/>
                <w:color w:val="auto"/>
              </w:rPr>
            </w:pPr>
          </w:p>
        </w:tc>
        <w:tc>
          <w:tcPr>
            <w:tcW w:w="11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8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21.0%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Taxation of non-U.S. operations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shd w:val="clear" w:color="auto" w:fill="CDEAFA"/>
          </w:tcPr>
          <w:p>
            <w:pPr>
              <w:ind w:left="4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DEAFA"/>
          </w:tcPr>
          <w:p>
            <w:pPr>
              <w:spacing w:after="0"/>
              <w:rPr>
                <w:sz w:val="18"/>
                <w:szCs w:val="18"/>
                <w:color w:val="auto"/>
              </w:rPr>
            </w:pPr>
          </w:p>
        </w:tc>
        <w:tc>
          <w:tcPr>
            <w:tcW w:w="11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8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Foreign-derived intangible income deduction</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6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shd w:val="clear" w:color="auto" w:fill="CDEAFA"/>
          </w:tcPr>
          <w:p>
            <w:pPr>
              <w:ind w:left="40"/>
              <w:spacing w:after="0"/>
              <w:rPr>
                <w:sz w:val="20"/>
                <w:szCs w:val="20"/>
                <w:color w:val="auto"/>
              </w:rPr>
            </w:pPr>
            <w:r>
              <w:rPr>
                <w:rFonts w:ascii="Arial" w:cs="Arial" w:eastAsia="Arial" w:hAnsi="Arial"/>
                <w:sz w:val="18"/>
                <w:szCs w:val="18"/>
                <w:color w:val="auto"/>
              </w:rPr>
              <w:t>Income tax credits</w:t>
            </w:r>
          </w:p>
        </w:tc>
        <w:tc>
          <w:tcPr>
            <w:tcW w:w="11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DEAFA"/>
          </w:tcPr>
          <w:p>
            <w:pPr>
              <w:spacing w:after="0"/>
              <w:rPr>
                <w:sz w:val="18"/>
                <w:szCs w:val="18"/>
                <w:color w:val="auto"/>
              </w:rPr>
            </w:pPr>
          </w:p>
        </w:tc>
        <w:tc>
          <w:tcPr>
            <w:tcW w:w="11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DEAFA"/>
          </w:tcPr>
          <w:p>
            <w:pPr>
              <w:spacing w:after="0"/>
              <w:rPr>
                <w:sz w:val="18"/>
                <w:szCs w:val="18"/>
                <w:color w:val="auto"/>
              </w:rPr>
            </w:pPr>
          </w:p>
        </w:tc>
        <w:tc>
          <w:tcPr>
            <w:tcW w:w="320" w:type="dxa"/>
            <w:vAlign w:val="bottom"/>
            <w:shd w:val="clear" w:color="auto" w:fill="CDEAFA"/>
          </w:tcPr>
          <w:p>
            <w:pPr>
              <w:spacing w:after="0"/>
              <w:rPr>
                <w:sz w:val="18"/>
                <w:szCs w:val="18"/>
                <w:color w:val="auto"/>
              </w:rPr>
            </w:pPr>
          </w:p>
        </w:tc>
        <w:tc>
          <w:tcPr>
            <w:tcW w:w="80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(4.6)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w w:val="99"/>
              </w:rPr>
              <w:t>Sale of non-inventory related assets between foreign subsidiaries</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60" w:type="dxa"/>
            <w:vAlign w:val="bottom"/>
            <w:shd w:val="clear" w:color="auto" w:fill="CDEAFA"/>
          </w:tcPr>
          <w:p>
            <w:pPr>
              <w:ind w:left="40"/>
              <w:spacing w:after="0"/>
              <w:rPr>
                <w:sz w:val="20"/>
                <w:szCs w:val="20"/>
                <w:color w:val="auto"/>
              </w:rPr>
            </w:pPr>
            <w:r>
              <w:rPr>
                <w:rFonts w:ascii="Arial" w:cs="Arial" w:eastAsia="Arial" w:hAnsi="Arial"/>
                <w:sz w:val="18"/>
                <w:szCs w:val="18"/>
                <w:color w:val="auto"/>
              </w:rPr>
              <w:t>Other permanent differences</w:t>
            </w:r>
          </w:p>
        </w:tc>
        <w:tc>
          <w:tcPr>
            <w:tcW w:w="1300" w:type="dxa"/>
            <w:vAlign w:val="bottom"/>
            <w:gridSpan w:val="2"/>
            <w:shd w:val="clear" w:color="auto" w:fill="CDEAFA"/>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DEAFA"/>
          </w:tcPr>
          <w:p>
            <w:pPr>
              <w:spacing w:after="0"/>
              <w:rPr>
                <w:sz w:val="19"/>
                <w:szCs w:val="19"/>
                <w:color w:val="auto"/>
              </w:rPr>
            </w:pPr>
          </w:p>
        </w:tc>
        <w:tc>
          <w:tcPr>
            <w:tcW w:w="320" w:type="dxa"/>
            <w:vAlign w:val="bottom"/>
            <w:shd w:val="clear" w:color="auto" w:fill="CDEAFA"/>
          </w:tcPr>
          <w:p>
            <w:pPr>
              <w:spacing w:after="0"/>
              <w:rPr>
                <w:sz w:val="19"/>
                <w:szCs w:val="19"/>
                <w:color w:val="auto"/>
              </w:rPr>
            </w:pPr>
          </w:p>
        </w:tc>
        <w:tc>
          <w:tcPr>
            <w:tcW w:w="800" w:type="dxa"/>
            <w:vAlign w:val="bottom"/>
            <w:shd w:val="clear" w:color="auto" w:fill="CDEAFA"/>
          </w:tcPr>
          <w:p>
            <w:pPr>
              <w:jc w:val="right"/>
              <w:ind w:right="70"/>
              <w:spacing w:after="0"/>
              <w:rPr>
                <w:sz w:val="20"/>
                <w:szCs w:val="20"/>
                <w:color w:val="auto"/>
              </w:rPr>
            </w:pPr>
            <w:r>
              <w:rPr>
                <w:rFonts w:ascii="Arial" w:cs="Arial" w:eastAsia="Arial" w:hAnsi="Arial"/>
                <w:sz w:val="18"/>
                <w:szCs w:val="18"/>
                <w:color w:val="auto"/>
              </w:rPr>
              <w:t>1.6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60" w:type="dxa"/>
            <w:vAlign w:val="bottom"/>
            <w:vMerge w:val="restart"/>
          </w:tcPr>
          <w:p>
            <w:pPr>
              <w:ind w:left="4320"/>
              <w:spacing w:after="0"/>
              <w:rPr>
                <w:sz w:val="20"/>
                <w:szCs w:val="20"/>
                <w:color w:val="auto"/>
              </w:rPr>
            </w:pPr>
            <w:r>
              <w:rPr>
                <w:rFonts w:ascii="Arial" w:cs="Arial" w:eastAsia="Arial" w:hAnsi="Arial"/>
                <w:sz w:val="18"/>
                <w:szCs w:val="18"/>
                <w:color w:val="auto"/>
              </w:rPr>
              <w:t>F-34</w:t>
            </w: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14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40" w:type="dxa"/>
            <w:vAlign w:val="bottom"/>
            <w:tcBorders>
              <w:bottom w:val="single" w:sz="8" w:color="C0C0C0"/>
            </w:tcBorders>
          </w:tcPr>
          <w:p>
            <w:pPr>
              <w:spacing w:after="0"/>
              <w:rPr>
                <w:sz w:val="21"/>
                <w:szCs w:val="21"/>
                <w:color w:val="auto"/>
              </w:rPr>
            </w:pPr>
          </w:p>
        </w:tc>
        <w:tc>
          <w:tcPr>
            <w:tcW w:w="5260" w:type="dxa"/>
            <w:vAlign w:val="bottom"/>
            <w:tcBorders>
              <w:bottom w:val="single" w:sz="8" w:color="C0C0C0"/>
            </w:tcBorders>
          </w:tcPr>
          <w:p>
            <w:pPr>
              <w:spacing w:after="0"/>
              <w:rPr>
                <w:sz w:val="21"/>
                <w:szCs w:val="21"/>
                <w:color w:val="auto"/>
              </w:rPr>
            </w:pPr>
          </w:p>
        </w:tc>
        <w:tc>
          <w:tcPr>
            <w:tcW w:w="112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112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11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142" w:name="page143"/>
    <w:bookmarkEnd w:id="142"/>
    <w:p>
      <w:pPr>
        <w:jc w:val="both"/>
        <w:ind w:right="20"/>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42"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5420" w:type="dxa"/>
            <w:vAlign w:val="bottom"/>
            <w:vMerge w:val="restart"/>
          </w:tcPr>
          <w:p>
            <w:pPr>
              <w:ind w:left="80"/>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9"/>
              </w:rPr>
              <w:t>As of December 31,</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DEAFA"/>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DEAFA"/>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420" w:type="dxa"/>
            <w:vAlign w:val="bottom"/>
            <w:shd w:val="clear" w:color="auto" w:fill="CDEAFA"/>
          </w:tcPr>
          <w:p>
            <w:pPr>
              <w:ind w:left="8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DEAFA"/>
          </w:tcPr>
          <w:p>
            <w:pPr>
              <w:spacing w:after="0"/>
              <w:rPr>
                <w:sz w:val="18"/>
                <w:szCs w:val="18"/>
                <w:color w:val="auto"/>
              </w:rPr>
            </w:pPr>
          </w:p>
        </w:tc>
        <w:tc>
          <w:tcPr>
            <w:tcW w:w="62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6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406.6</w:t>
            </w:r>
          </w:p>
        </w:tc>
        <w:tc>
          <w:tcPr>
            <w:tcW w:w="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16"/>
        </w:trPr>
        <w:tc>
          <w:tcPr>
            <w:tcW w:w="5420" w:type="dxa"/>
            <w:vAlign w:val="bottom"/>
            <w:shd w:val="clear" w:color="auto" w:fill="CDEAFA"/>
          </w:tcPr>
          <w:p>
            <w:pPr>
              <w:ind w:left="2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DEAFA"/>
          </w:tcPr>
          <w:p>
            <w:pPr>
              <w:spacing w:after="0"/>
              <w:rPr>
                <w:sz w:val="18"/>
                <w:szCs w:val="18"/>
                <w:color w:val="auto"/>
              </w:rPr>
            </w:pPr>
          </w:p>
        </w:tc>
        <w:tc>
          <w:tcPr>
            <w:tcW w:w="6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262.1</w:t>
            </w:r>
          </w:p>
        </w:tc>
        <w:tc>
          <w:tcPr>
            <w:tcW w:w="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5420" w:type="dxa"/>
            <w:vAlign w:val="bottom"/>
          </w:tcPr>
          <w:p>
            <w:pPr>
              <w:ind w:left="260"/>
              <w:spacing w:after="0"/>
              <w:rPr>
                <w:sz w:val="20"/>
                <w:szCs w:val="20"/>
                <w:color w:val="auto"/>
              </w:rPr>
            </w:pPr>
            <w:r>
              <w:rPr>
                <w:rFonts w:ascii="Arial" w:cs="Arial" w:eastAsia="Arial" w:hAnsi="Arial"/>
                <w:sz w:val="18"/>
                <w:szCs w:val="18"/>
                <w:color w:val="auto"/>
              </w:rPr>
              <w:t>Fixed assets and intangible assets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6"/>
        </w:trPr>
        <w:tc>
          <w:tcPr>
            <w:tcW w:w="5420" w:type="dxa"/>
            <w:vAlign w:val="bottom"/>
            <w:shd w:val="clear" w:color="auto" w:fill="CDEAFA"/>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DEAFA"/>
          </w:tcPr>
          <w:p>
            <w:pPr>
              <w:spacing w:after="0"/>
              <w:rPr>
                <w:sz w:val="18"/>
                <w:szCs w:val="18"/>
                <w:color w:val="auto"/>
              </w:rPr>
            </w:pPr>
          </w:p>
        </w:tc>
        <w:tc>
          <w:tcPr>
            <w:tcW w:w="6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57.3</w:t>
            </w:r>
          </w:p>
        </w:tc>
        <w:tc>
          <w:tcPr>
            <w:tcW w:w="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DEAFA"/>
            </w:tcBorders>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60" w:type="dxa"/>
            <w:vAlign w:val="bottom"/>
            <w:tcBorders>
              <w:bottom w:val="single" w:sz="8" w:color="CDEAFA"/>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5420" w:type="dxa"/>
            <w:vAlign w:val="bottom"/>
            <w:shd w:val="clear" w:color="auto" w:fill="CDEAFA"/>
          </w:tcPr>
          <w:p>
            <w:pPr>
              <w:ind w:left="80"/>
              <w:spacing w:after="0"/>
              <w:rPr>
                <w:sz w:val="20"/>
                <w:szCs w:val="20"/>
                <w:color w:val="auto"/>
              </w:rPr>
            </w:pPr>
            <w:r>
              <w:rPr>
                <w:rFonts w:ascii="Arial" w:cs="Arial" w:eastAsia="Arial" w:hAnsi="Arial"/>
                <w:sz w:val="18"/>
                <w:szCs w:val="18"/>
                <w:color w:val="auto"/>
              </w:rPr>
              <w:t>Total deferred tax assets</w:t>
            </w:r>
          </w:p>
        </w:tc>
        <w:tc>
          <w:tcPr>
            <w:tcW w:w="120" w:type="dxa"/>
            <w:vAlign w:val="bottom"/>
            <w:shd w:val="clear" w:color="auto" w:fill="CDEAFA"/>
          </w:tcPr>
          <w:p>
            <w:pPr>
              <w:spacing w:after="0"/>
              <w:rPr>
                <w:sz w:val="18"/>
                <w:szCs w:val="18"/>
                <w:color w:val="auto"/>
              </w:rPr>
            </w:pPr>
          </w:p>
        </w:tc>
        <w:tc>
          <w:tcPr>
            <w:tcW w:w="620" w:type="dxa"/>
            <w:vAlign w:val="bottom"/>
            <w:shd w:val="clear" w:color="auto" w:fill="CDEAFA"/>
          </w:tcPr>
          <w:p>
            <w:pPr>
              <w:jc w:val="right"/>
              <w:spacing w:after="0"/>
              <w:rPr>
                <w:sz w:val="20"/>
                <w:szCs w:val="20"/>
                <w:color w:val="auto"/>
              </w:rPr>
            </w:pPr>
            <w:r>
              <w:rPr>
                <w:rFonts w:ascii="Arial" w:cs="Arial" w:eastAsia="Arial" w:hAnsi="Arial"/>
                <w:sz w:val="18"/>
                <w:szCs w:val="18"/>
                <w:color w:val="auto"/>
                <w:w w:val="86"/>
              </w:rPr>
              <w:t>1,000.4</w:t>
            </w:r>
          </w:p>
        </w:tc>
        <w:tc>
          <w:tcPr>
            <w:tcW w:w="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DEAFA"/>
          </w:tcPr>
          <w:p>
            <w:pPr>
              <w:ind w:left="80"/>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DEAFA"/>
          </w:tcPr>
          <w:p>
            <w:pPr>
              <w:spacing w:after="0"/>
              <w:rPr>
                <w:sz w:val="18"/>
                <w:szCs w:val="18"/>
                <w:color w:val="auto"/>
              </w:rPr>
            </w:pPr>
          </w:p>
        </w:tc>
        <w:tc>
          <w:tcPr>
            <w:tcW w:w="620" w:type="dxa"/>
            <w:vAlign w:val="bottom"/>
            <w:shd w:val="clear" w:color="auto" w:fill="CDEAFA"/>
          </w:tcPr>
          <w:p>
            <w:pPr>
              <w:spacing w:after="0"/>
              <w:rPr>
                <w:sz w:val="18"/>
                <w:szCs w:val="18"/>
                <w:color w:val="auto"/>
              </w:rPr>
            </w:pPr>
          </w:p>
        </w:tc>
        <w:tc>
          <w:tcPr>
            <w:tcW w:w="6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820" w:type="dxa"/>
            <w:vAlign w:val="bottom"/>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DEAFA"/>
            </w:tcBorders>
          </w:tcPr>
          <w:p>
            <w:pPr>
              <w:ind w:left="260"/>
              <w:spacing w:after="0"/>
              <w:rPr>
                <w:sz w:val="20"/>
                <w:szCs w:val="20"/>
                <w:color w:val="auto"/>
              </w:rPr>
            </w:pPr>
            <w:r>
              <w:rPr>
                <w:rFonts w:ascii="Arial" w:cs="Arial" w:eastAsia="Arial" w:hAnsi="Arial"/>
                <w:sz w:val="18"/>
                <w:szCs w:val="18"/>
                <w:color w:val="auto"/>
              </w:rPr>
              <w:t>Unrealized gains on investments</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60" w:type="dxa"/>
            <w:vAlign w:val="bottom"/>
            <w:tcBorders>
              <w:bottom w:val="single" w:sz="8" w:color="CDEAFA"/>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DEAFA"/>
            </w:tcBorders>
            <w:shd w:val="clear" w:color="auto" w:fill="CDEAFA"/>
          </w:tcPr>
          <w:p>
            <w:pPr>
              <w:ind w:left="80"/>
              <w:spacing w:after="0"/>
              <w:rPr>
                <w:sz w:val="20"/>
                <w:szCs w:val="20"/>
                <w:color w:val="auto"/>
              </w:rPr>
            </w:pPr>
            <w:r>
              <w:rPr>
                <w:rFonts w:ascii="Arial" w:cs="Arial" w:eastAsia="Arial" w:hAnsi="Arial"/>
                <w:sz w:val="18"/>
                <w:szCs w:val="18"/>
                <w:color w:val="auto"/>
              </w:rPr>
              <w:t>Net deferred tax assets</w:t>
            </w:r>
          </w:p>
        </w:tc>
        <w:tc>
          <w:tcPr>
            <w:tcW w:w="1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876.9</w:t>
            </w:r>
          </w:p>
        </w:tc>
        <w:tc>
          <w:tcPr>
            <w:tcW w:w="60" w:type="dxa"/>
            <w:vAlign w:val="bottom"/>
            <w:tcBorders>
              <w:bottom w:val="single" w:sz="8" w:color="CDEAFA"/>
            </w:tcBorders>
            <w:shd w:val="clear" w:color="auto" w:fill="CDEAFA"/>
          </w:tcPr>
          <w:p>
            <w:pPr>
              <w:spacing w:after="0"/>
              <w:rPr>
                <w:sz w:val="18"/>
                <w:szCs w:val="18"/>
                <w:color w:val="auto"/>
              </w:rPr>
            </w:pPr>
          </w:p>
        </w:tc>
        <w:tc>
          <w:tcPr>
            <w:tcW w:w="240" w:type="dxa"/>
            <w:vAlign w:val="bottom"/>
            <w:tcBorders>
              <w:bottom w:val="single" w:sz="8" w:color="auto"/>
            </w:tcBorders>
            <w:shd w:val="clear" w:color="auto" w:fill="CDEAFA"/>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federal income tax returns for 2017 through 2020 remain open to examination by the IRS. The Company’s 2017 and 2018 federal income tax returns are currently under audit by the IRS. In general, the Company’s state income tax returns from 2016 to 2020 remain open to examination. The Company’s income tax returns outside of the United States remain open to examination from 2018 to 2020. The United States and many states generally have statutes of limitation ranging from 3 to 5 years; however, those statutes could be extended due to the Company’s tax credit carryforward position. In general, tax authorities have the ability to review income tax returns in which the statute of limitation has previously expired to adjust the tax credits generated in those years.</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table reconciles the beginning and ending amounts of unrecognized tax benefits. The amount of unrecognized tax benefits that, if settled, would impact the effective tax rate is $410.9 million, $267.0 million, and $210.8 million as of December 31, 2021, 2020, and 2019, respectively.</w:t>
      </w:r>
    </w:p>
    <w:p>
      <w:pPr>
        <w:spacing w:after="0" w:line="120"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4860" w:type="dxa"/>
            <w:vAlign w:val="bottom"/>
            <w:tcBorders>
              <w:bottom w:val="single" w:sz="8" w:color="CDEAFA"/>
            </w:tcBorders>
          </w:tcPr>
          <w:p>
            <w:pPr>
              <w:ind w:left="6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Borders>
              <w:bottom w:val="single" w:sz="8" w:color="CDEAFA"/>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60" w:type="dxa"/>
            <w:vAlign w:val="bottom"/>
            <w:tcBorders>
              <w:bottom w:val="single" w:sz="8" w:color="CDEAFA"/>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4860" w:type="dxa"/>
            <w:vAlign w:val="bottom"/>
            <w:shd w:val="clear" w:color="auto" w:fill="CDEAFA"/>
          </w:tcPr>
          <w:p>
            <w:pPr>
              <w:ind w:left="60"/>
              <w:spacing w:after="0"/>
              <w:rPr>
                <w:sz w:val="20"/>
                <w:szCs w:val="20"/>
                <w:color w:val="auto"/>
              </w:rPr>
            </w:pPr>
            <w:r>
              <w:rPr>
                <w:rFonts w:ascii="Arial" w:cs="Arial" w:eastAsia="Arial" w:hAnsi="Arial"/>
                <w:sz w:val="18"/>
                <w:szCs w:val="18"/>
                <w:color w:val="auto"/>
              </w:rPr>
              <w:t>Balance as of January 1</w:t>
            </w:r>
          </w:p>
        </w:tc>
        <w:tc>
          <w:tcPr>
            <w:tcW w:w="180" w:type="dxa"/>
            <w:vAlign w:val="bottom"/>
            <w:shd w:val="clear" w:color="auto" w:fill="CDEAFA"/>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267.0</w:t>
            </w:r>
          </w:p>
        </w:tc>
        <w:tc>
          <w:tcPr>
            <w:tcW w:w="60" w:type="dxa"/>
            <w:vAlign w:val="bottom"/>
            <w:shd w:val="clear" w:color="auto" w:fill="CDEAFA"/>
          </w:tcPr>
          <w:p>
            <w:pPr>
              <w:spacing w:after="0"/>
              <w:rPr>
                <w:sz w:val="18"/>
                <w:szCs w:val="18"/>
                <w:color w:val="auto"/>
              </w:rPr>
            </w:pPr>
          </w:p>
        </w:tc>
        <w:tc>
          <w:tcPr>
            <w:tcW w:w="2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210.8</w:t>
            </w:r>
          </w:p>
        </w:tc>
        <w:tc>
          <w:tcPr>
            <w:tcW w:w="60" w:type="dxa"/>
            <w:vAlign w:val="bottom"/>
            <w:shd w:val="clear" w:color="auto" w:fill="CDEAFA"/>
          </w:tcPr>
          <w:p>
            <w:pPr>
              <w:spacing w:after="0"/>
              <w:rPr>
                <w:sz w:val="18"/>
                <w:szCs w:val="18"/>
                <w:color w:val="auto"/>
              </w:rPr>
            </w:pPr>
          </w:p>
        </w:tc>
        <w:tc>
          <w:tcPr>
            <w:tcW w:w="2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189.5</w:t>
            </w:r>
          </w:p>
        </w:tc>
      </w:tr>
      <w:tr>
        <w:trPr>
          <w:trHeight w:val="216"/>
        </w:trPr>
        <w:tc>
          <w:tcPr>
            <w:tcW w:w="4860" w:type="dxa"/>
            <w:vAlign w:val="bottom"/>
          </w:tcPr>
          <w:p>
            <w:pPr>
              <w:ind w:left="60"/>
              <w:spacing w:after="0"/>
              <w:rPr>
                <w:sz w:val="20"/>
                <w:szCs w:val="20"/>
                <w:color w:val="auto"/>
              </w:rPr>
            </w:pPr>
            <w:r>
              <w:rPr>
                <w:rFonts w:ascii="Arial" w:cs="Arial" w:eastAsia="Arial" w:hAnsi="Arial"/>
                <w:sz w:val="18"/>
                <w:szCs w:val="18"/>
                <w:color w:val="auto"/>
              </w:rPr>
              <w:t>Gross increases related to current year tax positions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4860" w:type="dxa"/>
            <w:vAlign w:val="bottom"/>
            <w:shd w:val="clear" w:color="auto" w:fill="CDEAFA"/>
          </w:tcPr>
          <w:p>
            <w:pPr>
              <w:ind w:left="80"/>
              <w:spacing w:after="0"/>
              <w:rPr>
                <w:sz w:val="20"/>
                <w:szCs w:val="20"/>
                <w:color w:val="auto"/>
              </w:rPr>
            </w:pPr>
            <w:r>
              <w:rPr>
                <w:rFonts w:ascii="Arial" w:cs="Arial" w:eastAsia="Arial" w:hAnsi="Arial"/>
                <w:sz w:val="18"/>
                <w:szCs w:val="18"/>
                <w:color w:val="auto"/>
                <w:w w:val="95"/>
              </w:rPr>
              <w:t>Gross increases (decreases) related to prior year tax positions</w:t>
            </w:r>
          </w:p>
        </w:tc>
        <w:tc>
          <w:tcPr>
            <w:tcW w:w="180" w:type="dxa"/>
            <w:vAlign w:val="bottom"/>
            <w:shd w:val="clear" w:color="auto" w:fill="CDEAFA"/>
          </w:tcPr>
          <w:p>
            <w:pPr>
              <w:spacing w:after="0"/>
              <w:rPr>
                <w:sz w:val="18"/>
                <w:szCs w:val="18"/>
                <w:color w:val="auto"/>
              </w:rPr>
            </w:pPr>
          </w:p>
        </w:tc>
        <w:tc>
          <w:tcPr>
            <w:tcW w:w="7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DEAFA"/>
          </w:tcPr>
          <w:p>
            <w:pPr>
              <w:spacing w:after="0"/>
              <w:rPr>
                <w:sz w:val="18"/>
                <w:szCs w:val="18"/>
                <w:color w:val="auto"/>
              </w:rPr>
            </w:pPr>
          </w:p>
        </w:tc>
        <w:tc>
          <w:tcPr>
            <w:tcW w:w="200" w:type="dxa"/>
            <w:vAlign w:val="bottom"/>
            <w:shd w:val="clear" w:color="auto" w:fill="CDEAFA"/>
          </w:tcPr>
          <w:p>
            <w:pPr>
              <w:spacing w:after="0"/>
              <w:rPr>
                <w:sz w:val="18"/>
                <w:szCs w:val="18"/>
                <w:color w:val="auto"/>
              </w:rPr>
            </w:pP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DEAFA"/>
          </w:tcPr>
          <w:p>
            <w:pPr>
              <w:spacing w:after="0"/>
              <w:rPr>
                <w:sz w:val="18"/>
                <w:szCs w:val="18"/>
                <w:color w:val="auto"/>
              </w:rPr>
            </w:pPr>
          </w:p>
        </w:tc>
        <w:tc>
          <w:tcPr>
            <w:tcW w:w="200" w:type="dxa"/>
            <w:vAlign w:val="bottom"/>
            <w:shd w:val="clear" w:color="auto" w:fill="CDEAFA"/>
          </w:tcPr>
          <w:p>
            <w:pPr>
              <w:spacing w:after="0"/>
              <w:rPr>
                <w:sz w:val="18"/>
                <w:szCs w:val="18"/>
                <w:color w:val="auto"/>
              </w:rPr>
            </w:pPr>
          </w:p>
        </w:tc>
        <w:tc>
          <w:tcPr>
            <w:tcW w:w="68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(7.2)</w:t>
            </w:r>
          </w:p>
        </w:tc>
      </w:tr>
      <w:tr>
        <w:trPr>
          <w:trHeight w:val="202"/>
        </w:trPr>
        <w:tc>
          <w:tcPr>
            <w:tcW w:w="4860" w:type="dxa"/>
            <w:vAlign w:val="bottom"/>
          </w:tcPr>
          <w:p>
            <w:pPr>
              <w:ind w:left="80"/>
              <w:spacing w:after="0" w:line="201" w:lineRule="exact"/>
              <w:rPr>
                <w:sz w:val="20"/>
                <w:szCs w:val="20"/>
                <w:color w:val="auto"/>
              </w:rPr>
            </w:pPr>
            <w:r>
              <w:rPr>
                <w:rFonts w:ascii="Arial" w:cs="Arial" w:eastAsia="Arial" w:hAnsi="Arial"/>
                <w:sz w:val="18"/>
                <w:szCs w:val="18"/>
                <w:color w:val="auto"/>
                <w:w w:val="99"/>
              </w:rPr>
              <w:t>Gross decreases due to settlements and lapse of statutes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4860" w:type="dxa"/>
            <w:vAlign w:val="bottom"/>
            <w:tcBorders>
              <w:bottom w:val="single" w:sz="8" w:color="CDEAFA"/>
            </w:tcBorders>
          </w:tcPr>
          <w:p>
            <w:pPr>
              <w:ind w:left="260"/>
              <w:spacing w:after="0"/>
              <w:rPr>
                <w:sz w:val="20"/>
                <w:szCs w:val="20"/>
                <w:color w:val="auto"/>
              </w:rPr>
            </w:pPr>
            <w:r>
              <w:rPr>
                <w:rFonts w:ascii="Arial" w:cs="Arial" w:eastAsia="Arial" w:hAnsi="Arial"/>
                <w:sz w:val="18"/>
                <w:szCs w:val="18"/>
                <w:color w:val="auto"/>
              </w:rPr>
              <w:t>limitations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60" w:type="dxa"/>
            <w:vAlign w:val="bottom"/>
            <w:tcBorders>
              <w:bottom w:val="single" w:sz="8" w:color="CDEAFA"/>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60" w:type="dxa"/>
            <w:vAlign w:val="bottom"/>
            <w:tcBorders>
              <w:bottom w:val="single" w:sz="8" w:color="CDEAFA"/>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09"/>
        </w:trPr>
        <w:tc>
          <w:tcPr>
            <w:tcW w:w="4860" w:type="dxa"/>
            <w:vAlign w:val="bottom"/>
            <w:tcBorders>
              <w:bottom w:val="single" w:sz="8" w:color="CDEAFA"/>
            </w:tcBorders>
            <w:shd w:val="clear" w:color="auto" w:fill="CDEAFA"/>
          </w:tcPr>
          <w:p>
            <w:pPr>
              <w:ind w:left="60"/>
              <w:spacing w:after="0"/>
              <w:rPr>
                <w:sz w:val="20"/>
                <w:szCs w:val="20"/>
                <w:color w:val="auto"/>
              </w:rPr>
            </w:pPr>
            <w:r>
              <w:rPr>
                <w:rFonts w:ascii="Arial" w:cs="Arial" w:eastAsia="Arial" w:hAnsi="Arial"/>
                <w:sz w:val="18"/>
                <w:szCs w:val="18"/>
                <w:color w:val="auto"/>
              </w:rPr>
              <w:t>Balance as of December 31</w:t>
            </w:r>
          </w:p>
        </w:tc>
        <w:tc>
          <w:tcPr>
            <w:tcW w:w="1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410.9</w:t>
            </w:r>
          </w:p>
        </w:tc>
        <w:tc>
          <w:tcPr>
            <w:tcW w:w="60" w:type="dxa"/>
            <w:vAlign w:val="bottom"/>
            <w:tcBorders>
              <w:bottom w:val="single" w:sz="8" w:color="CDEAFA"/>
            </w:tcBorders>
            <w:shd w:val="clear" w:color="auto" w:fill="CDEAFA"/>
          </w:tcPr>
          <w:p>
            <w:pPr>
              <w:spacing w:after="0"/>
              <w:rPr>
                <w:sz w:val="18"/>
                <w:szCs w:val="18"/>
                <w:color w:val="auto"/>
              </w:rPr>
            </w:pPr>
          </w:p>
        </w:tc>
        <w:tc>
          <w:tcPr>
            <w:tcW w:w="2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267.0</w:t>
            </w:r>
          </w:p>
        </w:tc>
        <w:tc>
          <w:tcPr>
            <w:tcW w:w="60" w:type="dxa"/>
            <w:vAlign w:val="bottom"/>
            <w:tcBorders>
              <w:bottom w:val="single" w:sz="8" w:color="CDEAFA"/>
            </w:tcBorders>
            <w:shd w:val="clear" w:color="auto" w:fill="CDEAFA"/>
          </w:tcPr>
          <w:p>
            <w:pPr>
              <w:spacing w:after="0"/>
              <w:rPr>
                <w:sz w:val="18"/>
                <w:szCs w:val="18"/>
                <w:color w:val="auto"/>
              </w:rPr>
            </w:pPr>
          </w:p>
        </w:tc>
        <w:tc>
          <w:tcPr>
            <w:tcW w:w="2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210.8</w:t>
            </w: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2021, the decreases in unrecognized tax benefits related to the Company’s federal income tax returns for 2015 and 2016, as these audits are closed. In 2021, 2020, and 2019, the increases in unrecognized tax benefits primarily related to the Company’s calculation of certain tax credits and other items related to the Company’s international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2021, 2020, and 2019, interest expense related to unrecognized tax benefits recorded by the Company was not material. The Company does not believe that it is reasonably possible that the resolution of tax exposures within the next twelve months would have a material impact on its unrecognized tax benefits as of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Legal Matters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December 31, 2021 and 2020, the Company’s accruals for loss contingencies were not material. If the Company were unable to prevail in any such proceedings, its consolidated financial position, results of operations, and future cash flows may be materially impacted.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in greater detail below, the Company is currently a party to patent infringement actions initiated by Amgen Inc. (and/or its affiliated entities) against the Company and/or Sanofi (and/or the Company’s and Sanofi’s respective affiliated entities) in a number of jurisdictions relating to Praluent. See Note 3 for a description of the Company’s and Sanofi’s arrangement regarding the costs resulting from or associated with such 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Amgen has asserted claims of U.S. Patent Nos. 8,829,165 (the “165 Patent”) and 8,859,741 (the “741 Patent”), and sought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As described in greater detail under “Second Jury Trial and Appeal” below, on February 11, 2021, the Federal Circuit (as defined below) affirmed the lower court’s decision that certain of Amgen’s asserted patent claims are invalid based on lack of enablement.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First Jury Trial and Appeal. </w:t>
      </w:r>
      <w:r>
        <w:rPr>
          <w:rFonts w:ascii="Arial" w:cs="Arial" w:eastAsia="Arial" w:hAnsi="Arial"/>
          <w:sz w:val="18"/>
          <w:szCs w:val="18"/>
          <w:color w:val="auto"/>
        </w:rPr>
        <w:t>The first jury trial in this litigation (the “First Trial”) was held in the United States District Court for the District of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Second Jury Trial and Appeal. </w:t>
      </w:r>
      <w:r>
        <w:rPr>
          <w:rFonts w:ascii="Arial" w:cs="Arial" w:eastAsia="Arial" w:hAnsi="Arial"/>
          <w:sz w:val="16"/>
          <w:szCs w:val="16"/>
          <w:color w:val="auto"/>
        </w:rPr>
        <w:t>On January 3, 2019, the District Court held oral argument in the remanded proceedings on the Company and the Sanofi</w:t>
      </w:r>
      <w:r>
        <w:rPr>
          <w:rFonts w:ascii="Arial" w:cs="Arial" w:eastAsia="Arial" w:hAnsi="Arial"/>
          <w:sz w:val="16"/>
          <w:szCs w:val="16"/>
          <w:i w:val="1"/>
          <w:iCs w:val="1"/>
          <w:color w:val="auto"/>
        </w:rPr>
        <w:t xml:space="preserve"> </w:t>
      </w:r>
      <w:r>
        <w:rPr>
          <w:rFonts w:ascii="Arial" w:cs="Arial" w:eastAsia="Arial" w:hAnsi="Arial"/>
          <w:sz w:val="16"/>
          <w:szCs w:val="16"/>
          <w:color w:val="auto"/>
        </w:rPr>
        <w:t>defendants’ motion for judgment on the pleadings regarding Amgen’s willful infringement claim. On January 18, 2019, the District Court entered an order</w:t>
      </w:r>
    </w:p>
    <w:p>
      <w:pPr>
        <w:jc w:val="both"/>
        <w:ind w:firstLine="8"/>
        <w:spacing w:after="0" w:line="285" w:lineRule="auto"/>
        <w:tabs>
          <w:tab w:leader="none" w:pos="2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August 28, 2019, the District Court ruled as a matter of law that Amgen’s asserted patent claims are invalid based on lack of enablement. The District Court also conditionally denied the Company and the Sanofi defendants’ motion for a new trial. On October 23, 2019, Amgen filed a notice of appeal of the District Court’s decision with the Federal Circuit. An oral hearing before the Federal Circuit was held on December 9, 2020. On February 11, 2021, the Federal Circuit affirmed the District Court’s decision that certain of Amgen’s asserted patent claims are invalid based on lack of enablement. On April 14, 2021, Amgen filed a petition for a rehearing en banc, which was denied on June 21, 2021. On November 18, 2021, Amgen filed a petition for writ of certiorari with the United States Supreme Court.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Injunctive Relief Proceedings. </w:t>
      </w:r>
      <w:r>
        <w:rPr>
          <w:rFonts w:ascii="Arial" w:cs="Arial" w:eastAsia="Arial" w:hAnsi="Arial"/>
          <w:sz w:val="18"/>
          <w:szCs w:val="18"/>
          <w:color w:val="auto"/>
        </w:rPr>
        <w:t>On March 18, 2019, Amgen filed a renewed motion for a permanent injunction to prohibit the Company and the Sanofi</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from Commercializing Praluent in the United States (a “Permanent Injunction”), and an oral hearing on this motion was held in June 2019. Previously, the Federal Circuit stayed and then vacated a Permanent Injunction granted by the District Court in connection with the First Trial. On August 28, 2019, the District Court dismissed as moot Amgen’s renewed motion for a Permanent Injunction.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Amgen has asserted European Patent No. 2,215,124 (the “124 Patent”), which pertains to PCSK9 monoclonal antibodies, in the countries in Europe discussed below. In October 2020, the ’124 Patent claims directed to compositions of matter and medical use relevant to Praluent were ruled invalid based on a lack of inventive step by the Technical Board of Appeal (the “TBA”) of the European Patent Office (the “EPO”). This decision impacted each of the infringement proceedings based on the ’124 Patent discussed below.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4" w:name="page145"/>
    <w:bookmarkEnd w:id="144"/>
    <w:p>
      <w:pPr>
        <w:jc w:val="both"/>
        <w:spacing w:after="0" w:line="255" w:lineRule="auto"/>
        <w:rPr>
          <w:sz w:val="20"/>
          <w:szCs w:val="20"/>
          <w:color w:val="auto"/>
        </w:rPr>
      </w:pPr>
      <w:r>
        <w:rPr>
          <w:rFonts w:ascii="Arial" w:cs="Arial" w:eastAsia="Arial" w:hAnsi="Arial"/>
          <w:sz w:val="18"/>
          <w:szCs w:val="18"/>
          <w:color w:val="auto"/>
        </w:rPr>
        <w:t>Amgen filed lawsuits in Germany, the United Kingdom, and France in July 2016, July 2016, and September 2016, respectively, against the Company and certain of Sanofi’s affiliated entities for infringement of the relevant designation of the ’124 Patent in each such jurisdiction; and these lawsuits were dismissed in November 2020, September 2021, and June 2021, respectively. The dismissal in Germany followed an earlier finding of infringement and granting of an injunction, both of which were subsequently overturned. In December 2019, Amgen also filed lawsuits in the Netherlands, Italy, and Spain for infringement of the relevant designation of the ’124 Patent in each such jurisdiction; the Company was not named as a defendant in any of these actions, and each of these lawsuits was dismissed in February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reported, on March 31, 2020, Amgen filed a lawsuit in the Tokyo District Court against Sanofi K.K. seeking damages incurred by Amgen as a result of the earlier finding of infringement of Amgen’s Japanese Patent Nos. 5,906,333 and 5,705,288 by the Tokyo District Court Civil Division. The Company has not been named as a defendant in this damages 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March 23, 2017, the Company, Sanofi-Aventis U.S. LLC, and Genzyme Corporation initiated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in the United States Patent and Trademark Office (“USPTO”) seeking a declaration of invalidity of U.S. Patent No. 8,679,487 (the “487 Patent”) owned by Immunex Corporation relating to antibodies that bind the human interleukin-4 receptor and subsequently filed two additional IPR petitions in the USPTO seeking declarations of invalidity of the ’487 Patent based on different grounds (the “Additional IPR Petitions”). The Patent Trial and Appeal Board (“PTAB”) of the USPTO issued a final written decision on the Additional IPR Petitions on February 14, 2019, invalidating all 17 claims of the ’487 Patent as obvious. This decision was subsequently affirmed by the Federal Circuit and Immunex’s petition for writ of certiorari was denied by the United States Supreme Court. The ’487 Patent expired in May 2020 following Immunex’s filing of a terminal disclaimer with the USPTO.</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The court subsequently granted a joint stipulation by the parties to stay the litigation pending resolution of the appeals of the PTAB’s final written decisions on the Additional IPR Petitions discussed above; and, on August 3, 2021, granted a motion to dismiss the lawsuit, dismissing all of Immunex’s claims with prejudice.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and an oral hearing before the TBA has been scheduled for March 10–11, 2022. On September 20, 2017 and September 21, 2017, respectively, the Company and Sanofi initiated opposition proceedings in the EPO against Immunex’s European Patent No. 2,990,420 (the “420 Patent”), a divisional patent of the ’665 Patent (i.e.,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and an oral hearing before the TBA has been scheduled for March 10–11, 2022. The original patent term of the Immunex patents expired in May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7, 2021, Chengdu Kanghong Pharmaceutical Group Co., Ltd. (“Chengdu Kanghong”) filed an IPR petition in the USPTO against the Company’ s U.S. Patent No. 10,464,992 (the “992 Patent”) and a post-grant review (“PGR”) petition against the Company’s U.S. Patent No. 10,828,345 (the “345 Patent”) seeking declarations of invalidity of the ’992 Patent and ’345 Patent. On June 23, 2021, Chengdu Kanghong filed motions to dismiss each of these petitions and terminate the respective proceedings, which were granted by the USPTO on June 25, 2021.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5" w:name="page146"/>
    <w:bookmarkEnd w:id="145"/>
    <w:p>
      <w:pPr>
        <w:jc w:val="both"/>
        <w:spacing w:after="0" w:line="277" w:lineRule="auto"/>
        <w:rPr>
          <w:sz w:val="20"/>
          <w:szCs w:val="20"/>
          <w:color w:val="auto"/>
        </w:rPr>
      </w:pPr>
      <w:r>
        <w:rPr>
          <w:rFonts w:ascii="Arial" w:cs="Arial" w:eastAsia="Arial" w:hAnsi="Arial"/>
          <w:sz w:val="18"/>
          <w:szCs w:val="18"/>
          <w:color w:val="auto"/>
        </w:rPr>
        <w:t xml:space="preserve">On February 11, 2020, anonymous parties filed two requests for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reexamination of the Company’s U.S. Patent No. 10,406,226 and the ’992 Patent, and the USPTO has granted both requests to initiate reexamination proceedings.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2021, Mylan Pharmaceuticals Inc. filed IPR petitions in the USPTO against the Company’s U.S. Patent Nos. 9,254,338 (the “338 Patent”) and 9,669,069 (the “069 Patent”) seeking declarations of invalidity of the ’338 Patent and the ’069 Patent. On November 10, 2021, the USPTO issued a decision instituting both IPR proceedings. On December 9, 2021, Apotex Inc. and Celltrion, Inc. each filed two separate IPR petitions against the Company’s ’338 and ’069 Patents requesting that their IPRs be instituted and joined with the IPR proceedings initiated by Mylan concerning the ’338 and ’069 Patents.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7, 2021, Celltrion, Inc. filed a PGR petition in the USPTO against the Company’s U.S. Patent No. 10,857,231 (the “231 Patent”) seeking a declaration of invalidity of the ’231 Patent.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October 26 and October 27, 2021, anonymous parties initiated opposition proceedings in the EPO against the Company’s European Patent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2,944,306 (the “306 Patent”) seeking revocation of the ’306 Patent in its entirety.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 Pre-filled Syringe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19, 2020, Novartis Pharma AG, Novartis Pharmaceuticals Corporation, and Novartis Technology LLC (collectively, “Novartis”) filed a complaint with the U.S. International Trade Commission (the “ITC”) pursuant to Section 337 of the Tariff Act of 1930 requesting that the ITC institute an investigation relating to the importation into the United States and/or sale within the United States after importation of EYLEA pre-filled syringes (“PFS”) and/or components thereof which allegedly infringe Novartis’s U.S. Patent No. 9,220,631 (the “631 Patent”). Novartis also requested a permanent limited exclusion order forbidding entry into the United States of EYLEA PFS or components thereof; a permanent cease-and-desist order from the importation, sale, offer for sale, advertising, packaging, or solicitation of any sale by the Company of EYLEA PFS or components thereof; and a bond should the Company continue to import EYLEA PFS (if found to infringe) during, if applicable, any 60-day Presidential review period (i.e., the period when the President of the United States (or his designee) can disapprove any ITC decision to issue an exclusion order or cease-and-desist order). The ITC instituted the investigation on July 22, 2020 and a trial was scheduled for April 19–23, 2021. On March 26, 2021, the staff attorney appointed by the ITC’s Office of Unfair Import Investigations (“OUII”) —an independent government party to the case representing the public interest—determined that the ’631 Patent is invalid on several grounds. On April 8, 2021, Novartis moved to terminate the ITC investigation in its entirety based on its withdrawal of the complaint; and, on May 3, 2021, the ITC terminated the investigation.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19, 2020, Novartis also filed a patent infringement lawsuit (as amended on August 2, 2021) in the U.S. District Court for the Northern District of New York asserting claims of the ’631 Patent and seeking preliminary and permanent injunctions to prevent the Company from continuing to infringe the ’631 Patent. Novartis also seeks a judgment of patent infringement of the ’631 Patent, monetary damages (together with interest), an order of willful infringement of the ’631 Patent (which would allow the court in its discretion to award damages up to three times the amount assessed), costs and expenses of the lawsuits, and attorneys’ fees. On July 30, 2020, the court granted the Company’s motion to stay these proceedings until a determination in the ITC proceedings discussed above, including any appeals therefrom, becomes final. On June 11, 2021, the court, at the request of Novartis, lifted the stay. On November 5, 2021, the Company filed a motion to stay these proceedings in light of the pending IPR proceeding discussed below. On January 31, 2022, the court denied the Company’s motion to stay these proceedings.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16, 2020, the Company initiated two IPR petitions in the USPTO seeking a declaration of invalidity of the ’631 Patent on two separate grounds. On January 15, 2021, the USPTO declined to institute an IPR proceeding on procedural grounds in light of the pending ITC investigation discussed above; the other IPR petition has been withdrawn. Following Novartis’s motion to terminate the ITC investigation discussed above, on April 16, 2021 the Company filed a new IPR petition seeking a declaration of invalidity of the ’631 Patent based on the same grounds that were the basis for the OUII staff attorney’s determination discussed above. On October 26, 2021, the USPTO issued a decision instituting the IPR proceeding.</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 dismiss the complaint on different grounds. On January 25, 2021, the Company filed an amended complaint seeking a judgment that Novartis’s conduct violates Section 2 of the Sherman Antitrust Act based on additional grounds, as well as a judgment of tortious interference with contract. On February 22, 2021, Novartis filed, and Vetter moved to join, a motion to dismiss the amended complaint. On September 21, 2021, the court granted Novartis and Vetter’s motion to transfer this lawsuit to the Northern District of New York. As a result, this lawsuit was transferred to the same judge that had been assigned to the patent infringement lawsuit discussed above. On November 5, 2021, the Company filed a motion to stay these proceedings in light of the pending IPR proceeding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6" w:name="page147"/>
    <w:bookmarkEnd w:id="146"/>
    <w:p>
      <w:pPr>
        <w:jc w:val="both"/>
        <w:ind w:right="20"/>
        <w:spacing w:after="0" w:line="277" w:lineRule="auto"/>
        <w:rPr>
          <w:sz w:val="20"/>
          <w:szCs w:val="20"/>
          <w:color w:val="auto"/>
        </w:rPr>
      </w:pPr>
      <w:r>
        <w:rPr>
          <w:rFonts w:ascii="Arial" w:cs="Arial" w:eastAsia="Arial" w:hAnsi="Arial"/>
          <w:sz w:val="18"/>
          <w:szCs w:val="18"/>
          <w:color w:val="auto"/>
        </w:rPr>
        <w:t>discussed above. On January 31, 2022, the court denied the Company’s motion to stay these proceedings and granted Novartis and Vetter’s motion to dismiss the amended complaint.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Related to “Most Favored Nation” Interim Final Rule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11, 2020, the Company filed a lawsuit in the United States District Court for the Southern District of New York against the U.S. Department of Health and Human Services, the Secretary of HHS, the Centers for Medicare &amp; Medicaid Services (“CMS”), and the Administrator of CMS seeking declaratory and injunctive relief related to the interim final rule with comment period entitled “Most Favored Nation (MFN) Model” issued on November 20, 2020 by HHS, acting through CMS (the “MFN Rule”). On the same day, the Company filed a motion for a preliminary injunction and temporary restraining order, seeking to prevent implementation of the MFN Rule. On December 22, 2020, the court heard oral argument on the Company’s motion for a preliminary injunction and temporary restraining order. On December 31, 2020, the court granted the Company’s motion and issued a preliminary injunction. On February 2, 2021, the government stated to the court that the Solicitor General had determined not to appeal the preliminary injunction. On February 10, 2021, the court entered a 90-day stay of the litigation and subsequently extended the stay, with the most recent 60-day extension granted on January 4, 2022. On December 27, 2021, CMS published a final rule that rescinds the MFN Rule effective February 28,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fasinumab</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21, 2020, the Company and Teva Pharmaceutical Industries Limited (“Teva”) filed a lawsuit against Rinat Neurosciences Corp. (“Rinat”), a wholly owned subsidiary of Pfizer Inc., in the English High Court of Justice in London, seeking invalidation and revocation of Rinat’s European Patent No. 2,270,048 (the “048 Patent”), European Patent No. 1,871,416 (the “416 Patent”), and European Patent No. 2,305,711 (the “711 Patent”), each of which pertains to the use of NGF monoclonal antibodies to treat certain symptoms in patients suffering from osteoarthritis. On July 21, 2020, Rinat filed its defense and counterclaim seeking a declaration of infringement of the ’048 Patent by fasinumab. The counterclaim also seeks a permanent injunction, damages, an accounting of profits, and costs and interest. On December 15, 2020, Rinat filed an amended defense and counterclaim seeking a declaration of infringement of the ’711 Patent by fasinumab. On May 5, 2021, the court stayed this litigation on terms mutually agreed by the parties.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’048 Patent is subject to opposition proceedings in the EPO, which were initiated by the Company on August 10, 2016 and two other opponents on August 11, 2016. On January 3, 2018, the Opposition Division of the EPO issued a preliminary, non-binding opinion regarding the validity of the ’048 Patent, indicating that it considered the granted patent to be invalid. An oral hearing on the oppositions against the ’048 Patent was held on November 29– 30, 2018, at which the Opposition Division upheld the validity of the ’048 Patent’s claims in amended form. The Company filed a notice of appeal to the TBA of the EPO on March 7, 2019. On October 21, 2020, Teva filed a notice of intervention with the TBA to take part in the appeal proceedings as an intervener. An oral hearing before the TBA has been scheduled for April 5–6, 2022.</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’711 Patent is also subject to opposition proceedings in the EPO, which were initiated by the Company on May 1, 2018. On January 31, 2019, the Opposition Division of the EPO issued a preliminary, non-binding opinion regarding the validity of the ’711 Patent, indicating that it considered the granted patent to be invalid. An oral hearing on the opposition against the ’711 Patent was held on December 3, 2019, at which the Opposition Division upheld the validity of the ’711 Patent’s claims in amended form. The Company filed a notice of appeal to the TBA on December 20, 2019. On January 29, 2021, Teva filed a notice of intervention with the TBA to take part in the appeal proceedings as an intervener. An oral hearing before the TBA was held on July 29, 2021, at which the ’711 Patent was revoked in its entirety.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REGEN-COV (casirivimab and imdevimab)</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October 5, 2020, Allele Biotechnology and Pharmaceuticals, Inc. (“Allele”) filed a lawsuit (as amended on April 8, 2021) against the Company in the United States District Court for the Southern District of New York, asserting infringement of U.S. Patent No. 10,221,221 (the “221 Patent”). Allele seeks a judgment of patent infringement of the ’221 Patent, an award of monetary damages (together with interest), an order of willful infringement of the ’221 Patent (which would allow the court in its discretion to award damages up to three times the amount assessed), costs and expenses of the lawsuit, and attorneys’ fees. On July 16, 2021, the Company filed a motion to dismiss the complaint. An oral hearing has been scheduled for March 2, 2022.</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i w:val="1"/>
          <w:iCs w:val="1"/>
          <w:color w:val="auto"/>
        </w:rPr>
        <w:t>Department of Justice Matters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w:t>
      </w:r>
    </w:p>
    <w:p>
      <w:pPr>
        <w:jc w:val="both"/>
        <w:spacing w:after="0" w:line="231" w:lineRule="auto"/>
        <w:rPr>
          <w:sz w:val="20"/>
          <w:szCs w:val="20"/>
          <w:color w:val="auto"/>
        </w:rPr>
      </w:pPr>
      <w:r>
        <w:rPr>
          <w:rFonts w:ascii="Arial" w:cs="Arial" w:eastAsia="Arial" w:hAnsi="Arial"/>
          <w:sz w:val="18"/>
          <w:szCs w:val="18"/>
          <w:color w:val="auto"/>
        </w:rPr>
        <w:t>respect to products sold or developed by Regeneron (including EYLEA, Praluent, ARCALYST, and ZALTRAP</w:t>
      </w:r>
      <w:r>
        <w:rPr>
          <w:rFonts w:ascii="Arial" w:cs="Arial" w:eastAsia="Arial" w:hAnsi="Arial"/>
          <w:sz w:val="29"/>
          <w:szCs w:val="29"/>
          <w:color w:val="auto"/>
          <w:vertAlign w:val="superscript"/>
        </w:rPr>
        <w:t>®</w:t>
      </w:r>
      <w:r>
        <w:rPr>
          <w:rFonts w:ascii="Arial" w:cs="Arial" w:eastAsia="Arial" w:hAnsi="Arial"/>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On August 24, 2020, the Company filed a motion to dismiss the complaint in its entirety. On December 4, 2020, the court denied the motion to dismiss.</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filed against the Company, Regeneron Healthcare Solutions, Inc., and Sanofi-Aventis U.S. LLC by two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plaintiffs (known as relators) purportedly on behalf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plaintiffs filed an amended complaint in this matter. On January 14, 2022, the Company filed a motion to dismiss the amended complaint in its entirety.</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CMS. The CID covers the period from January 2011 through June 2021. The Company is cooperating with this investigation.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Initiated by UnitedHealthcare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17, 2020, UnitedHealthcare Insurance Company and United Healthcare Services, Inc. (collectively, “UHC”) filed a lawsuit against the Company in the United States District Court for the Southern District of New York alleging UHC has been damaged by the conduct alleged in the civil complaint filed by the U.S. Attorney’s Office for the District of Massachusetts discussed under “Department of Justice Matters” above. UHC alleges causes of action under state law and the federal Racketeer Influenced and Corrupt Organizations Act (the “RICO Act”) and seeks monetary damages and equitable relief. On March 1, 2021, the Company filed a motion to dismiss the complaint in its entirety. On March 25, 2021, UHC filed an amended complaint; and, on April 22, 2021, the Company filed a motion to dismiss this amended complaint in its entirety. On December 29, 2021, this lawsuit was stayed pending resolution of the proceedings before the U.S. District Court for the District of Massachusetts discussed under “Department of Justice Matters”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Initiated by Humana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22, 2021, Humana Inc. (“Humana”) filed a lawsuit against the Company in the United States District Court for the Southern District of New York alleging Humana has been damaged by the conduct alleged in the civil complaint filed by the U.S. Attorney’s Office for the District of Massachusetts discussed under “Department of Justice Matters” above. Humana alleges causes of action under state law and the RICO Act and seeks monetary damages and equitable relief. On September 27, 2021, the Company filed a motion to dismiss the complaint in its entirety. On December 29, 2021, this lawsuit was stayed pending resolution of the proceedings before the U.S. District Court for the District of Massachusetts discussed under “Department of Justice Matters”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Initiated by Blue Cross and Blue Shield</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December 20, 2021, Blue Cross and Blue Shield of Massachusetts, Inc. and Blue Cross and Blue Shield of Massachusetts HMO Blue, Inc. (collectively, “BCBS”) filed a lawsuit against the Company in the U.S. District Court for the District of Massachusetts alleging BCBS has been damaged by the conduct alleged in the civil complaint filed by the U.S. Attorney’s Office for the District of Massachusetts discussed under “Department of Justice Matters” above. BCBS alleges causes of action under state law and the RICO Act and seeks monetary damages and equitable relief.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i w:val="1"/>
          <w:iCs w:val="1"/>
          <w:color w:val="auto"/>
        </w:rPr>
        <w:t>Shareholder Demand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or about September 30, 2020, the Company’s board of directors received a demand letter from a purported shareholder of the Company. The demand alleges that Regeneron and its shareholders have been damaged by the conduct alleged in the civil complaint filed by the U.S. Attorney’s Office for the District of Massachusetts discussed under “Department of Justice Matters” above. The demand letter requests that the Company’s board of directors investigate alleged breaches of fiduciary duty by its officers and directors and other alleged violations of law and corporate governance practices and procedures; bring legal action against the persons responsible for causing the alleged damages; and implement and maintain an effective system of internal controls, compliance mechanisms, and corporate governance practices and procedures. The Company’s board of directors, working with outside counsel, investigated and evaluated the allegations in the demand letter and has concluded that pursuing the claims alleged in the demand would not be in the Company’s best interests at this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Shareholder Derivative Complaint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29, 2021, an alleged shareholder filed a shareholder derivative complaint in the New York Supreme Court, naming the current and certain former members of the Company’s board of directors and certain current and former executive officers of the Company as defendants and Regeneron as a nominal defendant. The complaint asserts that the individual defendants breached their fiduciary duties in relation to the allegations in the civil complaint filed by the U.S. Attorney’s Office for the District of Massachusetts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24, 2021, the individual defendants moved to dismiss the complaint in its entirety. Also on September 24, 2021, the plaintiff filed a motion to remand the case to the New York Supreme Court.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16. Net Income Per Share</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color w:val="auto"/>
              </w:rPr>
              <w:t>The calculations of basic and diluted net income per share are as follows: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420" w:type="dxa"/>
            <w:vAlign w:val="bottom"/>
          </w:tcPr>
          <w:p>
            <w:pPr>
              <w:spacing w:after="0"/>
              <w:rPr>
                <w:sz w:val="24"/>
                <w:szCs w:val="24"/>
                <w:color w:val="auto"/>
              </w:rPr>
            </w:pPr>
          </w:p>
        </w:tc>
        <w:tc>
          <w:tcPr>
            <w:tcW w:w="510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(In millions, except per share data)</w:t>
            </w: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right"/>
              <w:ind w:right="57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5100" w:type="dxa"/>
            <w:vAlign w:val="bottom"/>
            <w:tcBorders>
              <w:bottom w:val="single" w:sz="8" w:color="CDEAFA"/>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DEAF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DEAF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5100" w:type="dxa"/>
            <w:vAlign w:val="bottom"/>
            <w:shd w:val="clear" w:color="auto" w:fill="CDEAFA"/>
          </w:tcPr>
          <w:p>
            <w:pPr>
              <w:ind w:left="60"/>
              <w:spacing w:after="0"/>
              <w:rPr>
                <w:sz w:val="20"/>
                <w:szCs w:val="20"/>
                <w:color w:val="auto"/>
              </w:rPr>
            </w:pPr>
            <w:r>
              <w:rPr>
                <w:rFonts w:ascii="Arial" w:cs="Arial" w:eastAsia="Arial" w:hAnsi="Arial"/>
                <w:sz w:val="18"/>
                <w:szCs w:val="18"/>
                <w:color w:val="auto"/>
              </w:rPr>
              <w:t>Net income - basic and diluted</w:t>
            </w:r>
          </w:p>
        </w:tc>
        <w:tc>
          <w:tcPr>
            <w:tcW w:w="2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8,075.3</w:t>
            </w:r>
          </w:p>
        </w:tc>
        <w:tc>
          <w:tcPr>
            <w:tcW w:w="80" w:type="dxa"/>
            <w:vAlign w:val="bottom"/>
            <w:shd w:val="clear" w:color="auto" w:fill="CDEAFA"/>
          </w:tcPr>
          <w:p>
            <w:pPr>
              <w:spacing w:after="0"/>
              <w:rPr>
                <w:sz w:val="18"/>
                <w:szCs w:val="18"/>
                <w:color w:val="auto"/>
              </w:rPr>
            </w:pPr>
          </w:p>
        </w:tc>
        <w:tc>
          <w:tcPr>
            <w:tcW w:w="2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3,513.2</w:t>
            </w:r>
          </w:p>
        </w:tc>
        <w:tc>
          <w:tcPr>
            <w:tcW w:w="80" w:type="dxa"/>
            <w:vAlign w:val="bottom"/>
            <w:shd w:val="clear" w:color="auto" w:fill="CDEAFA"/>
          </w:tcPr>
          <w:p>
            <w:pPr>
              <w:spacing w:after="0"/>
              <w:rPr>
                <w:sz w:val="18"/>
                <w:szCs w:val="18"/>
                <w:color w:val="auto"/>
              </w:rPr>
            </w:pPr>
          </w:p>
        </w:tc>
        <w:tc>
          <w:tcPr>
            <w:tcW w:w="2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2,115.8</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5100" w:type="dxa"/>
            <w:vAlign w:val="bottom"/>
            <w:shd w:val="clear" w:color="auto" w:fill="CDEAFA"/>
          </w:tcPr>
          <w:p>
            <w:pPr>
              <w:ind w:left="60"/>
              <w:spacing w:after="0"/>
              <w:rPr>
                <w:sz w:val="20"/>
                <w:szCs w:val="20"/>
                <w:color w:val="auto"/>
              </w:rPr>
            </w:pPr>
            <w:r>
              <w:rPr>
                <w:rFonts w:ascii="Arial" w:cs="Arial" w:eastAsia="Arial" w:hAnsi="Arial"/>
                <w:sz w:val="18"/>
                <w:szCs w:val="18"/>
                <w:color w:val="auto"/>
              </w:rPr>
              <w:t>Weighted average shares - basic</w:t>
            </w:r>
          </w:p>
        </w:tc>
        <w:tc>
          <w:tcPr>
            <w:tcW w:w="240" w:type="dxa"/>
            <w:vAlign w:val="bottom"/>
            <w:shd w:val="clear" w:color="auto" w:fill="CDEAFA"/>
          </w:tcPr>
          <w:p>
            <w:pPr>
              <w:spacing w:after="0"/>
              <w:rPr>
                <w:sz w:val="18"/>
                <w:szCs w:val="18"/>
                <w:color w:val="auto"/>
              </w:rPr>
            </w:pPr>
          </w:p>
        </w:tc>
        <w:tc>
          <w:tcPr>
            <w:tcW w:w="8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5100" w:type="dxa"/>
            <w:vAlign w:val="bottom"/>
            <w:shd w:val="clear" w:color="auto" w:fill="CDEAFA"/>
          </w:tcPr>
          <w:p>
            <w:pPr>
              <w:ind w:left="26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DEAFA"/>
          </w:tcPr>
          <w:p>
            <w:pPr>
              <w:spacing w:after="0"/>
              <w:rPr>
                <w:sz w:val="18"/>
                <w:szCs w:val="18"/>
                <w:color w:val="auto"/>
              </w:rPr>
            </w:pPr>
          </w:p>
        </w:tc>
        <w:tc>
          <w:tcPr>
            <w:tcW w:w="8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DEAFA"/>
          </w:tcPr>
          <w:p>
            <w:pPr>
              <w:spacing w:after="0"/>
              <w:rPr>
                <w:sz w:val="18"/>
                <w:szCs w:val="18"/>
                <w:color w:val="auto"/>
              </w:rPr>
            </w:pPr>
          </w:p>
        </w:tc>
        <w:tc>
          <w:tcPr>
            <w:tcW w:w="240" w:type="dxa"/>
            <w:vAlign w:val="bottom"/>
            <w:shd w:val="clear" w:color="auto" w:fill="CDEAFA"/>
          </w:tcPr>
          <w:p>
            <w:pPr>
              <w:spacing w:after="0"/>
              <w:rPr>
                <w:sz w:val="18"/>
                <w:szCs w:val="18"/>
                <w:color w:val="auto"/>
              </w:rPr>
            </w:pP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5100" w:type="dxa"/>
            <w:vAlign w:val="bottom"/>
            <w:tcBorders>
              <w:bottom w:val="single" w:sz="8" w:color="CDEAFA"/>
            </w:tcBorders>
          </w:tcPr>
          <w:p>
            <w:pPr>
              <w:ind w:left="260"/>
              <w:spacing w:after="0"/>
              <w:rPr>
                <w:sz w:val="20"/>
                <w:szCs w:val="20"/>
                <w:color w:val="auto"/>
              </w:rPr>
            </w:pPr>
            <w:r>
              <w:rPr>
                <w:rFonts w:ascii="Arial" w:cs="Arial" w:eastAsia="Arial" w:hAnsi="Arial"/>
                <w:sz w:val="18"/>
                <w:szCs w:val="18"/>
                <w:color w:val="auto"/>
              </w:rPr>
              <w:t>Restricted stock awards and restricted stock units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DEAF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DEAF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5100" w:type="dxa"/>
            <w:vAlign w:val="bottom"/>
            <w:tcBorders>
              <w:bottom w:val="single" w:sz="8" w:color="CDEAFA"/>
            </w:tcBorders>
            <w:shd w:val="clear" w:color="auto" w:fill="CDEAFA"/>
          </w:tcPr>
          <w:p>
            <w:pPr>
              <w:ind w:left="6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bottom w:val="single" w:sz="8" w:color="auto"/>
            </w:tcBorders>
            <w:shd w:val="clear" w:color="auto" w:fill="CDEAFA"/>
          </w:tcPr>
          <w:p>
            <w:pPr>
              <w:spacing w:after="0"/>
              <w:rPr>
                <w:sz w:val="19"/>
                <w:szCs w:val="19"/>
                <w:color w:val="auto"/>
              </w:rPr>
            </w:pPr>
          </w:p>
        </w:tc>
        <w:tc>
          <w:tcPr>
            <w:tcW w:w="80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112.2</w:t>
            </w:r>
          </w:p>
        </w:tc>
        <w:tc>
          <w:tcPr>
            <w:tcW w:w="80" w:type="dxa"/>
            <w:vAlign w:val="bottom"/>
            <w:tcBorders>
              <w:bottom w:val="single" w:sz="8" w:color="CDEAFA"/>
            </w:tcBorders>
            <w:shd w:val="clear" w:color="auto" w:fill="CDEAFA"/>
          </w:tcPr>
          <w:p>
            <w:pPr>
              <w:spacing w:after="0"/>
              <w:rPr>
                <w:sz w:val="19"/>
                <w:szCs w:val="19"/>
                <w:color w:val="auto"/>
              </w:rPr>
            </w:pPr>
          </w:p>
        </w:tc>
        <w:tc>
          <w:tcPr>
            <w:tcW w:w="240" w:type="dxa"/>
            <w:vAlign w:val="bottom"/>
            <w:tcBorders>
              <w:bottom w:val="single" w:sz="8" w:color="auto"/>
            </w:tcBorders>
            <w:shd w:val="clear" w:color="auto" w:fill="CDEAFA"/>
          </w:tcPr>
          <w:p>
            <w:pPr>
              <w:spacing w:after="0"/>
              <w:rPr>
                <w:sz w:val="19"/>
                <w:szCs w:val="19"/>
                <w:color w:val="auto"/>
              </w:rPr>
            </w:pPr>
          </w:p>
        </w:tc>
        <w:tc>
          <w:tcPr>
            <w:tcW w:w="8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115.1</w:t>
            </w:r>
          </w:p>
        </w:tc>
        <w:tc>
          <w:tcPr>
            <w:tcW w:w="80" w:type="dxa"/>
            <w:vAlign w:val="bottom"/>
            <w:tcBorders>
              <w:bottom w:val="single" w:sz="8" w:color="CDEAFA"/>
            </w:tcBorders>
            <w:shd w:val="clear" w:color="auto" w:fill="CDEAFA"/>
          </w:tcPr>
          <w:p>
            <w:pPr>
              <w:spacing w:after="0"/>
              <w:rPr>
                <w:sz w:val="19"/>
                <w:szCs w:val="19"/>
                <w:color w:val="auto"/>
              </w:rPr>
            </w:pPr>
          </w:p>
        </w:tc>
        <w:tc>
          <w:tcPr>
            <w:tcW w:w="240" w:type="dxa"/>
            <w:vAlign w:val="bottom"/>
            <w:tcBorders>
              <w:bottom w:val="single" w:sz="8" w:color="auto"/>
            </w:tcBorders>
            <w:shd w:val="clear" w:color="auto" w:fill="CDEAFA"/>
          </w:tcPr>
          <w:p>
            <w:pPr>
              <w:spacing w:after="0"/>
              <w:rPr>
                <w:sz w:val="19"/>
                <w:szCs w:val="19"/>
                <w:color w:val="auto"/>
              </w:rPr>
            </w:pPr>
          </w:p>
        </w:tc>
        <w:tc>
          <w:tcPr>
            <w:tcW w:w="820" w:type="dxa"/>
            <w:vAlign w:val="bottom"/>
            <w:tcBorders>
              <w:bottom w:val="single" w:sz="8" w:color="auto"/>
            </w:tcBorders>
            <w:shd w:val="clear" w:color="auto" w:fill="CDEAFA"/>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420" w:type="dxa"/>
            <w:vAlign w:val="bottom"/>
          </w:tcPr>
          <w:p>
            <w:pPr>
              <w:spacing w:after="0"/>
              <w:rPr>
                <w:sz w:val="6"/>
                <w:szCs w:val="6"/>
                <w:color w:val="auto"/>
              </w:rPr>
            </w:pPr>
          </w:p>
        </w:tc>
        <w:tc>
          <w:tcPr>
            <w:tcW w:w="5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5100" w:type="dxa"/>
            <w:vAlign w:val="bottom"/>
            <w:shd w:val="clear" w:color="auto" w:fill="CDEAFA"/>
          </w:tcPr>
          <w:p>
            <w:pPr>
              <w:ind w:left="60"/>
              <w:spacing w:after="0"/>
              <w:rPr>
                <w:sz w:val="20"/>
                <w:szCs w:val="20"/>
                <w:color w:val="auto"/>
              </w:rPr>
            </w:pPr>
            <w:r>
              <w:rPr>
                <w:rFonts w:ascii="Arial" w:cs="Arial" w:eastAsia="Arial" w:hAnsi="Arial"/>
                <w:sz w:val="18"/>
                <w:szCs w:val="18"/>
                <w:color w:val="auto"/>
              </w:rPr>
              <w:t>Net income per share - basic</w:t>
            </w:r>
          </w:p>
        </w:tc>
        <w:tc>
          <w:tcPr>
            <w:tcW w:w="2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76.40</w:t>
            </w:r>
          </w:p>
        </w:tc>
        <w:tc>
          <w:tcPr>
            <w:tcW w:w="80" w:type="dxa"/>
            <w:vAlign w:val="bottom"/>
            <w:shd w:val="clear" w:color="auto" w:fill="CDEAFA"/>
          </w:tcPr>
          <w:p>
            <w:pPr>
              <w:spacing w:after="0"/>
              <w:rPr>
                <w:sz w:val="18"/>
                <w:szCs w:val="18"/>
                <w:color w:val="auto"/>
              </w:rPr>
            </w:pPr>
          </w:p>
        </w:tc>
        <w:tc>
          <w:tcPr>
            <w:tcW w:w="2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32.65</w:t>
            </w:r>
          </w:p>
        </w:tc>
        <w:tc>
          <w:tcPr>
            <w:tcW w:w="80" w:type="dxa"/>
            <w:vAlign w:val="bottom"/>
            <w:shd w:val="clear" w:color="auto" w:fill="CDEAFA"/>
          </w:tcPr>
          <w:p>
            <w:pPr>
              <w:spacing w:after="0"/>
              <w:rPr>
                <w:sz w:val="18"/>
                <w:szCs w:val="18"/>
                <w:color w:val="auto"/>
              </w:rPr>
            </w:pPr>
          </w:p>
        </w:tc>
        <w:tc>
          <w:tcPr>
            <w:tcW w:w="2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Net income per share - diluted</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71.97</w:t>
            </w:r>
          </w:p>
        </w:tc>
        <w:tc>
          <w:tcPr>
            <w:tcW w:w="8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30.52</w:t>
            </w:r>
          </w:p>
        </w:tc>
        <w:tc>
          <w:tcPr>
            <w:tcW w:w="8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268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(Shares in millions)</w:t>
            </w:r>
          </w:p>
        </w:tc>
        <w:tc>
          <w:tcPr>
            <w:tcW w:w="2400" w:type="dxa"/>
            <w:vAlign w:val="bottom"/>
          </w:tcPr>
          <w:p>
            <w:pPr>
              <w:spacing w:after="0"/>
              <w:rPr>
                <w:sz w:val="20"/>
                <w:szCs w:val="20"/>
                <w:color w:val="auto"/>
              </w:rPr>
            </w:pPr>
          </w:p>
        </w:tc>
        <w:tc>
          <w:tcPr>
            <w:tcW w:w="3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2680" w:type="dxa"/>
            <w:vAlign w:val="bottom"/>
            <w:tcBorders>
              <w:bottom w:val="single" w:sz="8" w:color="CDEAFA"/>
            </w:tcBorders>
            <w:vMerge w:val="continue"/>
          </w:tcPr>
          <w:p>
            <w:pPr>
              <w:spacing w:after="0"/>
              <w:rPr>
                <w:sz w:val="18"/>
                <w:szCs w:val="18"/>
                <w:color w:val="auto"/>
              </w:rPr>
            </w:pPr>
          </w:p>
        </w:tc>
        <w:tc>
          <w:tcPr>
            <w:tcW w:w="2400" w:type="dxa"/>
            <w:vAlign w:val="bottom"/>
            <w:tcBorders>
              <w:bottom w:val="single" w:sz="8" w:color="CDEAFA"/>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DEAFA"/>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DEAFA"/>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2680" w:type="dxa"/>
            <w:vAlign w:val="bottom"/>
            <w:shd w:val="clear" w:color="auto" w:fill="CDEAFA"/>
          </w:tcPr>
          <w:p>
            <w:pPr>
              <w:ind w:left="60"/>
              <w:spacing w:after="0"/>
              <w:rPr>
                <w:sz w:val="20"/>
                <w:szCs w:val="20"/>
                <w:color w:val="auto"/>
              </w:rPr>
            </w:pPr>
            <w:r>
              <w:rPr>
                <w:rFonts w:ascii="Arial" w:cs="Arial" w:eastAsia="Arial" w:hAnsi="Arial"/>
                <w:sz w:val="18"/>
                <w:szCs w:val="18"/>
                <w:color w:val="auto"/>
              </w:rPr>
              <w:t>Stock options</w:t>
            </w:r>
          </w:p>
        </w:tc>
        <w:tc>
          <w:tcPr>
            <w:tcW w:w="2400" w:type="dxa"/>
            <w:vAlign w:val="bottom"/>
            <w:shd w:val="clear" w:color="auto" w:fill="CDEAFA"/>
          </w:tcPr>
          <w:p>
            <w:pPr>
              <w:spacing w:after="0"/>
              <w:rPr>
                <w:sz w:val="18"/>
                <w:szCs w:val="18"/>
                <w:color w:val="auto"/>
              </w:rPr>
            </w:pPr>
          </w:p>
        </w:tc>
        <w:tc>
          <w:tcPr>
            <w:tcW w:w="90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DEAFA"/>
          </w:tcPr>
          <w:p>
            <w:pPr>
              <w:spacing w:after="0"/>
              <w:rPr>
                <w:sz w:val="18"/>
                <w:szCs w:val="18"/>
                <w:color w:val="auto"/>
              </w:rPr>
            </w:pPr>
          </w:p>
        </w:tc>
        <w:tc>
          <w:tcPr>
            <w:tcW w:w="96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DEAFA"/>
          </w:tcPr>
          <w:p>
            <w:pPr>
              <w:spacing w:after="0"/>
              <w:rPr>
                <w:sz w:val="18"/>
                <w:szCs w:val="18"/>
                <w:color w:val="auto"/>
              </w:rPr>
            </w:pPr>
          </w:p>
        </w:tc>
        <w:tc>
          <w:tcPr>
            <w:tcW w:w="9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18.4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420" w:type="dxa"/>
            <w:vAlign w:val="bottom"/>
            <w:gridSpan w:val="3"/>
          </w:tcPr>
          <w:p>
            <w:pPr>
              <w:ind w:left="1200"/>
              <w:spacing w:after="0"/>
              <w:rPr>
                <w:sz w:val="20"/>
                <w:szCs w:val="20"/>
                <w:color w:val="auto"/>
              </w:rPr>
            </w:pPr>
            <w:r>
              <w:rPr>
                <w:rFonts w:ascii="Arial" w:cs="Arial" w:eastAsia="Arial" w:hAnsi="Arial"/>
                <w:sz w:val="18"/>
                <w:szCs w:val="18"/>
                <w:color w:val="auto"/>
              </w:rPr>
              <w:t>F-41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580" w:type="dxa"/>
            <w:vAlign w:val="bottom"/>
            <w:tcBorders>
              <w:bottom w:val="single" w:sz="8" w:color="C0C0C0"/>
            </w:tcBorders>
          </w:tcPr>
          <w:p>
            <w:pPr>
              <w:spacing w:after="0"/>
              <w:rPr>
                <w:sz w:val="21"/>
                <w:szCs w:val="21"/>
                <w:color w:val="auto"/>
              </w:rPr>
            </w:pPr>
          </w:p>
        </w:tc>
        <w:tc>
          <w:tcPr>
            <w:tcW w:w="2680" w:type="dxa"/>
            <w:vAlign w:val="bottom"/>
            <w:tcBorders>
              <w:bottom w:val="single" w:sz="8" w:color="C0C0C0"/>
            </w:tcBorders>
          </w:tcPr>
          <w:p>
            <w:pPr>
              <w:spacing w:after="0"/>
              <w:rPr>
                <w:sz w:val="21"/>
                <w:szCs w:val="21"/>
                <w:color w:val="auto"/>
              </w:rPr>
            </w:pPr>
          </w:p>
        </w:tc>
        <w:tc>
          <w:tcPr>
            <w:tcW w:w="240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96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15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9"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17. Statement of Cash Flows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provides a reconciliation of cash, cash equivalents, and restricted cash reported within the Consolidated Balance Sheet to the total of the same such amounts shown in the Consolidated Statement of Cash Flows: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520" w:type="dxa"/>
            <w:vAlign w:val="bottom"/>
            <w:vMerge w:val="restart"/>
          </w:tcPr>
          <w:p>
            <w:pPr>
              <w:ind w:left="8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DEAFA"/>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DEAF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DEAF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4520" w:type="dxa"/>
            <w:vAlign w:val="bottom"/>
            <w:shd w:val="clear" w:color="auto" w:fill="CDEAFA"/>
          </w:tcPr>
          <w:p>
            <w:pPr>
              <w:ind w:left="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2,885.6</w:t>
            </w:r>
          </w:p>
        </w:tc>
        <w:tc>
          <w:tcPr>
            <w:tcW w:w="80" w:type="dxa"/>
            <w:vAlign w:val="bottom"/>
            <w:shd w:val="clear" w:color="auto" w:fill="CDEAFA"/>
          </w:tcPr>
          <w:p>
            <w:pPr>
              <w:spacing w:after="0"/>
              <w:rPr>
                <w:sz w:val="18"/>
                <w:szCs w:val="18"/>
                <w:color w:val="auto"/>
              </w:rPr>
            </w:pPr>
          </w:p>
        </w:tc>
        <w:tc>
          <w:tcPr>
            <w:tcW w:w="24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2,193.7</w:t>
            </w:r>
          </w:p>
        </w:tc>
        <w:tc>
          <w:tcPr>
            <w:tcW w:w="60" w:type="dxa"/>
            <w:vAlign w:val="bottom"/>
            <w:shd w:val="clear" w:color="auto" w:fill="CDEAFA"/>
          </w:tcPr>
          <w:p>
            <w:pPr>
              <w:spacing w:after="0"/>
              <w:rPr>
                <w:sz w:val="18"/>
                <w:szCs w:val="18"/>
                <w:color w:val="auto"/>
              </w:rPr>
            </w:pPr>
          </w:p>
        </w:tc>
        <w:tc>
          <w:tcPr>
            <w:tcW w:w="260" w:type="dxa"/>
            <w:vAlign w:val="bottom"/>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DEAFA"/>
          </w:tcPr>
          <w:p>
            <w:pPr>
              <w:jc w:val="right"/>
              <w:spacing w:after="0"/>
              <w:rPr>
                <w:sz w:val="20"/>
                <w:szCs w:val="20"/>
                <w:color w:val="auto"/>
              </w:rPr>
            </w:pPr>
            <w:r>
              <w:rPr>
                <w:rFonts w:ascii="Arial" w:cs="Arial" w:eastAsia="Arial" w:hAnsi="Arial"/>
                <w:sz w:val="18"/>
                <w:szCs w:val="18"/>
                <w:color w:val="auto"/>
              </w:rPr>
              <w:t>1,617.8</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DEAFA"/>
            </w:tcBorders>
          </w:tcPr>
          <w:p>
            <w:pPr>
              <w:ind w:left="80"/>
              <w:spacing w:after="0"/>
              <w:rPr>
                <w:sz w:val="20"/>
                <w:szCs w:val="20"/>
                <w:color w:val="auto"/>
              </w:rPr>
            </w:pPr>
            <w:r>
              <w:rPr>
                <w:rFonts w:ascii="Arial" w:cs="Arial" w:eastAsia="Arial" w:hAnsi="Arial"/>
                <w:sz w:val="18"/>
                <w:szCs w:val="18"/>
                <w:color w:val="auto"/>
              </w:rPr>
              <w:t>Restricted cash included in Other noncurrent assets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DEAF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bottom w:val="single" w:sz="8" w:color="CDEAF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2"/>
        </w:trPr>
        <w:tc>
          <w:tcPr>
            <w:tcW w:w="4520" w:type="dxa"/>
            <w:vAlign w:val="bottom"/>
            <w:shd w:val="clear" w:color="auto" w:fill="CDEAFA"/>
          </w:tcPr>
          <w:p>
            <w:pPr>
              <w:ind w:left="80"/>
              <w:spacing w:after="0" w:line="182" w:lineRule="exact"/>
              <w:rPr>
                <w:sz w:val="20"/>
                <w:szCs w:val="20"/>
                <w:color w:val="auto"/>
              </w:rPr>
            </w:pPr>
            <w:r>
              <w:rPr>
                <w:rFonts w:ascii="Arial" w:cs="Arial" w:eastAsia="Arial" w:hAnsi="Arial"/>
                <w:sz w:val="18"/>
                <w:szCs w:val="18"/>
                <w:color w:val="auto"/>
                <w:w w:val="95"/>
              </w:rPr>
              <w:t>Total cash, cash equivalents, and restricted cash shown in</w:t>
            </w:r>
          </w:p>
        </w:tc>
        <w:tc>
          <w:tcPr>
            <w:tcW w:w="240" w:type="dxa"/>
            <w:vAlign w:val="bottom"/>
            <w:vMerge w:val="restart"/>
            <w:shd w:val="clear" w:color="auto" w:fill="CDEAF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DEAFA"/>
          </w:tcPr>
          <w:p>
            <w:pPr>
              <w:jc w:val="right"/>
              <w:spacing w:after="0"/>
              <w:rPr>
                <w:sz w:val="20"/>
                <w:szCs w:val="20"/>
                <w:color w:val="auto"/>
              </w:rPr>
            </w:pPr>
            <w:r>
              <w:rPr>
                <w:rFonts w:ascii="Arial" w:cs="Arial" w:eastAsia="Arial" w:hAnsi="Arial"/>
                <w:sz w:val="18"/>
                <w:szCs w:val="18"/>
                <w:color w:val="auto"/>
              </w:rPr>
              <w:t>2,898.1</w:t>
            </w:r>
          </w:p>
        </w:tc>
        <w:tc>
          <w:tcPr>
            <w:tcW w:w="80" w:type="dxa"/>
            <w:vAlign w:val="bottom"/>
            <w:shd w:val="clear" w:color="auto" w:fill="CDEAFA"/>
          </w:tcPr>
          <w:p>
            <w:pPr>
              <w:spacing w:after="0"/>
              <w:rPr>
                <w:sz w:val="15"/>
                <w:szCs w:val="15"/>
                <w:color w:val="auto"/>
              </w:rPr>
            </w:pPr>
          </w:p>
        </w:tc>
        <w:tc>
          <w:tcPr>
            <w:tcW w:w="240" w:type="dxa"/>
            <w:vAlign w:val="bottom"/>
            <w:vMerge w:val="restart"/>
            <w:shd w:val="clear" w:color="auto" w:fill="CDEAFA"/>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DEAFA"/>
          </w:tcPr>
          <w:p>
            <w:pPr>
              <w:jc w:val="right"/>
              <w:spacing w:after="0"/>
              <w:rPr>
                <w:sz w:val="20"/>
                <w:szCs w:val="20"/>
                <w:color w:val="auto"/>
              </w:rPr>
            </w:pPr>
            <w:r>
              <w:rPr>
                <w:rFonts w:ascii="Arial" w:cs="Arial" w:eastAsia="Arial" w:hAnsi="Arial"/>
                <w:sz w:val="18"/>
                <w:szCs w:val="18"/>
                <w:color w:val="auto"/>
              </w:rPr>
              <w:t>2,207.3</w:t>
            </w:r>
          </w:p>
        </w:tc>
        <w:tc>
          <w:tcPr>
            <w:tcW w:w="60" w:type="dxa"/>
            <w:vAlign w:val="bottom"/>
            <w:shd w:val="clear" w:color="auto" w:fill="CDEAFA"/>
          </w:tcPr>
          <w:p>
            <w:pPr>
              <w:spacing w:after="0"/>
              <w:rPr>
                <w:sz w:val="15"/>
                <w:szCs w:val="15"/>
                <w:color w:val="auto"/>
              </w:rPr>
            </w:pPr>
          </w:p>
        </w:tc>
        <w:tc>
          <w:tcPr>
            <w:tcW w:w="260" w:type="dxa"/>
            <w:vAlign w:val="bottom"/>
            <w:vMerge w:val="restart"/>
            <w:shd w:val="clear" w:color="auto" w:fill="CDEAFA"/>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DEAFA"/>
          </w:tcPr>
          <w:p>
            <w:pPr>
              <w:jc w:val="right"/>
              <w:spacing w:after="0"/>
              <w:rPr>
                <w:sz w:val="20"/>
                <w:szCs w:val="20"/>
                <w:color w:val="auto"/>
              </w:rPr>
            </w:pPr>
            <w:r>
              <w:rPr>
                <w:rFonts w:ascii="Arial" w:cs="Arial" w:eastAsia="Arial" w:hAnsi="Arial"/>
                <w:sz w:val="18"/>
                <w:szCs w:val="18"/>
                <w:color w:val="auto"/>
              </w:rPr>
              <w:t>1,630.3</w:t>
            </w:r>
          </w:p>
        </w:tc>
        <w:tc>
          <w:tcPr>
            <w:tcW w:w="0" w:type="dxa"/>
            <w:vAlign w:val="bottom"/>
          </w:tcPr>
          <w:p>
            <w:pPr>
              <w:spacing w:after="0"/>
              <w:rPr>
                <w:sz w:val="1"/>
                <w:szCs w:val="1"/>
                <w:color w:val="auto"/>
              </w:rPr>
            </w:pPr>
          </w:p>
        </w:tc>
      </w:tr>
      <w:tr>
        <w:trPr>
          <w:trHeight w:val="217"/>
        </w:trPr>
        <w:tc>
          <w:tcPr>
            <w:tcW w:w="4520" w:type="dxa"/>
            <w:vAlign w:val="bottom"/>
            <w:tcBorders>
              <w:bottom w:val="single" w:sz="8" w:color="CDEAFA"/>
            </w:tcBorders>
            <w:shd w:val="clear" w:color="auto" w:fill="CDEAFA"/>
          </w:tcPr>
          <w:p>
            <w:pPr>
              <w:ind w:left="260"/>
              <w:spacing w:after="0"/>
              <w:rPr>
                <w:sz w:val="20"/>
                <w:szCs w:val="20"/>
                <w:color w:val="auto"/>
              </w:rPr>
            </w:pPr>
            <w:r>
              <w:rPr>
                <w:rFonts w:ascii="Arial" w:cs="Arial" w:eastAsia="Arial" w:hAnsi="Arial"/>
                <w:sz w:val="18"/>
                <w:szCs w:val="18"/>
                <w:color w:val="auto"/>
              </w:rPr>
              <w:t>the Consolidated Statement of Cash Flows</w:t>
            </w:r>
          </w:p>
        </w:tc>
        <w:tc>
          <w:tcPr>
            <w:tcW w:w="240" w:type="dxa"/>
            <w:vAlign w:val="bottom"/>
            <w:tcBorders>
              <w:bottom w:val="single" w:sz="8" w:color="auto"/>
            </w:tcBorders>
            <w:vMerge w:val="continue"/>
            <w:shd w:val="clear" w:color="auto" w:fill="CDEAFA"/>
          </w:tcPr>
          <w:p>
            <w:pPr>
              <w:spacing w:after="0"/>
              <w:rPr>
                <w:sz w:val="18"/>
                <w:szCs w:val="18"/>
                <w:color w:val="auto"/>
              </w:rPr>
            </w:pPr>
          </w:p>
        </w:tc>
        <w:tc>
          <w:tcPr>
            <w:tcW w:w="820" w:type="dxa"/>
            <w:vAlign w:val="bottom"/>
            <w:tcBorders>
              <w:bottom w:val="single" w:sz="8" w:color="auto"/>
            </w:tcBorders>
            <w:vMerge w:val="continue"/>
            <w:shd w:val="clear" w:color="auto" w:fill="CDEAFA"/>
          </w:tcPr>
          <w:p>
            <w:pPr>
              <w:spacing w:after="0"/>
              <w:rPr>
                <w:sz w:val="18"/>
                <w:szCs w:val="18"/>
                <w:color w:val="auto"/>
              </w:rPr>
            </w:pPr>
          </w:p>
        </w:tc>
        <w:tc>
          <w:tcPr>
            <w:tcW w:w="80" w:type="dxa"/>
            <w:vAlign w:val="bottom"/>
            <w:tcBorders>
              <w:bottom w:val="single" w:sz="8" w:color="CDEAFA"/>
            </w:tcBorders>
            <w:shd w:val="clear" w:color="auto" w:fill="CDEAFA"/>
          </w:tcPr>
          <w:p>
            <w:pPr>
              <w:spacing w:after="0"/>
              <w:rPr>
                <w:sz w:val="18"/>
                <w:szCs w:val="18"/>
                <w:color w:val="auto"/>
              </w:rPr>
            </w:pPr>
          </w:p>
        </w:tc>
        <w:tc>
          <w:tcPr>
            <w:tcW w:w="240" w:type="dxa"/>
            <w:vAlign w:val="bottom"/>
            <w:tcBorders>
              <w:bottom w:val="single" w:sz="8" w:color="auto"/>
            </w:tcBorders>
            <w:vMerge w:val="continue"/>
            <w:shd w:val="clear" w:color="auto" w:fill="CDEAFA"/>
          </w:tcPr>
          <w:p>
            <w:pPr>
              <w:spacing w:after="0"/>
              <w:rPr>
                <w:sz w:val="18"/>
                <w:szCs w:val="18"/>
                <w:color w:val="auto"/>
              </w:rPr>
            </w:pPr>
          </w:p>
        </w:tc>
        <w:tc>
          <w:tcPr>
            <w:tcW w:w="820" w:type="dxa"/>
            <w:vAlign w:val="bottom"/>
            <w:tcBorders>
              <w:bottom w:val="single" w:sz="8" w:color="auto"/>
            </w:tcBorders>
            <w:vMerge w:val="continue"/>
            <w:shd w:val="clear" w:color="auto" w:fill="CDEAFA"/>
          </w:tcPr>
          <w:p>
            <w:pPr>
              <w:spacing w:after="0"/>
              <w:rPr>
                <w:sz w:val="18"/>
                <w:szCs w:val="18"/>
                <w:color w:val="auto"/>
              </w:rPr>
            </w:pPr>
          </w:p>
        </w:tc>
        <w:tc>
          <w:tcPr>
            <w:tcW w:w="60" w:type="dxa"/>
            <w:vAlign w:val="bottom"/>
            <w:tcBorders>
              <w:bottom w:val="single" w:sz="8" w:color="CDEAFA"/>
            </w:tcBorders>
            <w:shd w:val="clear" w:color="auto" w:fill="CDEAFA"/>
          </w:tcPr>
          <w:p>
            <w:pPr>
              <w:spacing w:after="0"/>
              <w:rPr>
                <w:sz w:val="18"/>
                <w:szCs w:val="18"/>
                <w:color w:val="auto"/>
              </w:rPr>
            </w:pPr>
          </w:p>
        </w:tc>
        <w:tc>
          <w:tcPr>
            <w:tcW w:w="260" w:type="dxa"/>
            <w:vAlign w:val="bottom"/>
            <w:tcBorders>
              <w:bottom w:val="single" w:sz="8" w:color="auto"/>
            </w:tcBorders>
            <w:vMerge w:val="continue"/>
            <w:shd w:val="clear" w:color="auto" w:fill="CDEAFA"/>
          </w:tcPr>
          <w:p>
            <w:pPr>
              <w:spacing w:after="0"/>
              <w:rPr>
                <w:sz w:val="18"/>
                <w:szCs w:val="18"/>
                <w:color w:val="auto"/>
              </w:rPr>
            </w:pPr>
          </w:p>
        </w:tc>
        <w:tc>
          <w:tcPr>
            <w:tcW w:w="820" w:type="dxa"/>
            <w:vAlign w:val="bottom"/>
            <w:tcBorders>
              <w:bottom w:val="single" w:sz="8" w:color="auto"/>
            </w:tcBorders>
            <w:vMerge w:val="continue"/>
            <w:shd w:val="clear" w:color="auto" w:fill="CDEAF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Included in accounts payable, accrued expenses, and other liabilities as of December 31, 2021, 2020, and 2019 were $74.8 million, $83.6 million, and $133.7 million, respectively, of accrued capital expenditures.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50" w:name="page151"/>
    <w:bookmarkEnd w:id="150"/>
    <w:p>
      <w:pPr>
        <w:spacing w:after="0"/>
        <w:rPr>
          <w:sz w:val="20"/>
          <w:szCs w:val="20"/>
          <w:color w:val="auto"/>
        </w:rPr>
      </w:pPr>
      <w:r>
        <w:rPr>
          <w:rFonts w:ascii="Arial" w:cs="Arial" w:eastAsia="Arial" w:hAnsi="Arial"/>
          <w:sz w:val="71"/>
          <w:szCs w:val="71"/>
          <w:b w:val="1"/>
          <w:bCs w:val="1"/>
          <w:color w:val="FFC43D"/>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8722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t>DIRECTORS</w:t>
      </w:r>
    </w:p>
    <w:p>
      <w:pPr>
        <w:sectPr>
          <w:pgSz w:w="11900" w:h="16838" w:orient="portrait"/>
          <w:cols w:equalWidth="0" w:num="1">
            <w:col w:w="10220"/>
          </w:cols>
          <w:pgMar w:left="820" w:top="813" w:right="8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P. Roy Vagelos, M.D.</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(Chair)</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8"/>
          <w:szCs w:val="18"/>
          <w:color w:val="FFFFFF"/>
        </w:rPr>
        <w:t>Former President, Chief Executive Officer, and Chair of the Board of Merck &amp; Co., Inc.</w:t>
      </w:r>
    </w:p>
    <w:p>
      <w:pPr>
        <w:spacing w:after="0" w:line="155"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Bonnie L. Bassler, Ph.D.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FFFFFF"/>
        </w:rPr>
        <w:t>Chair of the Department of Molecular Biology and Squibb Professor in Molecular Biology at Princeton University</w:t>
      </w:r>
    </w:p>
    <w:p>
      <w:pPr>
        <w:spacing w:after="0" w:line="155"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Michael S. Brown, M.D</w:t>
      </w:r>
    </w:p>
    <w:p>
      <w:pPr>
        <w:spacing w:after="0" w:line="3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FFFFFF"/>
        </w:rPr>
        <w:t>Distinguished Chair in Biomedical Sciences and Regental Professor of Molecular Genetics and Internal Medicine and Director of the Jonsson Center for Molecular Genetics at The University of Texas South-western Medical Center at Dallas</w:t>
      </w:r>
    </w:p>
    <w:p>
      <w:pPr>
        <w:spacing w:after="0" w:line="155"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N. Anthony Coles, M.D.</w:t>
      </w:r>
    </w:p>
    <w:p>
      <w:pPr>
        <w:spacing w:after="0" w:line="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FFFFFF"/>
        </w:rPr>
        <w:t>President and Chief Executive Officer and Chair of the Board of Cerevel Therapeutics Holdings, Inc., the parent entity of Cerevel Therapeutics, Inc.</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1"/>
        </w:trPr>
        <w:tc>
          <w:tcPr>
            <w:tcW w:w="3320" w:type="dxa"/>
            <w:vAlign w:val="bottom"/>
          </w:tcPr>
          <w:p>
            <w:pPr>
              <w:spacing w:after="0"/>
              <w:rPr>
                <w:sz w:val="20"/>
                <w:szCs w:val="20"/>
                <w:color w:val="auto"/>
              </w:rPr>
            </w:pPr>
            <w:r>
              <w:rPr>
                <w:rFonts w:ascii="Arial" w:cs="Arial" w:eastAsia="Arial" w:hAnsi="Arial"/>
                <w:sz w:val="27"/>
                <w:szCs w:val="27"/>
                <w:b w:val="1"/>
                <w:bCs w:val="1"/>
                <w:color w:val="FFFFFF"/>
              </w:rPr>
              <w:t>Joseph L. Goldstein,</w:t>
            </w:r>
          </w:p>
        </w:tc>
        <w:tc>
          <w:tcPr>
            <w:tcW w:w="3260" w:type="dxa"/>
            <w:vAlign w:val="bottom"/>
          </w:tcPr>
          <w:p>
            <w:pPr>
              <w:ind w:left="120"/>
              <w:spacing w:after="0"/>
              <w:rPr>
                <w:sz w:val="20"/>
                <w:szCs w:val="20"/>
                <w:color w:val="auto"/>
              </w:rPr>
            </w:pPr>
            <w:r>
              <w:rPr>
                <w:rFonts w:ascii="Arial" w:cs="Arial" w:eastAsia="Arial" w:hAnsi="Arial"/>
                <w:sz w:val="27"/>
                <w:szCs w:val="27"/>
                <w:b w:val="1"/>
                <w:bCs w:val="1"/>
                <w:color w:val="FFFFFF"/>
              </w:rPr>
              <w:t>George L. Sing</w:t>
            </w:r>
          </w:p>
        </w:tc>
        <w:tc>
          <w:tcPr>
            <w:tcW w:w="0" w:type="dxa"/>
            <w:vAlign w:val="bottom"/>
          </w:tcPr>
          <w:p>
            <w:pPr>
              <w:spacing w:after="0"/>
              <w:rPr>
                <w:sz w:val="1"/>
                <w:szCs w:val="1"/>
                <w:color w:val="auto"/>
              </w:rPr>
            </w:pPr>
          </w:p>
        </w:tc>
      </w:tr>
      <w:tr>
        <w:trPr>
          <w:trHeight w:val="237"/>
        </w:trPr>
        <w:tc>
          <w:tcPr>
            <w:tcW w:w="3320" w:type="dxa"/>
            <w:vAlign w:val="bottom"/>
          </w:tcPr>
          <w:p>
            <w:pPr>
              <w:spacing w:after="0" w:line="237" w:lineRule="exact"/>
              <w:rPr>
                <w:sz w:val="20"/>
                <w:szCs w:val="20"/>
                <w:color w:val="auto"/>
              </w:rPr>
            </w:pPr>
            <w:r>
              <w:rPr>
                <w:rFonts w:ascii="Arial" w:cs="Arial" w:eastAsia="Arial" w:hAnsi="Arial"/>
                <w:sz w:val="27"/>
                <w:szCs w:val="27"/>
                <w:b w:val="1"/>
                <w:bCs w:val="1"/>
                <w:color w:val="FFFFFF"/>
              </w:rPr>
              <w:t>M.D.</w:t>
            </w:r>
          </w:p>
        </w:tc>
        <w:tc>
          <w:tcPr>
            <w:tcW w:w="3260" w:type="dxa"/>
            <w:vAlign w:val="bottom"/>
          </w:tcPr>
          <w:p>
            <w:pPr>
              <w:ind w:left="120"/>
              <w:spacing w:after="0"/>
              <w:rPr>
                <w:sz w:val="20"/>
                <w:szCs w:val="20"/>
                <w:color w:val="auto"/>
              </w:rPr>
            </w:pPr>
            <w:r>
              <w:rPr>
                <w:rFonts w:ascii="Arial" w:cs="Arial" w:eastAsia="Arial" w:hAnsi="Arial"/>
                <w:sz w:val="18"/>
                <w:szCs w:val="18"/>
                <w:color w:val="FFFFFF"/>
              </w:rPr>
              <w:t>Chief Executive Officer of GanD, Inc.</w:t>
            </w:r>
          </w:p>
        </w:tc>
        <w:tc>
          <w:tcPr>
            <w:tcW w:w="0" w:type="dxa"/>
            <w:vAlign w:val="bottom"/>
          </w:tcPr>
          <w:p>
            <w:pPr>
              <w:spacing w:after="0"/>
              <w:rPr>
                <w:sz w:val="1"/>
                <w:szCs w:val="1"/>
                <w:color w:val="auto"/>
              </w:rPr>
            </w:pPr>
          </w:p>
        </w:tc>
      </w:tr>
      <w:tr>
        <w:trPr>
          <w:trHeight w:val="217"/>
        </w:trPr>
        <w:tc>
          <w:tcPr>
            <w:tcW w:w="3320" w:type="dxa"/>
            <w:vAlign w:val="bottom"/>
            <w:vMerge w:val="restart"/>
          </w:tcPr>
          <w:p>
            <w:pPr>
              <w:spacing w:after="0"/>
              <w:rPr>
                <w:sz w:val="20"/>
                <w:szCs w:val="20"/>
                <w:color w:val="auto"/>
              </w:rPr>
            </w:pPr>
            <w:r>
              <w:rPr>
                <w:rFonts w:ascii="Arial" w:cs="Arial" w:eastAsia="Arial" w:hAnsi="Arial"/>
                <w:sz w:val="18"/>
                <w:szCs w:val="18"/>
                <w:color w:val="FFFFFF"/>
              </w:rPr>
              <w:t>Professor of Molecular Genetics and</w:t>
            </w:r>
          </w:p>
        </w:tc>
        <w:tc>
          <w:tcPr>
            <w:tcW w:w="3260" w:type="dxa"/>
            <w:vAlign w:val="bottom"/>
          </w:tcPr>
          <w:p>
            <w:pPr>
              <w:ind w:left="120"/>
              <w:spacing w:after="0"/>
              <w:rPr>
                <w:sz w:val="20"/>
                <w:szCs w:val="20"/>
                <w:color w:val="auto"/>
              </w:rPr>
            </w:pPr>
            <w:r>
              <w:rPr>
                <w:rFonts w:ascii="Arial" w:cs="Arial" w:eastAsia="Arial" w:hAnsi="Arial"/>
                <w:sz w:val="18"/>
                <w:szCs w:val="18"/>
                <w:color w:val="FFFFFF"/>
              </w:rPr>
              <w:t>and Chair of Grace Science, LLC</w:t>
            </w:r>
          </w:p>
        </w:tc>
        <w:tc>
          <w:tcPr>
            <w:tcW w:w="0" w:type="dxa"/>
            <w:vAlign w:val="bottom"/>
          </w:tcPr>
          <w:p>
            <w:pPr>
              <w:spacing w:after="0"/>
              <w:rPr>
                <w:sz w:val="1"/>
                <w:szCs w:val="1"/>
                <w:color w:val="auto"/>
              </w:rPr>
            </w:pPr>
          </w:p>
        </w:tc>
      </w:tr>
      <w:tr>
        <w:trPr>
          <w:trHeight w:val="94"/>
        </w:trPr>
        <w:tc>
          <w:tcPr>
            <w:tcW w:w="3320" w:type="dxa"/>
            <w:vAlign w:val="bottom"/>
            <w:vMerge w:val="continue"/>
          </w:tcPr>
          <w:p>
            <w:pPr>
              <w:spacing w:after="0"/>
              <w:rPr>
                <w:sz w:val="8"/>
                <w:szCs w:val="8"/>
                <w:color w:val="auto"/>
              </w:rPr>
            </w:pPr>
          </w:p>
        </w:tc>
        <w:tc>
          <w:tcPr>
            <w:tcW w:w="3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FFFFFF"/>
              </w:rPr>
              <w:t>Internal Medicine and the Chair of the</w:t>
            </w:r>
          </w:p>
        </w:tc>
        <w:tc>
          <w:tcPr>
            <w:tcW w:w="3260" w:type="dxa"/>
            <w:vAlign w:val="bottom"/>
            <w:vMerge w:val="restart"/>
          </w:tcPr>
          <w:p>
            <w:pPr>
              <w:ind w:left="120"/>
              <w:spacing w:after="0"/>
              <w:rPr>
                <w:sz w:val="20"/>
                <w:szCs w:val="20"/>
                <w:color w:val="auto"/>
              </w:rPr>
            </w:pPr>
            <w:r>
              <w:rPr>
                <w:rFonts w:ascii="Arial" w:cs="Arial" w:eastAsia="Arial" w:hAnsi="Arial"/>
                <w:sz w:val="27"/>
                <w:szCs w:val="27"/>
                <w:b w:val="1"/>
                <w:bCs w:val="1"/>
                <w:color w:val="FFFFFF"/>
              </w:rPr>
              <w:t>Marc Tessier-Lavigne,</w:t>
            </w:r>
          </w:p>
        </w:tc>
        <w:tc>
          <w:tcPr>
            <w:tcW w:w="0" w:type="dxa"/>
            <w:vAlign w:val="bottom"/>
          </w:tcPr>
          <w:p>
            <w:pPr>
              <w:spacing w:after="0"/>
              <w:rPr>
                <w:sz w:val="1"/>
                <w:szCs w:val="1"/>
                <w:color w:val="auto"/>
              </w:rPr>
            </w:pPr>
          </w:p>
        </w:tc>
      </w:tr>
      <w:tr>
        <w:trPr>
          <w:trHeight w:val="168"/>
        </w:trPr>
        <w:tc>
          <w:tcPr>
            <w:tcW w:w="3320" w:type="dxa"/>
            <w:vAlign w:val="bottom"/>
          </w:tcPr>
          <w:p>
            <w:pPr>
              <w:spacing w:after="0" w:line="168" w:lineRule="exact"/>
              <w:rPr>
                <w:sz w:val="20"/>
                <w:szCs w:val="20"/>
                <w:color w:val="auto"/>
              </w:rPr>
            </w:pPr>
            <w:r>
              <w:rPr>
                <w:rFonts w:ascii="Arial" w:cs="Arial" w:eastAsia="Arial" w:hAnsi="Arial"/>
                <w:sz w:val="18"/>
                <w:szCs w:val="18"/>
                <w:color w:val="FFFFFF"/>
              </w:rPr>
              <w:t>Department of Molecular Genetics at</w:t>
            </w:r>
          </w:p>
        </w:tc>
        <w:tc>
          <w:tcPr>
            <w:tcW w:w="3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FFFFFF"/>
              </w:rPr>
              <w:t>The University of Texas Southwestern</w:t>
            </w:r>
          </w:p>
        </w:tc>
        <w:tc>
          <w:tcPr>
            <w:tcW w:w="3260" w:type="dxa"/>
            <w:vAlign w:val="bottom"/>
          </w:tcPr>
          <w:p>
            <w:pPr>
              <w:ind w:left="120"/>
              <w:spacing w:after="0" w:line="237" w:lineRule="exact"/>
              <w:rPr>
                <w:sz w:val="20"/>
                <w:szCs w:val="20"/>
                <w:color w:val="auto"/>
              </w:rPr>
            </w:pPr>
            <w:r>
              <w:rPr>
                <w:rFonts w:ascii="Arial" w:cs="Arial" w:eastAsia="Arial" w:hAnsi="Arial"/>
                <w:sz w:val="27"/>
                <w:szCs w:val="27"/>
                <w:b w:val="1"/>
                <w:bCs w:val="1"/>
                <w:color w:val="FFFFFF"/>
              </w:rPr>
              <w:t>Ph.D.</w:t>
            </w:r>
          </w:p>
        </w:tc>
        <w:tc>
          <w:tcPr>
            <w:tcW w:w="0" w:type="dxa"/>
            <w:vAlign w:val="bottom"/>
          </w:tcPr>
          <w:p>
            <w:pPr>
              <w:spacing w:after="0"/>
              <w:rPr>
                <w:sz w:val="1"/>
                <w:szCs w:val="1"/>
                <w:color w:val="auto"/>
              </w:rPr>
            </w:pPr>
          </w:p>
        </w:tc>
      </w:tr>
      <w:tr>
        <w:trPr>
          <w:trHeight w:val="217"/>
        </w:trPr>
        <w:tc>
          <w:tcPr>
            <w:tcW w:w="3320" w:type="dxa"/>
            <w:vAlign w:val="bottom"/>
          </w:tcPr>
          <w:p>
            <w:pPr>
              <w:spacing w:after="0"/>
              <w:rPr>
                <w:sz w:val="20"/>
                <w:szCs w:val="20"/>
                <w:color w:val="auto"/>
              </w:rPr>
            </w:pPr>
            <w:r>
              <w:rPr>
                <w:rFonts w:ascii="Arial" w:cs="Arial" w:eastAsia="Arial" w:hAnsi="Arial"/>
                <w:sz w:val="18"/>
                <w:szCs w:val="18"/>
                <w:color w:val="FFFFFF"/>
              </w:rPr>
              <w:t>Medical Center at Dallas</w:t>
            </w:r>
          </w:p>
        </w:tc>
        <w:tc>
          <w:tcPr>
            <w:tcW w:w="3260" w:type="dxa"/>
            <w:vAlign w:val="bottom"/>
            <w:vMerge w:val="restart"/>
          </w:tcPr>
          <w:p>
            <w:pPr>
              <w:ind w:left="120"/>
              <w:spacing w:after="0"/>
              <w:rPr>
                <w:sz w:val="20"/>
                <w:szCs w:val="20"/>
                <w:color w:val="auto"/>
              </w:rPr>
            </w:pPr>
            <w:r>
              <w:rPr>
                <w:rFonts w:ascii="Arial" w:cs="Arial" w:eastAsia="Arial" w:hAnsi="Arial"/>
                <w:sz w:val="18"/>
                <w:szCs w:val="18"/>
                <w:color w:val="FFFFFF"/>
              </w:rPr>
              <w:t>President of Stanford University</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3320" w:type="dxa"/>
            <w:vAlign w:val="bottom"/>
          </w:tcPr>
          <w:p>
            <w:pPr>
              <w:spacing w:after="0"/>
              <w:rPr>
                <w:sz w:val="20"/>
                <w:szCs w:val="20"/>
                <w:color w:val="auto"/>
              </w:rPr>
            </w:pPr>
            <w:r>
              <w:rPr>
                <w:rFonts w:ascii="Arial" w:cs="Arial" w:eastAsia="Arial" w:hAnsi="Arial"/>
                <w:sz w:val="27"/>
                <w:szCs w:val="27"/>
                <w:b w:val="1"/>
                <w:bCs w:val="1"/>
                <w:color w:val="FFFFFF"/>
              </w:rPr>
              <w:t>Christine A. Poon</w:t>
            </w:r>
          </w:p>
        </w:tc>
        <w:tc>
          <w:tcPr>
            <w:tcW w:w="3260" w:type="dxa"/>
            <w:vAlign w:val="bottom"/>
            <w:vMerge w:val="restart"/>
          </w:tcPr>
          <w:p>
            <w:pPr>
              <w:ind w:left="120"/>
              <w:spacing w:after="0"/>
              <w:rPr>
                <w:sz w:val="20"/>
                <w:szCs w:val="20"/>
                <w:color w:val="auto"/>
              </w:rPr>
            </w:pPr>
            <w:r>
              <w:rPr>
                <w:rFonts w:ascii="Arial" w:cs="Arial" w:eastAsia="Arial" w:hAnsi="Arial"/>
                <w:sz w:val="27"/>
                <w:szCs w:val="27"/>
                <w:b w:val="1"/>
                <w:bCs w:val="1"/>
                <w:color w:val="FFFFFF"/>
                <w:w w:val="99"/>
              </w:rPr>
              <w:t>George D. Yancopoulos,</w:t>
            </w:r>
          </w:p>
        </w:tc>
        <w:tc>
          <w:tcPr>
            <w:tcW w:w="0" w:type="dxa"/>
            <w:vAlign w:val="bottom"/>
          </w:tcPr>
          <w:p>
            <w:pPr>
              <w:spacing w:after="0"/>
              <w:rPr>
                <w:sz w:val="1"/>
                <w:szCs w:val="1"/>
                <w:color w:val="auto"/>
              </w:rPr>
            </w:pPr>
          </w:p>
        </w:tc>
      </w:tr>
      <w:tr>
        <w:trPr>
          <w:trHeight w:val="163"/>
        </w:trPr>
        <w:tc>
          <w:tcPr>
            <w:tcW w:w="3320" w:type="dxa"/>
            <w:vAlign w:val="bottom"/>
          </w:tcPr>
          <w:p>
            <w:pPr>
              <w:spacing w:after="0" w:line="163" w:lineRule="exact"/>
              <w:rPr>
                <w:sz w:val="20"/>
                <w:szCs w:val="20"/>
                <w:color w:val="auto"/>
              </w:rPr>
            </w:pPr>
            <w:r>
              <w:rPr>
                <w:rFonts w:ascii="Arial" w:cs="Arial" w:eastAsia="Arial" w:hAnsi="Arial"/>
                <w:sz w:val="18"/>
                <w:szCs w:val="18"/>
                <w:color w:val="FFFFFF"/>
              </w:rPr>
              <w:t>Former Vice Chair and Worldwide Chair</w:t>
            </w:r>
          </w:p>
        </w:tc>
        <w:tc>
          <w:tcPr>
            <w:tcW w:w="3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0"/>
                <w:szCs w:val="20"/>
                <w:color w:val="auto"/>
              </w:rPr>
            </w:pPr>
            <w:r>
              <w:rPr>
                <w:rFonts w:ascii="Arial" w:cs="Arial" w:eastAsia="Arial" w:hAnsi="Arial"/>
                <w:sz w:val="18"/>
                <w:szCs w:val="18"/>
                <w:color w:val="FFFFFF"/>
              </w:rPr>
              <w:t>of Pharmaceuticals at Johnson &amp;</w:t>
            </w:r>
          </w:p>
        </w:tc>
        <w:tc>
          <w:tcPr>
            <w:tcW w:w="3260" w:type="dxa"/>
            <w:vAlign w:val="bottom"/>
          </w:tcPr>
          <w:p>
            <w:pPr>
              <w:ind w:left="120"/>
              <w:spacing w:after="0" w:line="242" w:lineRule="exact"/>
              <w:rPr>
                <w:sz w:val="20"/>
                <w:szCs w:val="20"/>
                <w:color w:val="auto"/>
              </w:rPr>
            </w:pPr>
            <w:r>
              <w:rPr>
                <w:rFonts w:ascii="Arial" w:cs="Arial" w:eastAsia="Arial" w:hAnsi="Arial"/>
                <w:sz w:val="27"/>
                <w:szCs w:val="27"/>
                <w:b w:val="1"/>
                <w:bCs w:val="1"/>
                <w:color w:val="FFFFFF"/>
              </w:rPr>
              <w:t>M.D., Ph.D.</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FFFFFF"/>
              </w:rPr>
              <w:t>Johnson</w:t>
            </w:r>
          </w:p>
        </w:tc>
        <w:tc>
          <w:tcPr>
            <w:tcW w:w="3260" w:type="dxa"/>
            <w:vAlign w:val="bottom"/>
          </w:tcPr>
          <w:p>
            <w:pPr>
              <w:ind w:left="120"/>
              <w:spacing w:after="0"/>
              <w:rPr>
                <w:sz w:val="20"/>
                <w:szCs w:val="20"/>
                <w:color w:val="auto"/>
              </w:rPr>
            </w:pPr>
            <w:r>
              <w:rPr>
                <w:rFonts w:ascii="Arial" w:cs="Arial" w:eastAsia="Arial" w:hAnsi="Arial"/>
                <w:sz w:val="18"/>
                <w:szCs w:val="18"/>
                <w:color w:val="FFFFFF"/>
                <w:w w:val="99"/>
              </w:rPr>
              <w:t>President and Chief Scientific Officer of</w:t>
            </w:r>
          </w:p>
        </w:tc>
        <w:tc>
          <w:tcPr>
            <w:tcW w:w="0" w:type="dxa"/>
            <w:vAlign w:val="bottom"/>
          </w:tcPr>
          <w:p>
            <w:pPr>
              <w:spacing w:after="0"/>
              <w:rPr>
                <w:sz w:val="1"/>
                <w:szCs w:val="1"/>
                <w:color w:val="auto"/>
              </w:rPr>
            </w:pPr>
          </w:p>
        </w:tc>
      </w:tr>
      <w:tr>
        <w:trPr>
          <w:trHeight w:val="217"/>
        </w:trPr>
        <w:tc>
          <w:tcPr>
            <w:tcW w:w="3320" w:type="dxa"/>
            <w:vAlign w:val="bottom"/>
            <w:vMerge w:val="restart"/>
          </w:tcPr>
          <w:p>
            <w:pPr>
              <w:spacing w:after="0"/>
              <w:rPr>
                <w:sz w:val="20"/>
                <w:szCs w:val="20"/>
                <w:color w:val="auto"/>
              </w:rPr>
            </w:pPr>
            <w:r>
              <w:rPr>
                <w:rFonts w:ascii="Arial" w:cs="Arial" w:eastAsia="Arial" w:hAnsi="Arial"/>
                <w:sz w:val="27"/>
                <w:szCs w:val="27"/>
                <w:b w:val="1"/>
                <w:bCs w:val="1"/>
                <w:color w:val="FFFFFF"/>
              </w:rPr>
              <w:t>Arthur F. Ryan</w:t>
            </w:r>
          </w:p>
        </w:tc>
        <w:tc>
          <w:tcPr>
            <w:tcW w:w="3260" w:type="dxa"/>
            <w:vAlign w:val="bottom"/>
          </w:tcPr>
          <w:p>
            <w:pPr>
              <w:ind w:left="120"/>
              <w:spacing w:after="0"/>
              <w:rPr>
                <w:sz w:val="20"/>
                <w:szCs w:val="20"/>
                <w:color w:val="auto"/>
              </w:rPr>
            </w:pPr>
            <w:r>
              <w:rPr>
                <w:rFonts w:ascii="Arial" w:cs="Arial" w:eastAsia="Arial" w:hAnsi="Arial"/>
                <w:sz w:val="18"/>
                <w:szCs w:val="18"/>
                <w:color w:val="FFFFFF"/>
              </w:rPr>
              <w:t>Regeneron Pharmaceuticals, Inc.</w:t>
            </w:r>
          </w:p>
        </w:tc>
        <w:tc>
          <w:tcPr>
            <w:tcW w:w="0" w:type="dxa"/>
            <w:vAlign w:val="bottom"/>
          </w:tcPr>
          <w:p>
            <w:pPr>
              <w:spacing w:after="0"/>
              <w:rPr>
                <w:sz w:val="1"/>
                <w:szCs w:val="1"/>
                <w:color w:val="auto"/>
              </w:rPr>
            </w:pPr>
          </w:p>
        </w:tc>
      </w:tr>
      <w:tr>
        <w:trPr>
          <w:trHeight w:val="283"/>
        </w:trPr>
        <w:tc>
          <w:tcPr>
            <w:tcW w:w="3320" w:type="dxa"/>
            <w:vAlign w:val="bottom"/>
            <w:vMerge w:val="continue"/>
          </w:tcPr>
          <w:p>
            <w:pPr>
              <w:spacing w:after="0"/>
              <w:rPr>
                <w:sz w:val="24"/>
                <w:szCs w:val="24"/>
                <w:color w:val="auto"/>
              </w:rPr>
            </w:pPr>
          </w:p>
        </w:tc>
        <w:tc>
          <w:tcPr>
            <w:tcW w:w="3260" w:type="dxa"/>
            <w:vAlign w:val="bottom"/>
            <w:vMerge w:val="restart"/>
          </w:tcPr>
          <w:p>
            <w:pPr>
              <w:ind w:left="120"/>
              <w:spacing w:after="0"/>
              <w:rPr>
                <w:sz w:val="20"/>
                <w:szCs w:val="20"/>
                <w:color w:val="auto"/>
              </w:rPr>
            </w:pPr>
            <w:r>
              <w:rPr>
                <w:rFonts w:ascii="Arial" w:cs="Arial" w:eastAsia="Arial" w:hAnsi="Arial"/>
                <w:sz w:val="27"/>
                <w:szCs w:val="27"/>
                <w:b w:val="1"/>
                <w:bCs w:val="1"/>
                <w:color w:val="FFFFFF"/>
              </w:rPr>
              <w:t>Huda Y. Zoghbi, M.D.</w:t>
            </w:r>
          </w:p>
        </w:tc>
        <w:tc>
          <w:tcPr>
            <w:tcW w:w="0" w:type="dxa"/>
            <w:vAlign w:val="bottom"/>
          </w:tcPr>
          <w:p>
            <w:pPr>
              <w:spacing w:after="0"/>
              <w:rPr>
                <w:sz w:val="1"/>
                <w:szCs w:val="1"/>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FFFFFF"/>
              </w:rPr>
              <w:t>Former Chief Executive Officer and</w:t>
            </w: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FFFFFF"/>
              </w:rPr>
              <w:t>Chair of the Board of Prudential</w:t>
            </w:r>
          </w:p>
        </w:tc>
        <w:tc>
          <w:tcPr>
            <w:tcW w:w="3260" w:type="dxa"/>
            <w:vAlign w:val="bottom"/>
          </w:tcPr>
          <w:p>
            <w:pPr>
              <w:ind w:left="120"/>
              <w:spacing w:after="0" w:line="202" w:lineRule="exact"/>
              <w:rPr>
                <w:sz w:val="20"/>
                <w:szCs w:val="20"/>
                <w:color w:val="auto"/>
              </w:rPr>
            </w:pPr>
            <w:r>
              <w:rPr>
                <w:rFonts w:ascii="Arial" w:cs="Arial" w:eastAsia="Arial" w:hAnsi="Arial"/>
                <w:sz w:val="18"/>
                <w:szCs w:val="18"/>
                <w:color w:val="FFFFFF"/>
              </w:rPr>
              <w:t>Professor in the Departments of</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FFFFFF"/>
              </w:rPr>
              <w:t>Financial, Inc.</w:t>
            </w:r>
          </w:p>
        </w:tc>
        <w:tc>
          <w:tcPr>
            <w:tcW w:w="3260" w:type="dxa"/>
            <w:vAlign w:val="bottom"/>
          </w:tcPr>
          <w:p>
            <w:pPr>
              <w:ind w:left="120"/>
              <w:spacing w:after="0"/>
              <w:rPr>
                <w:sz w:val="20"/>
                <w:szCs w:val="20"/>
                <w:color w:val="auto"/>
              </w:rPr>
            </w:pPr>
            <w:r>
              <w:rPr>
                <w:rFonts w:ascii="Arial" w:cs="Arial" w:eastAsia="Arial" w:hAnsi="Arial"/>
                <w:sz w:val="18"/>
                <w:szCs w:val="18"/>
                <w:color w:val="FFFFFF"/>
              </w:rPr>
              <w:t>Pediatrics, Molecular and Human</w:t>
            </w:r>
          </w:p>
        </w:tc>
        <w:tc>
          <w:tcPr>
            <w:tcW w:w="0" w:type="dxa"/>
            <w:vAlign w:val="bottom"/>
          </w:tcPr>
          <w:p>
            <w:pPr>
              <w:spacing w:after="0"/>
              <w:rPr>
                <w:sz w:val="1"/>
                <w:szCs w:val="1"/>
                <w:color w:val="auto"/>
              </w:rPr>
            </w:pPr>
          </w:p>
        </w:tc>
      </w:tr>
      <w:tr>
        <w:trPr>
          <w:trHeight w:val="203"/>
        </w:trPr>
        <w:tc>
          <w:tcPr>
            <w:tcW w:w="3320" w:type="dxa"/>
            <w:vAlign w:val="bottom"/>
            <w:vMerge w:val="restart"/>
          </w:tcPr>
          <w:p>
            <w:pPr>
              <w:spacing w:after="0"/>
              <w:rPr>
                <w:sz w:val="20"/>
                <w:szCs w:val="20"/>
                <w:color w:val="auto"/>
              </w:rPr>
            </w:pPr>
            <w:r>
              <w:rPr>
                <w:rFonts w:ascii="Arial" w:cs="Arial" w:eastAsia="Arial" w:hAnsi="Arial"/>
                <w:sz w:val="27"/>
                <w:szCs w:val="27"/>
                <w:b w:val="1"/>
                <w:bCs w:val="1"/>
                <w:color w:val="FFFFFF"/>
              </w:rPr>
              <w:t>Leonard S. Schleifer,</w:t>
            </w:r>
          </w:p>
        </w:tc>
        <w:tc>
          <w:tcPr>
            <w:tcW w:w="3260" w:type="dxa"/>
            <w:vAlign w:val="bottom"/>
          </w:tcPr>
          <w:p>
            <w:pPr>
              <w:ind w:left="120"/>
              <w:spacing w:after="0" w:line="202" w:lineRule="exact"/>
              <w:rPr>
                <w:sz w:val="20"/>
                <w:szCs w:val="20"/>
                <w:color w:val="auto"/>
              </w:rPr>
            </w:pPr>
            <w:r>
              <w:rPr>
                <w:rFonts w:ascii="Arial" w:cs="Arial" w:eastAsia="Arial" w:hAnsi="Arial"/>
                <w:sz w:val="18"/>
                <w:szCs w:val="18"/>
                <w:color w:val="FFFFFF"/>
              </w:rPr>
              <w:t>Genetics, and Neurology and</w:t>
            </w:r>
          </w:p>
        </w:tc>
        <w:tc>
          <w:tcPr>
            <w:tcW w:w="0" w:type="dxa"/>
            <w:vAlign w:val="bottom"/>
          </w:tcPr>
          <w:p>
            <w:pPr>
              <w:spacing w:after="0"/>
              <w:rPr>
                <w:sz w:val="1"/>
                <w:szCs w:val="1"/>
                <w:color w:val="auto"/>
              </w:rPr>
            </w:pPr>
          </w:p>
        </w:tc>
      </w:tr>
      <w:tr>
        <w:trPr>
          <w:trHeight w:val="230"/>
        </w:trPr>
        <w:tc>
          <w:tcPr>
            <w:tcW w:w="3320" w:type="dxa"/>
            <w:vAlign w:val="bottom"/>
            <w:vMerge w:val="continue"/>
          </w:tcPr>
          <w:p>
            <w:pPr>
              <w:spacing w:after="0"/>
              <w:rPr>
                <w:sz w:val="20"/>
                <w:szCs w:val="20"/>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FFFFFF"/>
              </w:rPr>
              <w:t>Neuroscience at Baylor College of</w:t>
            </w:r>
          </w:p>
        </w:tc>
        <w:tc>
          <w:tcPr>
            <w:tcW w:w="0" w:type="dxa"/>
            <w:vAlign w:val="bottom"/>
          </w:tcPr>
          <w:p>
            <w:pPr>
              <w:spacing w:after="0"/>
              <w:rPr>
                <w:sz w:val="1"/>
                <w:szCs w:val="1"/>
                <w:color w:val="auto"/>
              </w:rPr>
            </w:pPr>
          </w:p>
        </w:tc>
      </w:tr>
      <w:tr>
        <w:trPr>
          <w:trHeight w:val="217"/>
        </w:trPr>
        <w:tc>
          <w:tcPr>
            <w:tcW w:w="3320" w:type="dxa"/>
            <w:vAlign w:val="bottom"/>
            <w:vMerge w:val="restart"/>
          </w:tcPr>
          <w:p>
            <w:pPr>
              <w:spacing w:after="0"/>
              <w:rPr>
                <w:sz w:val="20"/>
                <w:szCs w:val="20"/>
                <w:color w:val="auto"/>
              </w:rPr>
            </w:pPr>
            <w:r>
              <w:rPr>
                <w:rFonts w:ascii="Arial" w:cs="Arial" w:eastAsia="Arial" w:hAnsi="Arial"/>
                <w:sz w:val="27"/>
                <w:szCs w:val="27"/>
                <w:b w:val="1"/>
                <w:bCs w:val="1"/>
                <w:color w:val="FFFFFF"/>
              </w:rPr>
              <w:t>M.D., Ph.D.</w:t>
            </w:r>
          </w:p>
        </w:tc>
        <w:tc>
          <w:tcPr>
            <w:tcW w:w="3260" w:type="dxa"/>
            <w:vAlign w:val="bottom"/>
          </w:tcPr>
          <w:p>
            <w:pPr>
              <w:ind w:left="120"/>
              <w:spacing w:after="0"/>
              <w:rPr>
                <w:sz w:val="20"/>
                <w:szCs w:val="20"/>
                <w:color w:val="auto"/>
              </w:rPr>
            </w:pPr>
            <w:r>
              <w:rPr>
                <w:rFonts w:ascii="Arial" w:cs="Arial" w:eastAsia="Arial" w:hAnsi="Arial"/>
                <w:sz w:val="18"/>
                <w:szCs w:val="18"/>
                <w:color w:val="FFFFFF"/>
              </w:rPr>
              <w:t>Medicine</w:t>
            </w:r>
          </w:p>
        </w:tc>
        <w:tc>
          <w:tcPr>
            <w:tcW w:w="0" w:type="dxa"/>
            <w:vAlign w:val="bottom"/>
          </w:tcPr>
          <w:p>
            <w:pPr>
              <w:spacing w:after="0"/>
              <w:rPr>
                <w:sz w:val="1"/>
                <w:szCs w:val="1"/>
                <w:color w:val="auto"/>
              </w:rPr>
            </w:pPr>
          </w:p>
        </w:tc>
      </w:tr>
      <w:tr>
        <w:trPr>
          <w:trHeight w:val="160"/>
        </w:trPr>
        <w:tc>
          <w:tcPr>
            <w:tcW w:w="3320" w:type="dxa"/>
            <w:vAlign w:val="bottom"/>
            <w:vMerge w:val="continue"/>
          </w:tcPr>
          <w:p>
            <w:pPr>
              <w:spacing w:after="0"/>
              <w:rPr>
                <w:sz w:val="13"/>
                <w:szCs w:val="13"/>
                <w:color w:val="auto"/>
              </w:rPr>
            </w:pPr>
          </w:p>
        </w:tc>
        <w:tc>
          <w:tcPr>
            <w:tcW w:w="3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FFFFFF"/>
              </w:rPr>
              <w:t>President and Chief Executive Officer of</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20" w:type="dxa"/>
            <w:vAlign w:val="bottom"/>
          </w:tcPr>
          <w:p>
            <w:pPr>
              <w:spacing w:after="0"/>
              <w:rPr>
                <w:sz w:val="20"/>
                <w:szCs w:val="20"/>
                <w:color w:val="auto"/>
              </w:rPr>
            </w:pPr>
            <w:r>
              <w:rPr>
                <w:rFonts w:ascii="Arial" w:cs="Arial" w:eastAsia="Arial" w:hAnsi="Arial"/>
                <w:sz w:val="18"/>
                <w:szCs w:val="18"/>
                <w:color w:val="FFFFFF"/>
              </w:rPr>
              <w:t>Regeneron Pharmaceuticals, Inc.</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06" w:lineRule="exact"/>
        <w:rPr>
          <w:sz w:val="20"/>
          <w:szCs w:val="20"/>
          <w:color w:val="auto"/>
        </w:rPr>
      </w:pPr>
    </w:p>
    <w:p>
      <w:pPr>
        <w:sectPr>
          <w:pgSz w:w="11900" w:h="16838" w:orient="portrait"/>
          <w:cols w:equalWidth="0" w:num="2">
            <w:col w:w="3380" w:space="240"/>
            <w:col w:w="6600"/>
          </w:cols>
          <w:pgMar w:left="820" w:top="813" w:right="859" w:bottom="1440" w:gutter="0" w:footer="0" w:header="0"/>
          <w:type w:val="continuous"/>
        </w:sectPr>
      </w:pPr>
    </w:p>
    <w:p>
      <w:pPr>
        <w:spacing w:after="0"/>
        <w:rPr>
          <w:sz w:val="20"/>
          <w:szCs w:val="20"/>
          <w:color w:val="auto"/>
        </w:rPr>
      </w:pPr>
      <w:r>
        <w:rPr>
          <w:rFonts w:ascii="Arial" w:cs="Arial" w:eastAsia="Arial" w:hAnsi="Arial"/>
          <w:sz w:val="72"/>
          <w:szCs w:val="72"/>
          <w:b w:val="1"/>
          <w:bCs w:val="1"/>
          <w:color w:val="FFC43D"/>
        </w:rPr>
        <w:t>EXECUTIVE OFFICERS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500" w:type="dxa"/>
            <w:vAlign w:val="bottom"/>
          </w:tcPr>
          <w:p>
            <w:pPr>
              <w:spacing w:after="0"/>
              <w:rPr>
                <w:sz w:val="20"/>
                <w:szCs w:val="20"/>
                <w:color w:val="auto"/>
              </w:rPr>
            </w:pPr>
            <w:r>
              <w:rPr>
                <w:rFonts w:ascii="Arial" w:cs="Arial" w:eastAsia="Arial" w:hAnsi="Arial"/>
                <w:sz w:val="27"/>
                <w:szCs w:val="27"/>
                <w:b w:val="1"/>
                <w:bCs w:val="1"/>
                <w:color w:val="FFFFFF"/>
              </w:rPr>
              <w:t>Leonard S. Schleifer, M.D.,</w:t>
            </w:r>
          </w:p>
        </w:tc>
        <w:tc>
          <w:tcPr>
            <w:tcW w:w="3380" w:type="dxa"/>
            <w:vAlign w:val="bottom"/>
          </w:tcPr>
          <w:p>
            <w:pPr>
              <w:ind w:left="120"/>
              <w:spacing w:after="0"/>
              <w:rPr>
                <w:sz w:val="20"/>
                <w:szCs w:val="20"/>
                <w:color w:val="auto"/>
              </w:rPr>
            </w:pPr>
            <w:r>
              <w:rPr>
                <w:rFonts w:ascii="Arial" w:cs="Arial" w:eastAsia="Arial" w:hAnsi="Arial"/>
                <w:sz w:val="27"/>
                <w:szCs w:val="27"/>
                <w:b w:val="1"/>
                <w:bCs w:val="1"/>
                <w:color w:val="FFFFFF"/>
              </w:rPr>
              <w:t>Robert E. Landry</w:t>
            </w:r>
          </w:p>
        </w:tc>
        <w:tc>
          <w:tcPr>
            <w:tcW w:w="3340" w:type="dxa"/>
            <w:vAlign w:val="bottom"/>
          </w:tcPr>
          <w:p>
            <w:pPr>
              <w:ind w:left="180"/>
              <w:spacing w:after="0"/>
              <w:rPr>
                <w:sz w:val="20"/>
                <w:szCs w:val="20"/>
                <w:color w:val="auto"/>
              </w:rPr>
            </w:pPr>
            <w:r>
              <w:rPr>
                <w:rFonts w:ascii="Arial" w:cs="Arial" w:eastAsia="Arial" w:hAnsi="Arial"/>
                <w:sz w:val="27"/>
                <w:szCs w:val="27"/>
                <w:b w:val="1"/>
                <w:bCs w:val="1"/>
                <w:color w:val="FFFFFF"/>
                <w:w w:val="98"/>
              </w:rPr>
              <w:t>Andrew J. Murphy, Ph.D.</w:t>
            </w:r>
          </w:p>
        </w:tc>
        <w:tc>
          <w:tcPr>
            <w:tcW w:w="0" w:type="dxa"/>
            <w:vAlign w:val="bottom"/>
          </w:tcPr>
          <w:p>
            <w:pPr>
              <w:spacing w:after="0"/>
              <w:rPr>
                <w:sz w:val="1"/>
                <w:szCs w:val="1"/>
                <w:color w:val="auto"/>
              </w:rPr>
            </w:pPr>
          </w:p>
        </w:tc>
      </w:tr>
      <w:tr>
        <w:trPr>
          <w:trHeight w:val="237"/>
        </w:trPr>
        <w:tc>
          <w:tcPr>
            <w:tcW w:w="3500" w:type="dxa"/>
            <w:vAlign w:val="bottom"/>
          </w:tcPr>
          <w:p>
            <w:pPr>
              <w:spacing w:after="0" w:line="237" w:lineRule="exact"/>
              <w:rPr>
                <w:sz w:val="20"/>
                <w:szCs w:val="20"/>
                <w:color w:val="auto"/>
              </w:rPr>
            </w:pPr>
            <w:r>
              <w:rPr>
                <w:rFonts w:ascii="Arial" w:cs="Arial" w:eastAsia="Arial" w:hAnsi="Arial"/>
                <w:sz w:val="27"/>
                <w:szCs w:val="27"/>
                <w:b w:val="1"/>
                <w:bCs w:val="1"/>
                <w:color w:val="FFFFFF"/>
              </w:rPr>
              <w:t>Ph.D.</w:t>
            </w:r>
          </w:p>
        </w:tc>
        <w:tc>
          <w:tcPr>
            <w:tcW w:w="3380" w:type="dxa"/>
            <w:vAlign w:val="bottom"/>
          </w:tcPr>
          <w:p>
            <w:pPr>
              <w:ind w:left="120"/>
              <w:spacing w:after="0"/>
              <w:rPr>
                <w:sz w:val="20"/>
                <w:szCs w:val="20"/>
                <w:color w:val="auto"/>
              </w:rPr>
            </w:pPr>
            <w:r>
              <w:rPr>
                <w:rFonts w:ascii="Arial" w:cs="Arial" w:eastAsia="Arial" w:hAnsi="Arial"/>
                <w:sz w:val="18"/>
                <w:szCs w:val="18"/>
                <w:color w:val="FFFFFF"/>
              </w:rPr>
              <w:t>Executive Vice President, Finance and</w:t>
            </w:r>
          </w:p>
        </w:tc>
        <w:tc>
          <w:tcPr>
            <w:tcW w:w="3340" w:type="dxa"/>
            <w:vAlign w:val="bottom"/>
          </w:tcPr>
          <w:p>
            <w:pPr>
              <w:ind w:left="180"/>
              <w:spacing w:after="0"/>
              <w:rPr>
                <w:sz w:val="20"/>
                <w:szCs w:val="20"/>
                <w:color w:val="auto"/>
              </w:rPr>
            </w:pPr>
            <w:r>
              <w:rPr>
                <w:rFonts w:ascii="Arial" w:cs="Arial" w:eastAsia="Arial" w:hAnsi="Arial"/>
                <w:sz w:val="18"/>
                <w:szCs w:val="18"/>
                <w:color w:val="FFFFFF"/>
              </w:rPr>
              <w:t>Executive Vice President, Research</w:t>
            </w:r>
          </w:p>
        </w:tc>
        <w:tc>
          <w:tcPr>
            <w:tcW w:w="0" w:type="dxa"/>
            <w:vAlign w:val="bottom"/>
          </w:tcPr>
          <w:p>
            <w:pPr>
              <w:spacing w:after="0"/>
              <w:rPr>
                <w:sz w:val="1"/>
                <w:szCs w:val="1"/>
                <w:color w:val="auto"/>
              </w:rPr>
            </w:pPr>
          </w:p>
        </w:tc>
      </w:tr>
      <w:tr>
        <w:trPr>
          <w:trHeight w:val="217"/>
        </w:trPr>
        <w:tc>
          <w:tcPr>
            <w:tcW w:w="3500" w:type="dxa"/>
            <w:vAlign w:val="bottom"/>
            <w:vMerge w:val="restart"/>
          </w:tcPr>
          <w:p>
            <w:pPr>
              <w:spacing w:after="0"/>
              <w:rPr>
                <w:sz w:val="20"/>
                <w:szCs w:val="20"/>
                <w:color w:val="auto"/>
              </w:rPr>
            </w:pPr>
            <w:r>
              <w:rPr>
                <w:rFonts w:ascii="Arial" w:cs="Arial" w:eastAsia="Arial" w:hAnsi="Arial"/>
                <w:sz w:val="18"/>
                <w:szCs w:val="18"/>
                <w:color w:val="FFFFFF"/>
              </w:rPr>
              <w:t>President and Chief Executive Officer</w:t>
            </w:r>
          </w:p>
        </w:tc>
        <w:tc>
          <w:tcPr>
            <w:tcW w:w="3380" w:type="dxa"/>
            <w:vAlign w:val="bottom"/>
          </w:tcPr>
          <w:p>
            <w:pPr>
              <w:ind w:left="120"/>
              <w:spacing w:after="0"/>
              <w:rPr>
                <w:sz w:val="20"/>
                <w:szCs w:val="20"/>
                <w:color w:val="auto"/>
              </w:rPr>
            </w:pPr>
            <w:r>
              <w:rPr>
                <w:rFonts w:ascii="Arial" w:cs="Arial" w:eastAsia="Arial" w:hAnsi="Arial"/>
                <w:sz w:val="18"/>
                <w:szCs w:val="18"/>
                <w:color w:val="FFFFFF"/>
              </w:rPr>
              <w:t>Chief Financial Officer</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00" w:type="dxa"/>
            <w:vAlign w:val="bottom"/>
            <w:vMerge w:val="continue"/>
          </w:tcPr>
          <w:p>
            <w:pPr>
              <w:spacing w:after="0"/>
              <w:rPr>
                <w:sz w:val="9"/>
                <w:szCs w:val="9"/>
                <w:color w:val="auto"/>
              </w:rPr>
            </w:pPr>
          </w:p>
        </w:tc>
        <w:tc>
          <w:tcPr>
            <w:tcW w:w="33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3500" w:type="dxa"/>
            <w:vAlign w:val="bottom"/>
          </w:tcPr>
          <w:p>
            <w:pPr>
              <w:spacing w:after="0"/>
              <w:rPr>
                <w:sz w:val="20"/>
                <w:szCs w:val="20"/>
                <w:color w:val="auto"/>
              </w:rPr>
            </w:pPr>
            <w:r>
              <w:rPr>
                <w:rFonts w:ascii="Arial" w:cs="Arial" w:eastAsia="Arial" w:hAnsi="Arial"/>
                <w:sz w:val="27"/>
                <w:szCs w:val="27"/>
                <w:b w:val="1"/>
                <w:bCs w:val="1"/>
                <w:color w:val="FFFFFF"/>
              </w:rPr>
              <w:t>George D. Yancopoulos,</w:t>
            </w:r>
          </w:p>
        </w:tc>
        <w:tc>
          <w:tcPr>
            <w:tcW w:w="3380" w:type="dxa"/>
            <w:vAlign w:val="bottom"/>
          </w:tcPr>
          <w:p>
            <w:pPr>
              <w:ind w:left="120"/>
              <w:spacing w:after="0"/>
              <w:rPr>
                <w:sz w:val="20"/>
                <w:szCs w:val="20"/>
                <w:color w:val="auto"/>
              </w:rPr>
            </w:pPr>
            <w:r>
              <w:rPr>
                <w:rFonts w:ascii="Arial" w:cs="Arial" w:eastAsia="Arial" w:hAnsi="Arial"/>
                <w:sz w:val="27"/>
                <w:szCs w:val="27"/>
                <w:b w:val="1"/>
                <w:bCs w:val="1"/>
                <w:color w:val="FFFFFF"/>
              </w:rPr>
              <w:t>Joseph J. LaRosa</w:t>
            </w:r>
          </w:p>
        </w:tc>
        <w:tc>
          <w:tcPr>
            <w:tcW w:w="3340" w:type="dxa"/>
            <w:vAlign w:val="bottom"/>
          </w:tcPr>
          <w:p>
            <w:pPr>
              <w:ind w:left="180"/>
              <w:spacing w:after="0"/>
              <w:rPr>
                <w:sz w:val="20"/>
                <w:szCs w:val="20"/>
                <w:color w:val="auto"/>
              </w:rPr>
            </w:pPr>
            <w:r>
              <w:rPr>
                <w:rFonts w:ascii="Arial" w:cs="Arial" w:eastAsia="Arial" w:hAnsi="Arial"/>
                <w:sz w:val="27"/>
                <w:szCs w:val="27"/>
                <w:b w:val="1"/>
                <w:bCs w:val="1"/>
                <w:color w:val="FFFFFF"/>
              </w:rPr>
              <w:t>Neil Stahl, Ph.D.</w:t>
            </w:r>
          </w:p>
        </w:tc>
        <w:tc>
          <w:tcPr>
            <w:tcW w:w="0" w:type="dxa"/>
            <w:vAlign w:val="bottom"/>
          </w:tcPr>
          <w:p>
            <w:pPr>
              <w:spacing w:after="0"/>
              <w:rPr>
                <w:sz w:val="1"/>
                <w:szCs w:val="1"/>
                <w:color w:val="auto"/>
              </w:rPr>
            </w:pPr>
          </w:p>
        </w:tc>
      </w:tr>
      <w:tr>
        <w:trPr>
          <w:trHeight w:val="237"/>
        </w:trPr>
        <w:tc>
          <w:tcPr>
            <w:tcW w:w="3500" w:type="dxa"/>
            <w:vAlign w:val="bottom"/>
          </w:tcPr>
          <w:p>
            <w:pPr>
              <w:spacing w:after="0" w:line="237" w:lineRule="exact"/>
              <w:rPr>
                <w:sz w:val="20"/>
                <w:szCs w:val="20"/>
                <w:color w:val="auto"/>
              </w:rPr>
            </w:pPr>
            <w:r>
              <w:rPr>
                <w:rFonts w:ascii="Arial" w:cs="Arial" w:eastAsia="Arial" w:hAnsi="Arial"/>
                <w:sz w:val="27"/>
                <w:szCs w:val="27"/>
                <w:b w:val="1"/>
                <w:bCs w:val="1"/>
                <w:color w:val="FFFFFF"/>
              </w:rPr>
              <w:t>M.D., Ph.D.</w:t>
            </w:r>
          </w:p>
        </w:tc>
        <w:tc>
          <w:tcPr>
            <w:tcW w:w="3380" w:type="dxa"/>
            <w:vAlign w:val="bottom"/>
          </w:tcPr>
          <w:p>
            <w:pPr>
              <w:ind w:left="120"/>
              <w:spacing w:after="0"/>
              <w:rPr>
                <w:sz w:val="20"/>
                <w:szCs w:val="20"/>
                <w:color w:val="auto"/>
              </w:rPr>
            </w:pPr>
            <w:r>
              <w:rPr>
                <w:rFonts w:ascii="Arial" w:cs="Arial" w:eastAsia="Arial" w:hAnsi="Arial"/>
                <w:sz w:val="18"/>
                <w:szCs w:val="18"/>
                <w:color w:val="FFFFFF"/>
              </w:rPr>
              <w:t>Executive Vice President, General</w:t>
            </w:r>
          </w:p>
        </w:tc>
        <w:tc>
          <w:tcPr>
            <w:tcW w:w="3340" w:type="dxa"/>
            <w:vAlign w:val="bottom"/>
          </w:tcPr>
          <w:p>
            <w:pPr>
              <w:ind w:left="180"/>
              <w:spacing w:after="0"/>
              <w:rPr>
                <w:sz w:val="20"/>
                <w:szCs w:val="20"/>
                <w:color w:val="auto"/>
              </w:rPr>
            </w:pPr>
            <w:r>
              <w:rPr>
                <w:rFonts w:ascii="Arial" w:cs="Arial" w:eastAsia="Arial" w:hAnsi="Arial"/>
                <w:sz w:val="18"/>
                <w:szCs w:val="18"/>
                <w:color w:val="FFFFFF"/>
              </w:rPr>
              <w:t>Executive Vice President, Research</w:t>
            </w:r>
          </w:p>
        </w:tc>
        <w:tc>
          <w:tcPr>
            <w:tcW w:w="0" w:type="dxa"/>
            <w:vAlign w:val="bottom"/>
          </w:tcPr>
          <w:p>
            <w:pPr>
              <w:spacing w:after="0"/>
              <w:rPr>
                <w:sz w:val="1"/>
                <w:szCs w:val="1"/>
                <w:color w:val="auto"/>
              </w:rPr>
            </w:pPr>
          </w:p>
        </w:tc>
      </w:tr>
      <w:tr>
        <w:trPr>
          <w:trHeight w:val="217"/>
        </w:trPr>
        <w:tc>
          <w:tcPr>
            <w:tcW w:w="3500" w:type="dxa"/>
            <w:vAlign w:val="bottom"/>
            <w:vMerge w:val="restart"/>
          </w:tcPr>
          <w:p>
            <w:pPr>
              <w:spacing w:after="0"/>
              <w:rPr>
                <w:sz w:val="20"/>
                <w:szCs w:val="20"/>
                <w:color w:val="auto"/>
              </w:rPr>
            </w:pPr>
            <w:r>
              <w:rPr>
                <w:rFonts w:ascii="Arial" w:cs="Arial" w:eastAsia="Arial" w:hAnsi="Arial"/>
                <w:sz w:val="18"/>
                <w:szCs w:val="18"/>
                <w:color w:val="FFFFFF"/>
              </w:rPr>
              <w:t>President and Chief Scientific Officer</w:t>
            </w:r>
          </w:p>
        </w:tc>
        <w:tc>
          <w:tcPr>
            <w:tcW w:w="3380" w:type="dxa"/>
            <w:vAlign w:val="bottom"/>
          </w:tcPr>
          <w:p>
            <w:pPr>
              <w:ind w:left="120"/>
              <w:spacing w:after="0"/>
              <w:rPr>
                <w:sz w:val="20"/>
                <w:szCs w:val="20"/>
                <w:color w:val="auto"/>
              </w:rPr>
            </w:pPr>
            <w:r>
              <w:rPr>
                <w:rFonts w:ascii="Arial" w:cs="Arial" w:eastAsia="Arial" w:hAnsi="Arial"/>
                <w:sz w:val="18"/>
                <w:szCs w:val="18"/>
                <w:color w:val="FFFFFF"/>
              </w:rPr>
              <w:t>Counsel and Secretary</w:t>
            </w:r>
          </w:p>
        </w:tc>
        <w:tc>
          <w:tcPr>
            <w:tcW w:w="3340" w:type="dxa"/>
            <w:vAlign w:val="bottom"/>
          </w:tcPr>
          <w:p>
            <w:pPr>
              <w:ind w:left="180"/>
              <w:spacing w:after="0"/>
              <w:rPr>
                <w:sz w:val="20"/>
                <w:szCs w:val="20"/>
                <w:color w:val="auto"/>
              </w:rPr>
            </w:pPr>
            <w:r>
              <w:rPr>
                <w:rFonts w:ascii="Arial" w:cs="Arial" w:eastAsia="Arial" w:hAnsi="Arial"/>
                <w:sz w:val="18"/>
                <w:szCs w:val="18"/>
                <w:color w:val="FFFFFF"/>
              </w:rPr>
              <w:t>and Development</w:t>
            </w:r>
          </w:p>
        </w:tc>
        <w:tc>
          <w:tcPr>
            <w:tcW w:w="0" w:type="dxa"/>
            <w:vAlign w:val="bottom"/>
          </w:tcPr>
          <w:p>
            <w:pPr>
              <w:spacing w:after="0"/>
              <w:rPr>
                <w:sz w:val="1"/>
                <w:szCs w:val="1"/>
                <w:color w:val="auto"/>
              </w:rPr>
            </w:pPr>
          </w:p>
        </w:tc>
      </w:tr>
      <w:tr>
        <w:trPr>
          <w:trHeight w:val="108"/>
        </w:trPr>
        <w:tc>
          <w:tcPr>
            <w:tcW w:w="3500" w:type="dxa"/>
            <w:vAlign w:val="bottom"/>
            <w:vMerge w:val="continue"/>
          </w:tcPr>
          <w:p>
            <w:pPr>
              <w:spacing w:after="0"/>
              <w:rPr>
                <w:sz w:val="9"/>
                <w:szCs w:val="9"/>
                <w:color w:val="auto"/>
              </w:rPr>
            </w:pPr>
          </w:p>
        </w:tc>
        <w:tc>
          <w:tcPr>
            <w:tcW w:w="33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9"/>
        </w:trPr>
        <w:tc>
          <w:tcPr>
            <w:tcW w:w="3500" w:type="dxa"/>
            <w:vAlign w:val="bottom"/>
          </w:tcPr>
          <w:p>
            <w:pPr>
              <w:spacing w:after="0"/>
              <w:rPr>
                <w:sz w:val="20"/>
                <w:szCs w:val="20"/>
                <w:color w:val="auto"/>
              </w:rPr>
            </w:pPr>
            <w:r>
              <w:rPr>
                <w:rFonts w:ascii="Arial" w:cs="Arial" w:eastAsia="Arial" w:hAnsi="Arial"/>
                <w:sz w:val="27"/>
                <w:szCs w:val="27"/>
                <w:b w:val="1"/>
                <w:bCs w:val="1"/>
                <w:color w:val="FFFFFF"/>
              </w:rPr>
              <w:t>Christopher Fenimore</w:t>
            </w:r>
          </w:p>
        </w:tc>
        <w:tc>
          <w:tcPr>
            <w:tcW w:w="3380" w:type="dxa"/>
            <w:vAlign w:val="bottom"/>
          </w:tcPr>
          <w:p>
            <w:pPr>
              <w:ind w:left="120"/>
              <w:spacing w:after="0"/>
              <w:rPr>
                <w:sz w:val="20"/>
                <w:szCs w:val="20"/>
                <w:color w:val="auto"/>
              </w:rPr>
            </w:pPr>
            <w:r>
              <w:rPr>
                <w:rFonts w:ascii="Arial" w:cs="Arial" w:eastAsia="Arial" w:hAnsi="Arial"/>
                <w:sz w:val="27"/>
                <w:szCs w:val="27"/>
                <w:b w:val="1"/>
                <w:bCs w:val="1"/>
                <w:color w:val="FFFFFF"/>
              </w:rPr>
              <w:t>Marion McCourt</w:t>
            </w:r>
          </w:p>
        </w:tc>
        <w:tc>
          <w:tcPr>
            <w:tcW w:w="3340" w:type="dxa"/>
            <w:vAlign w:val="bottom"/>
          </w:tcPr>
          <w:p>
            <w:pPr>
              <w:ind w:left="180"/>
              <w:spacing w:after="0"/>
              <w:rPr>
                <w:sz w:val="20"/>
                <w:szCs w:val="20"/>
                <w:color w:val="auto"/>
              </w:rPr>
            </w:pPr>
            <w:r>
              <w:rPr>
                <w:rFonts w:ascii="Arial" w:cs="Arial" w:eastAsia="Arial" w:hAnsi="Arial"/>
                <w:sz w:val="27"/>
                <w:szCs w:val="27"/>
                <w:b w:val="1"/>
                <w:bCs w:val="1"/>
                <w:color w:val="FFFFFF"/>
              </w:rPr>
              <w:t>Daniel P. Van Plew</w:t>
            </w:r>
          </w:p>
        </w:tc>
        <w:tc>
          <w:tcPr>
            <w:tcW w:w="0" w:type="dxa"/>
            <w:vAlign w:val="bottom"/>
          </w:tcPr>
          <w:p>
            <w:pPr>
              <w:spacing w:after="0"/>
              <w:rPr>
                <w:sz w:val="1"/>
                <w:szCs w:val="1"/>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FFFFFF"/>
              </w:rPr>
              <w:t>Senior Vice President, Controller</w:t>
            </w:r>
          </w:p>
        </w:tc>
        <w:tc>
          <w:tcPr>
            <w:tcW w:w="3380" w:type="dxa"/>
            <w:vAlign w:val="bottom"/>
          </w:tcPr>
          <w:p>
            <w:pPr>
              <w:ind w:left="120"/>
              <w:spacing w:after="0" w:line="202" w:lineRule="exact"/>
              <w:rPr>
                <w:sz w:val="20"/>
                <w:szCs w:val="20"/>
                <w:color w:val="auto"/>
              </w:rPr>
            </w:pPr>
            <w:r>
              <w:rPr>
                <w:rFonts w:ascii="Arial" w:cs="Arial" w:eastAsia="Arial" w:hAnsi="Arial"/>
                <w:sz w:val="18"/>
                <w:szCs w:val="18"/>
                <w:color w:val="FFFFFF"/>
              </w:rPr>
              <w:t>Executive Vice President, Commercial</w:t>
            </w: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FFFFFF"/>
              </w:rPr>
              <w:t>Executive Vice President and General</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FFFFFF"/>
              </w:rPr>
              <w:t>Manager, Industrial Operations and</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FFFFFF"/>
              </w:rPr>
              <w:t>Product Supply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1842770</wp:posOffset>
            </wp:positionV>
            <wp:extent cx="713232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220"/>
          </w:cols>
          <w:pgMar w:left="820" w:top="813" w:right="859" w:bottom="1440" w:gutter="0" w:footer="0" w:header="0"/>
          <w:type w:val="continuous"/>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8722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72"/>
          <w:szCs w:val="72"/>
          <w:b w:val="1"/>
          <w:bCs w:val="1"/>
          <w:color w:val="FFC43D"/>
        </w:rPr>
        <w:t>CORPORATE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COMMON STOCK AND RELATED MATTERS</w:t>
      </w:r>
    </w:p>
    <w:p>
      <w:pPr>
        <w:spacing w:after="0" w:line="35"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FFFFFF"/>
        </w:rPr>
        <w:t>Our Common Stock is traded on The NASDAQ Global Select Market under the symbol “REGN.” Our Class A Stock is not publicly quoted or traded.</w:t>
      </w:r>
    </w:p>
    <w:p>
      <w:pPr>
        <w:spacing w:after="0" w:line="149"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SHAREHOLDERS’ INQUIRIES</w:t>
      </w:r>
    </w:p>
    <w:p>
      <w:pPr>
        <w:spacing w:after="0" w:line="3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FFFFFF"/>
        </w:rPr>
        <w:t>Inquiries relating to stock transfer or lost certificates and notices of changes of address should be directed to our Transfer Agent, American Stock Transfer &amp; Trust Co., 6201 15th Avenue, Brooklyn, New York 11219, (800) 937-5449, www amstock com/main. General information regarding the Company, recent press releases, and filings with the U.S. Securities and Exchange Commission are available on our website at www regeneron com, or can be obtained by contacting our Investor Relations Department at (914) 847-7741 or invest@regeneron com.</w:t>
      </w:r>
    </w:p>
    <w:p>
      <w:pPr>
        <w:sectPr>
          <w:pgSz w:w="11900" w:h="16838" w:orient="portrait"/>
          <w:cols w:equalWidth="0" w:num="1">
            <w:col w:w="10260"/>
          </w:cols>
          <w:pgMar w:left="820" w:top="1440" w:right="819" w:bottom="1440" w:gutter="0" w:footer="0" w:header="0"/>
        </w:sectPr>
      </w:pPr>
    </w:p>
    <w:p>
      <w:pPr>
        <w:spacing w:after="0" w:line="154" w:lineRule="exact"/>
        <w:rPr>
          <w:sz w:val="20"/>
          <w:szCs w:val="20"/>
          <w:color w:val="auto"/>
        </w:rPr>
      </w:pPr>
    </w:p>
    <w:p>
      <w:pPr>
        <w:ind w:right="160"/>
        <w:spacing w:after="0" w:line="253" w:lineRule="auto"/>
        <w:rPr>
          <w:sz w:val="20"/>
          <w:szCs w:val="20"/>
          <w:color w:val="auto"/>
        </w:rPr>
      </w:pPr>
      <w:r>
        <w:rPr>
          <w:rFonts w:ascii="Arial" w:cs="Arial" w:eastAsia="Arial" w:hAnsi="Arial"/>
          <w:sz w:val="27"/>
          <w:szCs w:val="27"/>
          <w:b w:val="1"/>
          <w:bCs w:val="1"/>
          <w:color w:val="FFFFFF"/>
        </w:rPr>
        <w:t>TRANSFER AGENT &amp; REGISTRAR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FFFFFF"/>
        </w:rPr>
        <w:t>American Stock Transfer &amp; Trust Co.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FFFFFF"/>
        </w:rPr>
        <w:t>6201 15th Avenue</w:t>
      </w:r>
    </w:p>
    <w:p>
      <w:pPr>
        <w:spacing w:after="0"/>
        <w:rPr>
          <w:sz w:val="20"/>
          <w:szCs w:val="20"/>
          <w:color w:val="auto"/>
        </w:rPr>
      </w:pPr>
      <w:r>
        <w:rPr>
          <w:rFonts w:ascii="Arial" w:cs="Arial" w:eastAsia="Arial" w:hAnsi="Arial"/>
          <w:sz w:val="18"/>
          <w:szCs w:val="18"/>
          <w:color w:val="FFFFFF"/>
        </w:rPr>
        <w:t>Brooklyn, New York 11219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26"/>
          <w:szCs w:val="26"/>
          <w:b w:val="1"/>
          <w:bCs w:val="1"/>
          <w:color w:val="FFFFFF"/>
        </w:rPr>
        <w:t>CORPORATE OFFICE</w:t>
      </w:r>
    </w:p>
    <w:p>
      <w:pPr>
        <w:spacing w:after="0" w:line="46" w:lineRule="exact"/>
        <w:rPr>
          <w:sz w:val="20"/>
          <w:szCs w:val="20"/>
          <w:color w:val="auto"/>
        </w:rPr>
      </w:pPr>
    </w:p>
    <w:p>
      <w:pPr>
        <w:ind w:right="120"/>
        <w:spacing w:after="0"/>
        <w:rPr>
          <w:sz w:val="20"/>
          <w:szCs w:val="20"/>
          <w:color w:val="auto"/>
        </w:rPr>
      </w:pPr>
      <w:r>
        <w:rPr>
          <w:rFonts w:ascii="Arial" w:cs="Arial" w:eastAsia="Arial" w:hAnsi="Arial"/>
          <w:sz w:val="18"/>
          <w:szCs w:val="18"/>
          <w:color w:val="FFFFFF"/>
        </w:rPr>
        <w:t>777 Old Saw Mill River Road Tarrytown, New York 10591-6707 (914) 847-7000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ANNUAL MEETING</w:t>
      </w:r>
    </w:p>
    <w:p>
      <w:pPr>
        <w:spacing w:after="0" w:line="35" w:lineRule="exact"/>
        <w:rPr>
          <w:sz w:val="20"/>
          <w:szCs w:val="20"/>
          <w:color w:val="auto"/>
        </w:rPr>
      </w:pPr>
    </w:p>
    <w:p>
      <w:pPr>
        <w:spacing w:after="0" w:line="257" w:lineRule="auto"/>
        <w:rPr>
          <w:sz w:val="20"/>
          <w:szCs w:val="20"/>
          <w:color w:val="auto"/>
        </w:rPr>
      </w:pPr>
      <w:r>
        <w:rPr>
          <w:rFonts w:ascii="Arial" w:cs="Arial" w:eastAsia="Arial" w:hAnsi="Arial"/>
          <w:sz w:val="17"/>
          <w:szCs w:val="17"/>
          <w:color w:val="FFFFFF"/>
        </w:rPr>
        <w:t>The 2022 Annual Meeting of Shareholders will be held virtually via the Internet at www.virtualshareholdermeeting.com/REGN2022 on June 10, 2022 at 10:30 a.m., Eastern Time.</w:t>
      </w:r>
    </w:p>
    <w:p>
      <w:pPr>
        <w:spacing w:after="0" w:line="249" w:lineRule="exact"/>
        <w:rPr>
          <w:sz w:val="20"/>
          <w:szCs w:val="20"/>
          <w:color w:val="auto"/>
        </w:rPr>
      </w:pPr>
    </w:p>
    <w:p>
      <w:pPr>
        <w:sectPr>
          <w:pgSz w:w="11900" w:h="16838" w:orient="portrait"/>
          <w:cols w:equalWidth="0" w:num="3">
            <w:col w:w="2920" w:space="320"/>
            <w:col w:w="2780" w:space="380"/>
            <w:col w:w="3860"/>
          </w:cols>
          <w:pgMar w:left="820" w:top="1440" w:right="819" w:bottom="1440" w:gutter="0" w:footer="0" w:header="0"/>
          <w:type w:val="continuous"/>
        </w:sectPr>
      </w:pPr>
    </w:p>
    <w:p>
      <w:pPr>
        <w:spacing w:after="0"/>
        <w:rPr>
          <w:sz w:val="20"/>
          <w:szCs w:val="20"/>
          <w:color w:val="auto"/>
        </w:rPr>
      </w:pPr>
      <w:r>
        <w:rPr>
          <w:rFonts w:ascii="Arial" w:cs="Arial" w:eastAsia="Arial" w:hAnsi="Arial"/>
          <w:sz w:val="26"/>
          <w:szCs w:val="26"/>
          <w:b w:val="1"/>
          <w:bCs w:val="1"/>
          <w:color w:val="FFFFFF"/>
        </w:rPr>
        <w:t>INDEPENDENT REGISTERED PUBLIC ACCOUNTING FIRM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FFFFFF"/>
        </w:rPr>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1052195</wp:posOffset>
            </wp:positionV>
            <wp:extent cx="71323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260"/>
          </w:cols>
          <w:pgMar w:left="820" w:top="1440" w:right="819" w:bottom="1440" w:gutter="0" w:footer="0" w:header="0"/>
          <w:type w:val="continuous"/>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907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90785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o"/>
      <w:numFmt w:val="bullet"/>
      <w:start w:val="1"/>
    </w:lvl>
  </w:abstractNum>
  <w:abstractNum w:abstractNumId="1">
    <w:nsid w:val="8138641"/>
    <w:multiLevelType w:val="hybridMultilevel"/>
    <w:lvl w:ilvl="0">
      <w:lvlJc w:val="left"/>
      <w:lvlText w:val="x"/>
      <w:numFmt w:val="bullet"/>
      <w:start w:val="1"/>
    </w:lvl>
  </w:abstractNum>
  <w:abstractNum w:abstractNumId="2">
    <w:nsid w:val="1E7FF521"/>
    <w:multiLevelType w:val="hybridMultilevel"/>
    <w:lvl w:ilvl="0">
      <w:lvlJc w:val="left"/>
      <w:lvlText w:val="x"/>
      <w:numFmt w:val="bullet"/>
      <w:start w:val="1"/>
    </w:lvl>
  </w:abstractNum>
  <w:abstractNum w:abstractNumId="3">
    <w:nsid w:val="7C3DBD3D"/>
    <w:multiLevelType w:val="hybridMultilevel"/>
    <w:lvl w:ilvl="0">
      <w:lvlJc w:val="left"/>
      <w:lvlText w:val="o"/>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o"/>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7"/>
    </w:lvl>
  </w:abstractNum>
  <w:abstractNum w:abstractNumId="9">
    <w:nsid w:val="614FD4A1"/>
    <w:multiLevelType w:val="hybridMultilevel"/>
    <w:lvl w:ilvl="0">
      <w:lvlJc w:val="left"/>
      <w:lvlText w:val="(%1)"/>
      <w:numFmt w:val="lowerLetter"/>
      <w:start w:val="1"/>
    </w:lvl>
  </w:abstractNum>
  <w:abstractNum w:abstractNumId="10">
    <w:nsid w:val="419AC241"/>
    <w:multiLevelType w:val="hybridMultilevel"/>
    <w:lvl w:ilvl="0">
      <w:lvlJc w:val="left"/>
      <w:lvlText w:val="(%1)"/>
      <w:numFmt w:val="lowerLetter"/>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lvl w:ilvl="1">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lowerLetter"/>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lowerRoman"/>
      <w:start w:val="1"/>
    </w:lvl>
  </w:abstractNum>
  <w:abstractNum w:abstractNumId="42">
    <w:nsid w:val="3DC240FB"/>
    <w:multiLevelType w:val="hybridMultilevel"/>
    <w:lvl w:ilvl="0">
      <w:lvlJc w:val="left"/>
      <w:lvlText w:val="(%1)"/>
      <w:numFmt w:val="lowerRoman"/>
      <w:start w:val="3"/>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decimal"/>
      <w:start w:val="101"/>
    </w:lvl>
  </w:abstractNum>
  <w:abstractNum w:abstractNumId="45">
    <w:nsid w:val="75C6C33A"/>
    <w:multiLevelType w:val="hybridMultilevel"/>
    <w:lvl w:ilvl="0">
      <w:lvlJc w:val="left"/>
      <w:lvlText w:val="%1"/>
      <w:numFmt w:val="decimal"/>
      <w:start w:val="104"/>
    </w:lvl>
    <w:lvl w:ilvl="1">
      <w:lvlJc w:val="left"/>
      <w:lvlText w:val="*"/>
      <w:numFmt w:val="bullet"/>
      <w:start w:val="1"/>
    </w:lvl>
  </w:abstractNum>
  <w:abstractNum w:abstractNumId="46">
    <w:nsid w:val="12E685FB"/>
    <w:multiLevelType w:val="hybridMultilevel"/>
    <w:lvl w:ilvl="0">
      <w:lvlJc w:val="left"/>
      <w:lvlText w:val="%1"/>
      <w:numFmt w:val="decimal"/>
      <w:start w:val="1"/>
    </w:lvl>
    <w:lvl w:ilvl="1">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lowerLetter"/>
      <w:start w:val="4"/>
    </w:lvl>
  </w:abstractNum>
  <w:abstractNum w:abstractNumId="57">
    <w:nsid w:val="235BA86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2022-04-21T15:30:32Z</dcterms:created>
  <dcterms:modified xsi:type="dcterms:W3CDTF">2022-04-21T15:30:32Z</dcterms:modified>
</cp:coreProperties>
</file>