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CURRENT REPORT</w:t>
      </w:r>
    </w:p>
    <w:p>
      <w:pPr>
        <w:spacing w:after="0" w:line="1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spacing w:after="0" w:line="1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October 6, 2025 (October 6, 2025)</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REGENERON PHARMACEUTICALS,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 York</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 or other jurisdiction of incorporation)</w:t>
      </w:r>
    </w:p>
    <w:p>
      <w:pPr>
        <w:spacing w:after="0" w:line="203" w:lineRule="exact"/>
        <w:rPr>
          <w:sz w:val="24"/>
          <w:szCs w:val="24"/>
          <w:color w:val="auto"/>
        </w:rPr>
      </w:pPr>
    </w:p>
    <w:tbl>
      <w:tblPr>
        <w:tblLayout w:type="fixed"/>
        <w:tblInd w:w="860" w:type="dxa"/>
        <w:tblCellMar>
          <w:top w:w="0" w:type="dxa"/>
          <w:left w:w="0" w:type="dxa"/>
          <w:bottom w:w="0" w:type="dxa"/>
          <w:right w:w="0" w:type="dxa"/>
        </w:tblCellMar>
      </w:tblPr>
      <w:tr>
        <w:trPr>
          <w:trHeight w:val="216"/>
        </w:trPr>
        <w:tc>
          <w:tcPr>
            <w:tcW w:w="5500" w:type="dxa"/>
            <w:vAlign w:val="bottom"/>
          </w:tcPr>
          <w:p>
            <w:pPr>
              <w:jc w:val="center"/>
              <w:ind w:right="1390"/>
              <w:spacing w:after="0"/>
              <w:rPr>
                <w:sz w:val="20"/>
                <w:szCs w:val="20"/>
                <w:color w:val="auto"/>
              </w:rPr>
            </w:pPr>
            <w:r>
              <w:rPr>
                <w:rFonts w:ascii="Times New Roman" w:cs="Times New Roman" w:eastAsia="Times New Roman" w:hAnsi="Times New Roman"/>
                <w:sz w:val="18"/>
                <w:szCs w:val="18"/>
                <w:b w:val="1"/>
                <w:bCs w:val="1"/>
                <w:color w:val="auto"/>
                <w:w w:val="99"/>
              </w:rPr>
              <w:t>000-19034</w:t>
            </w:r>
          </w:p>
        </w:tc>
        <w:tc>
          <w:tcPr>
            <w:tcW w:w="2900" w:type="dxa"/>
            <w:vAlign w:val="bottom"/>
          </w:tcPr>
          <w:p>
            <w:pPr>
              <w:jc w:val="center"/>
              <w:ind w:left="1390"/>
              <w:spacing w:after="0"/>
              <w:rPr>
                <w:sz w:val="20"/>
                <w:szCs w:val="20"/>
                <w:color w:val="auto"/>
              </w:rPr>
            </w:pPr>
            <w:r>
              <w:rPr>
                <w:rFonts w:ascii="Times New Roman" w:cs="Times New Roman" w:eastAsia="Times New Roman" w:hAnsi="Times New Roman"/>
                <w:sz w:val="18"/>
                <w:szCs w:val="18"/>
                <w:b w:val="1"/>
                <w:bCs w:val="1"/>
                <w:color w:val="auto"/>
                <w:w w:val="98"/>
              </w:rPr>
              <w:t>13-3444607</w:t>
            </w:r>
          </w:p>
        </w:tc>
      </w:tr>
      <w:tr>
        <w:trPr>
          <w:trHeight w:val="216"/>
        </w:trPr>
        <w:tc>
          <w:tcPr>
            <w:tcW w:w="5500" w:type="dxa"/>
            <w:vAlign w:val="bottom"/>
          </w:tcPr>
          <w:p>
            <w:pPr>
              <w:jc w:val="center"/>
              <w:ind w:right="1370"/>
              <w:spacing w:after="0"/>
              <w:rPr>
                <w:sz w:val="20"/>
                <w:szCs w:val="20"/>
                <w:color w:val="auto"/>
              </w:rPr>
            </w:pPr>
            <w:r>
              <w:rPr>
                <w:rFonts w:ascii="Times New Roman" w:cs="Times New Roman" w:eastAsia="Times New Roman" w:hAnsi="Times New Roman"/>
                <w:sz w:val="18"/>
                <w:szCs w:val="18"/>
                <w:b w:val="1"/>
                <w:bCs w:val="1"/>
                <w:color w:val="auto"/>
                <w:w w:val="98"/>
              </w:rPr>
              <w:t>(Commission</w:t>
            </w:r>
          </w:p>
        </w:tc>
        <w:tc>
          <w:tcPr>
            <w:tcW w:w="2900" w:type="dxa"/>
            <w:vAlign w:val="bottom"/>
          </w:tcPr>
          <w:p>
            <w:pPr>
              <w:jc w:val="center"/>
              <w:ind w:left="139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5500" w:type="dxa"/>
            <w:vAlign w:val="bottom"/>
          </w:tcPr>
          <w:p>
            <w:pPr>
              <w:jc w:val="center"/>
              <w:ind w:right="137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2900" w:type="dxa"/>
            <w:vAlign w:val="bottom"/>
          </w:tcPr>
          <w:p>
            <w:pPr>
              <w:jc w:val="center"/>
              <w:ind w:left="1390"/>
              <w:spacing w:after="0"/>
              <w:rPr>
                <w:sz w:val="20"/>
                <w:szCs w:val="20"/>
                <w:color w:val="auto"/>
              </w:rPr>
            </w:pPr>
            <w:r>
              <w:rPr>
                <w:rFonts w:ascii="Times New Roman" w:cs="Times New Roman" w:eastAsia="Times New Roman" w:hAnsi="Times New Roman"/>
                <w:sz w:val="18"/>
                <w:szCs w:val="18"/>
                <w:b w:val="1"/>
                <w:bCs w:val="1"/>
                <w:color w:val="auto"/>
              </w:rPr>
              <w:t>Identification No.)</w:t>
            </w:r>
          </w:p>
        </w:tc>
      </w:tr>
      <w:tr>
        <w:trPr>
          <w:trHeight w:val="410"/>
        </w:trPr>
        <w:tc>
          <w:tcPr>
            <w:tcW w:w="5500" w:type="dxa"/>
            <w:vAlign w:val="bottom"/>
          </w:tcPr>
          <w:p>
            <w:pPr>
              <w:jc w:val="center"/>
              <w:ind w:right="1370"/>
              <w:spacing w:after="0"/>
              <w:rPr>
                <w:sz w:val="20"/>
                <w:szCs w:val="20"/>
                <w:color w:val="auto"/>
              </w:rPr>
            </w:pPr>
            <w:r>
              <w:rPr>
                <w:rFonts w:ascii="Times New Roman" w:cs="Times New Roman" w:eastAsia="Times New Roman" w:hAnsi="Times New Roman"/>
                <w:sz w:val="18"/>
                <w:szCs w:val="18"/>
                <w:b w:val="1"/>
                <w:bCs w:val="1"/>
                <w:color w:val="auto"/>
                <w:w w:val="99"/>
              </w:rPr>
              <w:t>777 Old Saw Mill River Road, Tarrytown, New York</w:t>
            </w:r>
          </w:p>
        </w:tc>
        <w:tc>
          <w:tcPr>
            <w:tcW w:w="2900" w:type="dxa"/>
            <w:vAlign w:val="bottom"/>
          </w:tcPr>
          <w:p>
            <w:pPr>
              <w:jc w:val="center"/>
              <w:ind w:left="1390"/>
              <w:spacing w:after="0"/>
              <w:rPr>
                <w:sz w:val="20"/>
                <w:szCs w:val="20"/>
                <w:color w:val="auto"/>
              </w:rPr>
            </w:pPr>
            <w:r>
              <w:rPr>
                <w:rFonts w:ascii="Times New Roman" w:cs="Times New Roman" w:eastAsia="Times New Roman" w:hAnsi="Times New Roman"/>
                <w:sz w:val="18"/>
                <w:szCs w:val="18"/>
                <w:b w:val="1"/>
                <w:bCs w:val="1"/>
                <w:color w:val="auto"/>
                <w:w w:val="98"/>
              </w:rPr>
              <w:t>10591-6707</w:t>
            </w:r>
          </w:p>
        </w:tc>
      </w:tr>
      <w:tr>
        <w:trPr>
          <w:trHeight w:val="238"/>
        </w:trPr>
        <w:tc>
          <w:tcPr>
            <w:tcW w:w="5500" w:type="dxa"/>
            <w:vAlign w:val="bottom"/>
          </w:tcPr>
          <w:p>
            <w:pPr>
              <w:jc w:val="center"/>
              <w:ind w:right="139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2900" w:type="dxa"/>
            <w:vAlign w:val="bottom"/>
          </w:tcPr>
          <w:p>
            <w:pPr>
              <w:jc w:val="center"/>
              <w:ind w:left="1370"/>
              <w:spacing w:after="0"/>
              <w:rPr>
                <w:sz w:val="20"/>
                <w:szCs w:val="20"/>
                <w:color w:val="auto"/>
              </w:rPr>
            </w:pPr>
            <w:r>
              <w:rPr>
                <w:rFonts w:ascii="Times New Roman" w:cs="Times New Roman" w:eastAsia="Times New Roman" w:hAnsi="Times New Roman"/>
                <w:sz w:val="18"/>
                <w:szCs w:val="18"/>
                <w:b w:val="1"/>
                <w:bCs w:val="1"/>
                <w:color w:val="auto"/>
              </w:rPr>
              <w:t>(Zip Code)</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(914) 847-7000</w:t>
      </w:r>
    </w:p>
    <w:p>
      <w:pPr>
        <w:spacing w:after="0" w:line="229"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162"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23" w:lineRule="exact"/>
        <w:rPr>
          <w:sz w:val="24"/>
          <w:szCs w:val="24"/>
          <w:color w:val="auto"/>
        </w:rPr>
      </w:pPr>
    </w:p>
    <w:tbl>
      <w:tblPr>
        <w:tblLayout w:type="fixed"/>
        <w:tblInd w:w="10" w:type="dxa"/>
        <w:tblCellMar>
          <w:top w:w="0" w:type="dxa"/>
          <w:left w:w="0" w:type="dxa"/>
          <w:bottom w:w="0" w:type="dxa"/>
          <w:right w:w="0" w:type="dxa"/>
        </w:tblCellMar>
      </w:tblPr>
      <w:tr>
        <w:trPr>
          <w:trHeight w:val="243"/>
        </w:trPr>
        <w:tc>
          <w:tcPr>
            <w:tcW w:w="47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2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2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3"/>
        </w:trPr>
        <w:tc>
          <w:tcPr>
            <w:tcW w:w="4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 par value $0.001 per share</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REGN</w:t>
            </w:r>
          </w:p>
        </w:tc>
        <w:tc>
          <w:tcPr>
            <w:tcW w:w="4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NASDAQ Global Select Market</w:t>
            </w:r>
          </w:p>
        </w:tc>
      </w:tr>
    </w:tbl>
    <w:p>
      <w:pPr>
        <w:spacing w:after="0" w:line="198" w:lineRule="exact"/>
        <w:rPr>
          <w:sz w:val="24"/>
          <w:szCs w:val="24"/>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488315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73" w:right="339" w:bottom="1440" w:gutter="0" w:footer="0" w:header="0"/>
        </w:sectPr>
      </w:pPr>
    </w:p>
    <w:bookmarkStart w:id="1" w:name="page2"/>
    <w:bookmarkEnd w:id="1"/>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29"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Regeneron Pharmaceuticals, Inc. (“</w:t>
      </w:r>
      <w:r>
        <w:rPr>
          <w:rFonts w:ascii="Times New Roman" w:cs="Times New Roman" w:eastAsia="Times New Roman" w:hAnsi="Times New Roman"/>
          <w:sz w:val="18"/>
          <w:szCs w:val="18"/>
          <w:u w:val="single" w:color="auto"/>
          <w:color w:val="auto"/>
        </w:rPr>
        <w:t>Regeneron</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currently expects that its financial results calculated in accordance with U.S. generally accepted accounting principles (“</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and its non-GAAP financial results for the third quarter 2025 will include an acquired in-process research and development (“</w:t>
      </w:r>
      <w:r>
        <w:rPr>
          <w:rFonts w:ascii="Times New Roman" w:cs="Times New Roman" w:eastAsia="Times New Roman" w:hAnsi="Times New Roman"/>
          <w:sz w:val="18"/>
          <w:szCs w:val="18"/>
          <w:u w:val="single" w:color="auto"/>
          <w:color w:val="auto"/>
        </w:rPr>
        <w:t>IPR&amp;D</w:t>
      </w:r>
      <w:r>
        <w:rPr>
          <w:rFonts w:ascii="Times New Roman" w:cs="Times New Roman" w:eastAsia="Times New Roman" w:hAnsi="Times New Roman"/>
          <w:sz w:val="18"/>
          <w:szCs w:val="18"/>
          <w:color w:val="auto"/>
        </w:rPr>
        <w:t>”) charge of approximately $83 million on a pre-tax basis. This charge primarily relates to the previously disclosed $80 million up-front payment made to Hansoh Pharmaceuticals Group Company Limited under the 2025 license agreement. The acquired IPR&amp;D charge is expected to negatively impact each of GAAP and non-GAAP net income per diluted share for the third quarter 2025 by approximately $0.68.</w:t>
      </w:r>
    </w:p>
    <w:p>
      <w:pPr>
        <w:spacing w:after="0" w:line="183"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Acquired IPR&amp;D charges may include IPR&amp;D acquired in connection with asset acquisitions as well as up-front, opt-in, certain development milestone payments, and premiums paid on equity securities related to collaboration and licensing agreements. Regeneron does not forecast such acquired IPR&amp;D charges due to the uncertainty of the future occurrence, magnitude, and timing of these transactions in any given period.</w:t>
      </w:r>
    </w:p>
    <w:p>
      <w:pPr>
        <w:spacing w:after="0" w:line="176"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Regeneron’s results for the third quarter 2025 have not been finalized and are subject to Regeneron’s financial statement closing procedures. There can be no assurance that actual results will not differ from the preliminary (unaudited) estimates described herein.</w:t>
      </w:r>
    </w:p>
    <w:p>
      <w:pPr>
        <w:spacing w:after="0" w:line="162"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The information included in this Current Report on Form 8-K shall not be deemed “filed” for purposes of Section 18 of the Securities Exchange Act of 1934, as amended, nor shall such information be deemed incorporated by reference in any filing under the Securities Act of 1933, as amended, except as shall be expressly set forth by specific reference in such a filing.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 Regarding Forward-Looking Statements</w:t>
      </w:r>
    </w:p>
    <w:p>
      <w:pPr>
        <w:spacing w:after="0" w:line="227"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This Current Report on Form 8-K (this “</w:t>
      </w:r>
      <w:r>
        <w:rPr>
          <w:rFonts w:ascii="Times New Roman" w:cs="Times New Roman" w:eastAsia="Times New Roman" w:hAnsi="Times New Roman"/>
          <w:sz w:val="18"/>
          <w:szCs w:val="18"/>
          <w:i w:val="1"/>
          <w:iCs w:val="1"/>
          <w:u w:val="single" w:color="auto"/>
          <w:color w:val="auto"/>
        </w:rPr>
        <w:t>Report</w:t>
      </w:r>
      <w:r>
        <w:rPr>
          <w:rFonts w:ascii="Times New Roman" w:cs="Times New Roman" w:eastAsia="Times New Roman" w:hAnsi="Times New Roman"/>
          <w:sz w:val="18"/>
          <w:szCs w:val="18"/>
          <w:i w:val="1"/>
          <w:iCs w:val="1"/>
          <w:color w:val="auto"/>
        </w:rPr>
        <w:t>”) includes forward-looking statements that involve risks and uncertainties relating to future events and the future performance of Regeneron Pharmaceuticals, Inc. (“</w:t>
      </w:r>
      <w:r>
        <w:rPr>
          <w:rFonts w:ascii="Times New Roman" w:cs="Times New Roman" w:eastAsia="Times New Roman" w:hAnsi="Times New Roman"/>
          <w:sz w:val="18"/>
          <w:szCs w:val="18"/>
          <w:i w:val="1"/>
          <w:iCs w:val="1"/>
          <w:u w:val="single" w:color="auto"/>
          <w:color w:val="auto"/>
        </w:rPr>
        <w:t>Regeneron</w:t>
      </w:r>
      <w:r>
        <w:rPr>
          <w:rFonts w:ascii="Times New Roman" w:cs="Times New Roman" w:eastAsia="Times New Roman" w:hAnsi="Times New Roman"/>
          <w:sz w:val="18"/>
          <w:szCs w:val="18"/>
          <w:i w:val="1"/>
          <w:iCs w:val="1"/>
          <w:color w:val="auto"/>
        </w:rPr>
        <w:t>” or the “</w:t>
      </w:r>
      <w:r>
        <w:rPr>
          <w:rFonts w:ascii="Times New Roman" w:cs="Times New Roman" w:eastAsia="Times New Roman" w:hAnsi="Times New Roman"/>
          <w:sz w:val="18"/>
          <w:szCs w:val="18"/>
          <w:i w:val="1"/>
          <w:iCs w:val="1"/>
          <w:u w:val="single" w:color="auto"/>
          <w:color w:val="auto"/>
        </w:rPr>
        <w:t>Company</w:t>
      </w:r>
      <w:r>
        <w:rPr>
          <w:rFonts w:ascii="Times New Roman" w:cs="Times New Roman" w:eastAsia="Times New Roman" w:hAnsi="Times New Roman"/>
          <w:sz w:val="18"/>
          <w:szCs w:val="18"/>
          <w:i w:val="1"/>
          <w:iCs w:val="1"/>
          <w:color w:val="auto"/>
        </w:rPr>
        <w:t>”), and actual events or results may differ materially from these forward-looking statements. Words such as “anticipate,” “expect,” “intend,” “plan,” “believe,” “seek,” “estimate,” variations of such words, and similar expressions are intended to identify such forward-looking statements, although not all forward-looking statements contain these identifying words. These statements concern, and these risks and uncertainties include, among others, Regeneron’s expected acquired in-process research and development charge for the quarterly period ended September 30, 2025 and its expected impact on GAAP and non-GAAP net income per diluted share for this period as discussed in this Report. A more complete description of these and other material risks can be found in Regeneron’s filings with the U.S. Securities and Exchange Commission. Any forward-looking statements are made based on management’s current beliefs and judgment, and the reader is cautioned not to rely on any forward-looking statements made by Regeneron. Regeneron does not undertake any obligation to update (publicly or otherwise) any forward-looking statement, including without limitation any financial projection or guidance, whether as a result of new information, future events, or otherwise.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 Regarding Non-GAAP Financial Measures</w:t>
      </w:r>
    </w:p>
    <w:p>
      <w:pPr>
        <w:spacing w:after="0" w:line="227"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This Report references non-GAAP net income per diluted share, which is a financial measure that is not calculated in accordance with U.S. Generally Accepted Accounting Principles (“</w:t>
      </w:r>
      <w:r>
        <w:rPr>
          <w:rFonts w:ascii="Times New Roman" w:cs="Times New Roman" w:eastAsia="Times New Roman" w:hAnsi="Times New Roman"/>
          <w:sz w:val="18"/>
          <w:szCs w:val="18"/>
          <w:i w:val="1"/>
          <w:iCs w:val="1"/>
          <w:u w:val="single" w:color="auto"/>
          <w:color w:val="auto"/>
        </w:rPr>
        <w:t>GAAP</w:t>
      </w:r>
      <w:r>
        <w:rPr>
          <w:rFonts w:ascii="Times New Roman" w:cs="Times New Roman" w:eastAsia="Times New Roman" w:hAnsi="Times New Roman"/>
          <w:sz w:val="18"/>
          <w:szCs w:val="18"/>
          <w:i w:val="1"/>
          <w:iCs w:val="1"/>
          <w:color w:val="auto"/>
        </w:rPr>
        <w:t>”). This non-GAAP financial measure is computed by excluding certain non-cash and/or other items from the related GAAP financial measure. The Company also includes a non-GAAP adjustment for the estimated income tax effect of reconciling items. The Company makes such adjustments for items the Company does not view as useful in evaluating its operating performance. Management uses this and other non-GAAP measures for planning, budgeting, forecasting, assessing historical performance, and making financial and operational decisions, and also provides forecasts to investors on this basis. Additionally, such non-GAAP measures provide investors with an enhanced understanding of the financial performance of the Company's core business operations. However, there are limitations in the use of such non-GAAP financial measures as they exclude certain expenses that are recurring in nature. Furthermore, the Company's non-GAAP financial measures may not be comparable with non-GAAP information provided by other companies. Any non-GAAP financial measure presented by Regeneron should be considered supplemental to, and not a substitute for, measures of financial performance prepared in accordance with GAAP.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2" w:name="page3"/>
    <w:bookmarkEnd w:id="2"/>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REGENERON PHARMACEUTICALS, INC.</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Joseph J. LaRosa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Joseph J. LaRosa</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Executive Vice President, General Counsel and Secretary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6,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920"/>
      </w:cols>
      <w:pgMar w:left="320" w:top="900" w:right="6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2025-10-06T06:06:57Z</dcterms:created>
  <dcterms:modified xsi:type="dcterms:W3CDTF">2025-10-06T06:06:57Z</dcterms:modified>
</cp:coreProperties>
</file>