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28, 2025 (October 28, 2025)</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October 28, 2025, Regeneron Pharmaceuticals, Inc. issued a press release announcing its financial and operating results for the quarter ended September 30, 2025.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40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October 28, 2025, Reporting Third Quarter 2025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0" w:right="55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5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5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45"/>
        </w:trPr>
        <w:tc>
          <w:tcPr>
            <w:tcW w:w="2020" w:type="dxa"/>
            <w:vAlign w:val="bottom"/>
          </w:tcPr>
          <w:p>
            <w:pPr>
              <w:spacing w:after="0"/>
              <w:rPr>
                <w:sz w:val="21"/>
                <w:szCs w:val="21"/>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2680" w:type="dxa"/>
            <w:vAlign w:val="bottom"/>
          </w:tcPr>
          <w:p>
            <w:pPr>
              <w:spacing w:after="0"/>
              <w:rPr>
                <w:sz w:val="21"/>
                <w:szCs w:val="21"/>
                <w:color w:val="auto"/>
              </w:rPr>
            </w:pPr>
          </w:p>
        </w:tc>
      </w:tr>
      <w:tr>
        <w:trPr>
          <w:trHeight w:val="234"/>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2025 Financial and Operating Results</w:t>
      </w:r>
    </w:p>
    <w:p>
      <w:pPr>
        <w:spacing w:after="0" w:line="17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2025 revenues increased 1% to $3.75 billion versus third quarter 2024</w:t>
      </w:r>
    </w:p>
    <w:p>
      <w:pPr>
        <w:spacing w:after="0" w:line="2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27% to $4.86 billion</w:t>
      </w:r>
    </w:p>
    <w:p>
      <w:pPr>
        <w:spacing w:after="0" w:line="3" w:lineRule="exact"/>
        <w:rPr>
          <w:rFonts w:ascii="Arial" w:cs="Arial" w:eastAsia="Arial" w:hAnsi="Arial"/>
          <w:sz w:val="22"/>
          <w:szCs w:val="22"/>
          <w:i w:val="1"/>
          <w:iCs w:val="1"/>
          <w:color w:val="auto"/>
        </w:rPr>
      </w:pPr>
    </w:p>
    <w:p>
      <w:pPr>
        <w:ind w:left="340" w:right="8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increased 10% to $431 million; total EYLEA HD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decreased 28% to $1.11 billion</w:t>
      </w:r>
    </w:p>
    <w:p>
      <w:pPr>
        <w:spacing w:after="0" w:line="1" w:lineRule="exact"/>
        <w:rPr>
          <w:rFonts w:ascii="Arial" w:cs="Arial" w:eastAsia="Arial" w:hAnsi="Arial"/>
          <w:sz w:val="22"/>
          <w:szCs w:val="22"/>
          <w:i w:val="1"/>
          <w:iCs w:val="1"/>
          <w:color w:val="auto"/>
        </w:rPr>
      </w:pPr>
    </w:p>
    <w:p>
      <w:pPr>
        <w:ind w:left="340" w:right="14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GAAP EPS of $13.62 and non-GAAP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of $11.83; third quarter 2025 includes unfavorable $0.68 impact from acquired IPR&amp;D charge</w:t>
      </w:r>
    </w:p>
    <w:p>
      <w:pPr>
        <w:ind w:left="340" w:right="64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as the first and only immunotherapy for high-risk adjuvant cutaneous squamous cell carcinoma (CSCC); EMA's CHMP adopted positive opinion</w:t>
      </w:r>
    </w:p>
    <w:p>
      <w:pPr>
        <w:spacing w:after="0" w:line="1" w:lineRule="exact"/>
        <w:rPr>
          <w:rFonts w:ascii="Arial" w:cs="Arial" w:eastAsia="Arial" w:hAnsi="Arial"/>
          <w:sz w:val="22"/>
          <w:szCs w:val="22"/>
          <w:i w:val="1"/>
          <w:iCs w:val="1"/>
          <w:color w:val="auto"/>
        </w:rPr>
      </w:pPr>
    </w:p>
    <w:p>
      <w:pPr>
        <w:ind w:left="340" w:right="400" w:hanging="332"/>
        <w:spacing w:after="0" w:line="251"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Phase 3 results reported from trials in generalized myasthenia gravis, fibrodysplasia ossificans progressiva (FOP), and cat and birch allergies; updated positive data reported from pivotal trial in children with profound genetic hearing loss</w:t>
      </w:r>
    </w:p>
    <w:p>
      <w:pPr>
        <w:spacing w:after="0" w:line="176" w:lineRule="exact"/>
        <w:rPr>
          <w:sz w:val="20"/>
          <w:szCs w:val="20"/>
          <w:color w:val="auto"/>
        </w:rPr>
      </w:pPr>
    </w:p>
    <w:p>
      <w:pPr>
        <w:ind w:right="140"/>
        <w:spacing w:after="0" w:line="274" w:lineRule="auto"/>
        <w:rPr>
          <w:sz w:val="20"/>
          <w:szCs w:val="20"/>
          <w:color w:val="auto"/>
        </w:rPr>
      </w:pPr>
      <w:r>
        <w:rPr>
          <w:rFonts w:ascii="Arial" w:cs="Arial" w:eastAsia="Arial" w:hAnsi="Arial"/>
          <w:sz w:val="22"/>
          <w:szCs w:val="22"/>
          <w:b w:val="1"/>
          <w:bCs w:val="1"/>
          <w:color w:val="auto"/>
        </w:rPr>
        <w:t xml:space="preserve">Tarrytown, New York (October 28, 2025)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2025 and provided a business update.</w:t>
      </w:r>
    </w:p>
    <w:p>
      <w:pPr>
        <w:spacing w:after="0" w:line="7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"Regeneron had a solid financial quarter and made progress across our late-stage portfolio by securing new FDA approvals for Libtayo, Evkeeza, and Lynozyfic, receiving positive CHMP opinions for Libtayo and Dupixent, and sharing promising data across our oncology, obesity, allergy, and rare disease portfolios," said Leonard S. Schleifer, M.D., Ph.D., Board co-Chair, President and Chief Executive Officer of Regeneron. "We were proud to receive one of the FDA’s first Commissioner's National Priority Vouchers for DB-OTO for a rare form of congenital hearing loss. We also donated our Ebola treatment, Inmazeb, to countries most at risk of outbreaks, reflecting our commitment to ensuring patients in need are able to access our novel medicines."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2025</w:t>
            </w:r>
          </w:p>
        </w:tc>
        <w:tc>
          <w:tcPr>
            <w:tcW w:w="2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20"/>
                <w:szCs w:val="20"/>
                <w:b w:val="1"/>
                <w:bCs w:val="1"/>
                <w:color w:val="auto"/>
              </w:rPr>
              <w:t>Q3 2024</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3,754</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3,721</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r>
      <w:tr>
        <w:trPr>
          <w:trHeight w:val="257"/>
        </w:trPr>
        <w:tc>
          <w:tcPr>
            <w:tcW w:w="49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1,460</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1,341</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13.62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11.54</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w:t>
            </w:r>
          </w:p>
        </w:tc>
      </w:tr>
      <w:tr>
        <w:trPr>
          <w:trHeight w:val="256"/>
        </w:trPr>
        <w:tc>
          <w:tcPr>
            <w:tcW w:w="494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1,287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1,462</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7"/>
        </w:trPr>
        <w:tc>
          <w:tcPr>
            <w:tcW w:w="49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right="20"/>
        <w:spacing w:after="0"/>
        <w:rPr>
          <w:sz w:val="20"/>
          <w:szCs w:val="20"/>
          <w:color w:val="auto"/>
        </w:rPr>
      </w:pPr>
      <w:r>
        <w:rPr>
          <w:rFonts w:ascii="Arial" w:cs="Arial" w:eastAsia="Arial" w:hAnsi="Arial"/>
          <w:sz w:val="22"/>
          <w:szCs w:val="22"/>
          <w:color w:val="auto"/>
        </w:rPr>
        <w:t>"We were pleased with our third quarter 2025 performance, which highlights the commercial strength of Dupixent, EYLEA HD, and Libtayo, and reinforces our momentum toward delivering solid financial performance for the year while advancing transformative therapies to patients around the world," said Christopher Fenimore, Executive Vice President, Finance and Chief Financial Officer of Regeneron. "Our disciplined approach to capital allocation fuels innovation through targeted investments, all while delivering value to shareholders. In the first nine months of 2025, we reaffirmed our commitment to advancing U.S. innovation and manufacturing by investing nearly $5 billion in R&amp;D and capital expenditures, predominantly within the United States. We also returned over $3 billion to shareholders via share repurchases and dividends, underscoring our commitment to long-term value creation."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60"/>
        <w:spacing w:after="0" w:line="276" w:lineRule="auto"/>
        <w:rPr>
          <w:sz w:val="20"/>
          <w:szCs w:val="20"/>
          <w:color w:val="auto"/>
        </w:rPr>
      </w:pPr>
      <w:r>
        <w:rPr>
          <w:rFonts w:ascii="Arial" w:cs="Arial" w:eastAsia="Arial" w:hAnsi="Arial"/>
          <w:sz w:val="21"/>
          <w:szCs w:val="21"/>
          <w:color w:val="auto"/>
        </w:rPr>
        <w:t>Regeneron has approximately 45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140" w:hanging="332"/>
        <w:spacing w:after="0" w:line="249"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September 2025, the European Medicines Agency’s (EMA) Committee for Medicinal Products for Human Use (CHMP) adopted a positive opinion recommending the approval of Dupixent in the European Union (EU) for the treatment of chronic spontaneous urticaria (CSU) in adults and adolescents aged 12 years and older who remain symptomatic despite antihistamine treatment. The European Commission (EC) is expected to announce a final decision in the coming months.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4" w:lineRule="exact"/>
        <w:rPr>
          <w:sz w:val="20"/>
          <w:szCs w:val="20"/>
          <w:color w:val="auto"/>
        </w:rPr>
      </w:pPr>
    </w:p>
    <w:p>
      <w:pPr>
        <w:ind w:left="340" w:right="40" w:hanging="332"/>
        <w:spacing w:after="0" w:line="265"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October 2025, the Company was notified by Catalent Indiana, LLC (Catalent), the manufacturing filler in the EYLEA HD Biologics License Application (BLA), that they received an official action indicated (OAI) letter from the FDA citing unresolved issues related to a July 2025 FDA general site inspection (not specific to EYLEA HD).</w:t>
      </w:r>
    </w:p>
    <w:p>
      <w:pPr>
        <w:spacing w:after="0" w:line="98" w:lineRule="exact"/>
        <w:rPr>
          <w:rFonts w:ascii="Arial" w:cs="Arial" w:eastAsia="Arial" w:hAnsi="Arial"/>
          <w:sz w:val="21"/>
          <w:szCs w:val="21"/>
          <w:color w:val="auto"/>
        </w:rPr>
      </w:pPr>
    </w:p>
    <w:p>
      <w:pPr>
        <w:ind w:left="340"/>
        <w:spacing w:after="0" w:line="263" w:lineRule="auto"/>
        <w:rPr>
          <w:rFonts w:ascii="Arial" w:cs="Arial" w:eastAsia="Arial" w:hAnsi="Arial"/>
          <w:sz w:val="21"/>
          <w:szCs w:val="21"/>
          <w:color w:val="auto"/>
        </w:rPr>
      </w:pPr>
      <w:r>
        <w:rPr>
          <w:rFonts w:ascii="Arial" w:cs="Arial" w:eastAsia="Arial" w:hAnsi="Arial"/>
          <w:sz w:val="21"/>
          <w:szCs w:val="21"/>
          <w:color w:val="auto"/>
        </w:rPr>
        <w:t>Yesterday, the FDA issued a Complete Response Letter (CRL) for the pre-filled syringe supplemental BLA (sBLA). The sole approvability issue cited in the CRL relates to unresolved inspection findings at Catalent. The Company is planning to submit by January 2026 an application to include a new pre-filled syringe manufacturing filler in the</w:t>
      </w:r>
    </w:p>
    <w:p>
      <w:pPr>
        <w:spacing w:after="0" w:line="2" w:lineRule="exact"/>
        <w:rPr>
          <w:rFonts w:ascii="Arial" w:cs="Arial" w:eastAsia="Arial" w:hAnsi="Arial"/>
          <w:sz w:val="21"/>
          <w:szCs w:val="21"/>
          <w:color w:val="auto"/>
        </w:rPr>
      </w:pPr>
    </w:p>
    <w:p>
      <w:pPr>
        <w:ind w:left="340"/>
        <w:spacing w:after="0"/>
        <w:rPr>
          <w:rFonts w:ascii="Arial" w:cs="Arial" w:eastAsia="Arial" w:hAnsi="Arial"/>
          <w:sz w:val="21"/>
          <w:szCs w:val="21"/>
          <w:color w:val="auto"/>
        </w:rPr>
      </w:pPr>
      <w:r>
        <w:rPr>
          <w:rFonts w:ascii="Arial" w:cs="Arial" w:eastAsia="Arial" w:hAnsi="Arial"/>
          <w:sz w:val="22"/>
          <w:szCs w:val="22"/>
          <w:color w:val="auto"/>
        </w:rPr>
        <w:t>EYLEA HD BLA.</w:t>
      </w:r>
    </w:p>
    <w:p>
      <w:pPr>
        <w:spacing w:after="0" w:line="125" w:lineRule="exact"/>
        <w:rPr>
          <w:rFonts w:ascii="Arial" w:cs="Arial" w:eastAsia="Arial" w:hAnsi="Arial"/>
          <w:sz w:val="21"/>
          <w:szCs w:val="21"/>
          <w:color w:val="auto"/>
        </w:rPr>
      </w:pPr>
    </w:p>
    <w:p>
      <w:pPr>
        <w:ind w:left="340" w:right="240"/>
        <w:spacing w:after="0" w:line="257" w:lineRule="auto"/>
        <w:rPr>
          <w:rFonts w:ascii="Arial" w:cs="Arial" w:eastAsia="Arial" w:hAnsi="Arial"/>
          <w:sz w:val="21"/>
          <w:szCs w:val="21"/>
          <w:color w:val="auto"/>
        </w:rPr>
      </w:pPr>
      <w:r>
        <w:rPr>
          <w:rFonts w:ascii="Arial" w:cs="Arial" w:eastAsia="Arial" w:hAnsi="Arial"/>
          <w:sz w:val="22"/>
          <w:szCs w:val="22"/>
          <w:color w:val="auto"/>
        </w:rPr>
        <w:t>There is also an sBLA under review by the FDA for EYLEA HD every-four-week dosing and for the treatment of macular edema following retinal vein occlusion (RVO), which has a target action date in late November 2025. In addition, the Company has submitted an application to include an additional vial filler, with an FDA decision regarding this new vial filler expected by late December 2025.</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2"/>
          <w:szCs w:val="22"/>
          <w:color w:val="auto"/>
        </w:rPr>
        <w:t xml:space="preserve"> (cemiplimab)</w:t>
      </w:r>
    </w:p>
    <w:p>
      <w:pPr>
        <w:spacing w:after="0" w:line="24" w:lineRule="exact"/>
        <w:rPr>
          <w:sz w:val="20"/>
          <w:szCs w:val="20"/>
          <w:color w:val="auto"/>
        </w:rPr>
      </w:pPr>
    </w:p>
    <w:p>
      <w:pPr>
        <w:ind w:left="340" w:right="28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October 2025, the FDA approved an sBLA for Libtayo as an adjuvant treatment for adults with CSCC at high risk of recurrence after surgery and radiation, making Libtayo the first and only immunotherapy approved in this setting. The EMA's CHMP also adopted a positive opinion for the adjuvant treatment of CSCC, and the EC is expected to announce a final decision in the coming months.</w:t>
      </w:r>
    </w:p>
    <w:p>
      <w:pPr>
        <w:spacing w:after="0" w:line="2" w:lineRule="exact"/>
        <w:rPr>
          <w:rFonts w:ascii="Arial" w:cs="Arial" w:eastAsia="Arial" w:hAnsi="Arial"/>
          <w:sz w:val="22"/>
          <w:szCs w:val="22"/>
          <w:color w:val="auto"/>
        </w:rPr>
      </w:pPr>
    </w:p>
    <w:p>
      <w:pPr>
        <w:ind w:left="340" w:right="300" w:hanging="332"/>
        <w:spacing w:after="0" w:line="25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September 2025, Japan's Ministry of Health, Labour and Welfare (MHLW) approved Libtayo for an additional indication, as a monotherapy and in combination with chemotherapy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83" w:right="359" w:bottom="1440" w:gutter="0" w:footer="0" w:header="0"/>
        </w:sectPr>
      </w:pPr>
    </w:p>
    <w:bookmarkStart w:id="5" w:name="page6"/>
    <w:bookmarkEnd w:id="5"/>
    <w:p>
      <w:pPr>
        <w:ind w:left="340"/>
        <w:spacing w:after="0"/>
        <w:rPr>
          <w:sz w:val="20"/>
          <w:szCs w:val="20"/>
          <w:color w:val="auto"/>
        </w:rPr>
      </w:pPr>
      <w:r>
        <w:rPr>
          <w:rFonts w:ascii="Arial" w:cs="Arial" w:eastAsia="Arial" w:hAnsi="Arial"/>
          <w:sz w:val="22"/>
          <w:szCs w:val="22"/>
          <w:color w:val="auto"/>
        </w:rPr>
        <w:t>for the treatment of adult patients with unresectable advanced or relapsed non-small cell lung cancer (NSCLC).</w:t>
      </w:r>
    </w:p>
    <w:p>
      <w:pPr>
        <w:spacing w:after="0" w:line="24" w:lineRule="exact"/>
        <w:rPr>
          <w:sz w:val="20"/>
          <w:szCs w:val="20"/>
          <w:color w:val="auto"/>
        </w:rPr>
      </w:pPr>
    </w:p>
    <w:p>
      <w:pPr>
        <w:ind w:left="340" w:right="60" w:hanging="332"/>
        <w:spacing w:after="0" w:line="249"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September 2025, the Company announced five-year follow-up results on overall survival from a Phase 3 trial, which evaluated Libtayo plus platinum-based chemotherapy versus chemotherapy alone as a first-line treatment for adults with locally advanced or metastatic NSCLC. The data demonstrate a more than double five-year overall survival rate of 19.4%, compared to 8.8% with chemotherapy alone, and was presented at the IASLC 2025 World Conference on Lung Cancer.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60" w:hanging="332"/>
        <w:spacing w:after="0" w:line="257" w:lineRule="auto"/>
        <w:tabs>
          <w:tab w:leader="none" w:pos="335"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August 2025, the Company announced that the primary and key secondary endpoints were met in a Phase 3 trial of cemdisiran (siRNA therapy), as both a monotherapy and in combination with pozelimab (C5 antibody), in adults with generalized myasthenia gravis. Cemdisiran monotherapy was numerically better than the combination treatment across these endpoints, showing a statistically significant 2.3-point placebo-adjusted improvement in Myasthenia Gravis Activities of Daily Living (MG-ADL) total score. A U.S. regulatory submission for cemdisiran monotherapy is planned for the first quarter of 2026, pending discussions with the FDA.</w:t>
      </w:r>
    </w:p>
    <w:p>
      <w:pPr>
        <w:ind w:left="340" w:right="18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In October 2025, updated data from the pivotal trial of DB-OTO, an AAV-based gene therapy, in children with profound genetic hearing loss due to variants of the otoferlin (OTOF) gene were published in the </w:t>
      </w:r>
      <w:r>
        <w:rPr>
          <w:rFonts w:ascii="Arial" w:cs="Arial" w:eastAsia="Arial" w:hAnsi="Arial"/>
          <w:sz w:val="22"/>
          <w:szCs w:val="22"/>
          <w:i w:val="1"/>
          <w:iCs w:val="1"/>
          <w:color w:val="auto"/>
        </w:rPr>
        <w:t>New England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Journal of Medicine </w:t>
      </w:r>
      <w:r>
        <w:rPr>
          <w:rFonts w:ascii="Arial" w:cs="Arial" w:eastAsia="Arial" w:hAnsi="Arial"/>
          <w:sz w:val="22"/>
          <w:szCs w:val="22"/>
          <w:color w:val="auto"/>
        </w:rPr>
        <w:t>and presented at the annual American Academy of Otolaryngology-Head and Neck Surgery</w:t>
      </w:r>
      <w:r>
        <w:rPr>
          <w:rFonts w:ascii="Arial" w:cs="Arial" w:eastAsia="Arial" w:hAnsi="Arial"/>
          <w:sz w:val="22"/>
          <w:szCs w:val="22"/>
          <w:i w:val="1"/>
          <w:iCs w:val="1"/>
          <w:color w:val="auto"/>
        </w:rPr>
        <w:t xml:space="preserve"> </w:t>
      </w:r>
      <w:r>
        <w:rPr>
          <w:rFonts w:ascii="Arial" w:cs="Arial" w:eastAsia="Arial" w:hAnsi="Arial"/>
          <w:sz w:val="22"/>
          <w:szCs w:val="22"/>
          <w:color w:val="auto"/>
        </w:rPr>
        <w:t>meeting. These latest results from the CHORD trial show 11 out of 12 participants have experienced clinically meaningful hearing improvements. A U.S. regulatory submission for DB-OTO is planned for the fourth quarter of 2025.</w:t>
      </w:r>
    </w:p>
    <w:p>
      <w:pPr>
        <w:spacing w:after="0" w:line="3" w:lineRule="exact"/>
        <w:rPr>
          <w:rFonts w:ascii="Arial" w:cs="Arial" w:eastAsia="Arial" w:hAnsi="Arial"/>
          <w:sz w:val="22"/>
          <w:szCs w:val="22"/>
          <w:color w:val="auto"/>
        </w:rPr>
      </w:pPr>
    </w:p>
    <w:p>
      <w:pPr>
        <w:ind w:left="340" w:right="24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October 2025, the FDA selected DB-OTO to receive one of the Commissioner’s National Priority Vouchers, a pilot program intended to reduce the review time for certain drug and biologic applications to just one to two months.</w:t>
      </w:r>
    </w:p>
    <w:p>
      <w:pPr>
        <w:spacing w:after="0" w:line="1" w:lineRule="exact"/>
        <w:rPr>
          <w:rFonts w:ascii="Arial" w:cs="Arial" w:eastAsia="Arial" w:hAnsi="Arial"/>
          <w:sz w:val="22"/>
          <w:szCs w:val="22"/>
          <w:color w:val="auto"/>
        </w:rPr>
      </w:pPr>
    </w:p>
    <w:p>
      <w:pPr>
        <w:ind w:left="340" w:right="6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September 2025, the Company announced the primary endpoint was met in a Phase 3 trial of garetosmab in adults with FOP, showing a 90% or greater reduction in new bone lesions (heterotopic ossification, or HO lesions) compared to placebo at 56 weeks, and a greater than 99% reduction in the total volume of new HO lesions. A U.S. regulatory submission for garetosmab is planned for the fourth quarter of 2025.</w:t>
      </w:r>
    </w:p>
    <w:p>
      <w:pPr>
        <w:ind w:left="340" w:right="360" w:hanging="332"/>
        <w:spacing w:after="0" w:line="224"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September 2025, the FDA approved Evkeeza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(evinacumab) for the treatment of homozygous familial hypercholesterolemia (HoFH), extending the already approved indication to include children from age 1 to less than 5 years old.</w:t>
      </w:r>
    </w:p>
    <w:p>
      <w:pPr>
        <w:spacing w:after="0" w:line="3" w:lineRule="exact"/>
        <w:rPr>
          <w:rFonts w:ascii="Arial" w:cs="Arial" w:eastAsia="Arial" w:hAnsi="Arial"/>
          <w:sz w:val="22"/>
          <w:szCs w:val="22"/>
          <w:color w:val="auto"/>
        </w:rPr>
      </w:pPr>
    </w:p>
    <w:p>
      <w:pPr>
        <w:ind w:left="340" w:right="200" w:hanging="332"/>
        <w:spacing w:after="0" w:line="249"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September 2025, the Company announced results from the Phase 3 trials evaluating its allergen-blocking antibodies in adults with moderate-to-severe cat allergies (REGN1908 and REGN1909) or birch allergies (REGN5713 and REGN5715). Both trials met their respective primary and key secondary endpoints, with single doses of the allergen-specific antibody blockers significantly reducing allergy symptoms compared to placebo at day 8. Additional Phase 3 development is planned to begin by the end of the year.</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26" w:lineRule="exact"/>
        <w:rPr>
          <w:sz w:val="20"/>
          <w:szCs w:val="20"/>
          <w:color w:val="auto"/>
        </w:rPr>
      </w:pPr>
    </w:p>
    <w:p>
      <w:pPr>
        <w:ind w:left="340" w:hanging="332"/>
        <w:spacing w:after="0" w:line="249"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September and October 2025, the Company reached resolution of its patent infringement litigation related to the Sandoz, Formycon, and Celltrion EYLEA (aflibercept) Injection 2 mg biosimilar products. The settlements preclude Sandoz, Formycon, and Celltrion from launching their biosimilar products in the United States until the fourth quarter of 2026. All intellectual property-related litigation with Sandoz, Formycon, and Celltrion in the United States has been dismissed.</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96"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Third Quarter 2025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2025</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Q3 2024</w:t>
            </w:r>
          </w:p>
        </w:tc>
        <w:tc>
          <w:tcPr>
            <w:tcW w:w="100" w:type="dxa"/>
            <w:vAlign w:val="bottom"/>
          </w:tcPr>
          <w:p>
            <w:pPr>
              <w:spacing w:after="0"/>
              <w:rPr>
                <w:sz w:val="23"/>
                <w:szCs w:val="23"/>
                <w:color w:val="auto"/>
              </w:rPr>
            </w:pP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56"/>
        </w:trPr>
        <w:tc>
          <w:tcPr>
            <w:tcW w:w="494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431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392</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10%</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(41%)</w:t>
            </w:r>
          </w:p>
        </w:tc>
      </w:tr>
      <w:tr>
        <w:trPr>
          <w:trHeight w:val="250"/>
        </w:trPr>
        <w:tc>
          <w:tcPr>
            <w:tcW w:w="494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1,537</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U.S.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12%</w:t>
            </w:r>
          </w:p>
        </w:tc>
      </w:tr>
      <w:tr>
        <w:trPr>
          <w:trHeight w:val="257"/>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Libtayo - ROW*</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55%</w:t>
            </w:r>
          </w:p>
        </w:tc>
      </w:tr>
      <w:tr>
        <w:trPr>
          <w:trHeight w:val="250"/>
        </w:trPr>
        <w:tc>
          <w:tcPr>
            <w:tcW w:w="494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Libtayo - Global</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26%</w:t>
            </w:r>
          </w:p>
        </w:tc>
      </w:tr>
      <w:tr>
        <w:trPr>
          <w:trHeight w:val="257"/>
        </w:trPr>
        <w:tc>
          <w:tcPr>
            <w:tcW w:w="4940" w:type="dxa"/>
            <w:vAlign w:val="bottom"/>
          </w:tcPr>
          <w:p>
            <w:pPr>
              <w:ind w:left="26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26%</w:t>
            </w:r>
          </w:p>
        </w:tc>
      </w:tr>
      <w:tr>
        <w:trPr>
          <w:trHeight w:val="256"/>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Evkeeza - U.S.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34%</w:t>
            </w:r>
          </w:p>
        </w:tc>
      </w:tr>
      <w:tr>
        <w:trPr>
          <w:trHeight w:val="257"/>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Other products - Global</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(97%)</w:t>
            </w: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(18%)</w:t>
            </w: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57"/>
        </w:trPr>
        <w:tc>
          <w:tcPr>
            <w:tcW w:w="4940" w:type="dxa"/>
            <w:vAlign w:val="bottom"/>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1,263</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28%</w:t>
            </w:r>
          </w:p>
        </w:tc>
      </w:tr>
      <w:tr>
        <w:trPr>
          <w:trHeight w:val="256"/>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257"/>
        </w:trPr>
        <w:tc>
          <w:tcPr>
            <w:tcW w:w="4940" w:type="dxa"/>
            <w:vAlign w:val="bottom"/>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74%</w:t>
            </w:r>
          </w:p>
        </w:tc>
      </w:tr>
      <w:tr>
        <w:trPr>
          <w:trHeight w:val="250"/>
        </w:trPr>
        <w:tc>
          <w:tcPr>
            <w:tcW w:w="494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3,720</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1%</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40" w:lineRule="exact"/>
        <w:rPr>
          <w:sz w:val="20"/>
          <w:szCs w:val="20"/>
          <w:color w:val="auto"/>
        </w:rPr>
      </w:pPr>
    </w:p>
    <w:p>
      <w:pPr>
        <w:ind w:left="360" w:hanging="11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6"/>
          <w:szCs w:val="16"/>
          <w:color w:val="auto"/>
        </w:rPr>
        <w:t>Rest of world (ROW)</w:t>
      </w:r>
    </w:p>
    <w:p>
      <w:pPr>
        <w:spacing w:after="0" w:line="280"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Net product sales of EYLEA HD increased in the third quarter of 2025, compared to the third quarter of 2024, due to higher sales volumes driven by increased demand, partly offset by a lower net selling price.</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Net product sales of EYLEA in the third quarter of 2025, compared to the third quarter of 2024, were negatively impacted by (i) lower sales volumes as a result of continued competitive pressures, loss in market share to compounded bevacizumab due to patient affordability constraints, and the continued transition of patients to EYLEA HD, and (ii) a lower net selling price.</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21"/>
          <w:szCs w:val="21"/>
          <w:color w:val="auto"/>
        </w:rPr>
        <w:t>Sanofi collaboration revenue increased in the third quarter of 2025, compared to the third quarter of 2024, due to an increase in the Company's share of profits from the commercialization of antibodies, which were $1.46 billion and $1.09 billion in the third quarter of 2025 and 2024, respectively. The change in the Company's share of profits from commercialization of antibodies was driven by higher profits associated with an increase in Dupixent sales.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Other revenue increased in the third quarter of 2025, compared to the third quarter of 2024, due to an increase in royalties and share of profits earned in connection with license agreements, which were $165 million and $91 million for the third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1043" w:right="4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w w:val="98"/>
              </w:rPr>
              <w:t>Q3 2025</w:t>
            </w:r>
          </w:p>
        </w:tc>
        <w:tc>
          <w:tcPr>
            <w:tcW w:w="1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b w:val="1"/>
                <w:bCs w:val="1"/>
                <w:color w:val="auto"/>
                <w:w w:val="96"/>
              </w:rPr>
              <w:t>Q3 2024</w:t>
            </w:r>
          </w:p>
        </w:tc>
        <w:tc>
          <w:tcPr>
            <w:tcW w:w="12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2025</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Q3 2024</w:t>
            </w:r>
          </w:p>
        </w:tc>
        <w:tc>
          <w:tcPr>
            <w:tcW w:w="1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1,272</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1,146</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56</w:t>
            </w:r>
          </w:p>
        </w:tc>
        <w:tc>
          <w:tcPr>
            <w:tcW w:w="13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2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88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658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613</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262</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217</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241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229</w:t>
            </w:r>
          </w:p>
        </w:tc>
        <w:tc>
          <w:tcPr>
            <w:tcW w:w="13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2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880" w:type="dxa"/>
            <w:vAlign w:val="bottom"/>
          </w:tcPr>
          <w:p>
            <w:pPr>
              <w:ind w:left="180"/>
              <w:spacing w:after="0" w:line="257" w:lineRule="exact"/>
              <w:rPr>
                <w:sz w:val="20"/>
                <w:szCs w:val="20"/>
                <w:color w:val="auto"/>
              </w:rPr>
            </w:pPr>
            <w:r>
              <w:rPr>
                <w:rFonts w:ascii="Arial" w:cs="Arial" w:eastAsia="Arial" w:hAnsi="Arial"/>
                <w:sz w:val="20"/>
                <w:szCs w:val="20"/>
                <w:color w:val="auto"/>
              </w:rPr>
              <w:t>manufacturing (COCM)</w:t>
            </w:r>
            <w:r>
              <w:rPr>
                <w:rFonts w:ascii="Arial" w:cs="Arial" w:eastAsia="Arial" w:hAnsi="Arial"/>
                <w:sz w:val="25"/>
                <w:szCs w:val="25"/>
                <w:color w:val="auto"/>
                <w:vertAlign w:val="superscript"/>
              </w:rPr>
              <w:t>(c)</w:t>
            </w: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3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80" w:right="3940" w:firstLine="8"/>
        <w:spacing w:after="0" w:line="298" w:lineRule="auto"/>
        <w:tabs>
          <w:tab w:leader="none" w:pos="295" w:val="left"/>
        </w:tabs>
        <w:numPr>
          <w:ilvl w:val="0"/>
          <w:numId w:val="10"/>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ind w:left="660" w:right="220" w:hanging="328"/>
        <w:spacing w:after="0" w:line="272"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GAAP and non-GAAP R&amp;D expenses increased in the third quarter of 2025, compared to the third quarter of 2024, driven by the advancement of the Company's late-stage clinical pipeline.</w:t>
      </w:r>
    </w:p>
    <w:p>
      <w:pPr>
        <w:spacing w:after="0" w:line="20" w:lineRule="exact"/>
        <w:rPr>
          <w:rFonts w:ascii="Arial" w:cs="Arial" w:eastAsia="Arial" w:hAnsi="Arial"/>
          <w:sz w:val="22"/>
          <w:szCs w:val="22"/>
          <w:color w:val="auto"/>
        </w:rPr>
      </w:pPr>
    </w:p>
    <w:p>
      <w:pPr>
        <w:ind w:left="660" w:right="40" w:hanging="328"/>
        <w:spacing w:after="0" w:line="253"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Acquired IPR&amp;D expenses for the third quarter of 2025 included an $80 million up-front payment in connection with the Company's license agreement with Hansoh Pharmaceuticals Group Company Limited. Acquired IPR&amp;D expenses for the third quarter of 2024 included a $45 million development milestone in connection with the Company's collaboration agreement with Sonoma Biotherapeutics, Inc.</w:t>
      </w:r>
    </w:p>
    <w:p>
      <w:pPr>
        <w:spacing w:after="0" w:line="40" w:lineRule="exact"/>
        <w:rPr>
          <w:rFonts w:ascii="Arial" w:cs="Arial" w:eastAsia="Arial" w:hAnsi="Arial"/>
          <w:sz w:val="22"/>
          <w:szCs w:val="22"/>
          <w:color w:val="auto"/>
        </w:rPr>
      </w:pPr>
    </w:p>
    <w:p>
      <w:pPr>
        <w:ind w:left="660" w:hanging="328"/>
        <w:spacing w:after="0" w:line="257"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GAAP and non-GAAP SG&amp;A expenses decreased in the third quarter of 2025, compared to the third quarter of 2024, primarily due to lower charitable contributions to an independent not-for-profit patient assistance organization.</w:t>
      </w:r>
    </w:p>
    <w:p>
      <w:pPr>
        <w:spacing w:after="0" w:line="24" w:lineRule="exact"/>
        <w:rPr>
          <w:rFonts w:ascii="Arial" w:cs="Arial" w:eastAsia="Arial" w:hAnsi="Arial"/>
          <w:sz w:val="22"/>
          <w:szCs w:val="22"/>
          <w:color w:val="auto"/>
        </w:rPr>
      </w:pPr>
    </w:p>
    <w:p>
      <w:pPr>
        <w:ind w:left="660" w:right="160" w:hanging="328"/>
        <w:spacing w:after="0" w:line="257"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GAAP and non-GAAP gross margin on net product sales decreased in the third quarter of 2025, compared to the third quarter of 2024, partly due to ongoing investments to support the Company's manufacturing operations. In addition, GAAP gross margin on net product sales decreased due to higher amortization expense associated with the Company's Libtayo intangible asset.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color w:val="auto"/>
        </w:rPr>
        <w:t>GAAP other income (expense), net included the recognition of net gains on marketable and other securities of $578 million in the third quarter of 2025, compared to $135 million in the third quarter of 2024.</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the third quarter of 2025, the Company's GAAP effective tax rate (ETR) was 17.2%, compared to 10.2% in the third quarter of 2024. The GAAP ETR increased in the third quarter of 2025, compared to the third quarter of 2024, primarily due to the impact of the enactment of the "One Big Beautiful Bill Act" or "OBBBA," including a $45 million charge related to the re-measurement of the Company's U.S. net deferred tax assets, as well as lower tax benefits from less stock option exercises. In the third quarter of 2025, the non-GAAP ETR was 13.1%, compared to 10.7% in the third quarter of 2024.</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45"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Capital Allocation</w:t>
      </w:r>
    </w:p>
    <w:p>
      <w:pPr>
        <w:spacing w:after="0" w:line="152"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During the third quarter of 2025, the Company repurchased shares of its common stock and recorded the cost of the shares, or $663 million, as Treasury Stock. As of September 30, 2025, $2.156 billion remained available for share repurchases under the Company's share repurchase programs.</w:t>
      </w:r>
    </w:p>
    <w:p>
      <w:pPr>
        <w:spacing w:after="0" w:line="105" w:lineRule="exact"/>
        <w:rPr>
          <w:sz w:val="20"/>
          <w:szCs w:val="20"/>
          <w:color w:val="auto"/>
        </w:rPr>
      </w:pPr>
    </w:p>
    <w:p>
      <w:pPr>
        <w:spacing w:after="0" w:line="296" w:lineRule="auto"/>
        <w:rPr>
          <w:sz w:val="20"/>
          <w:szCs w:val="20"/>
          <w:color w:val="auto"/>
        </w:rPr>
      </w:pPr>
      <w:r>
        <w:rPr>
          <w:rFonts w:ascii="Arial" w:cs="Arial" w:eastAsia="Arial" w:hAnsi="Arial"/>
          <w:sz w:val="21"/>
          <w:szCs w:val="21"/>
          <w:color w:val="auto"/>
        </w:rPr>
        <w:t>In October 2025, the Company's board of directors declared a cash dividend of $0.88 per share on the Company's common stock and Class A stock, payable on December 5, 2025 to shareholders of record as of November 20, 2025.</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2025 Financial Guidance*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2025 financial guidance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400" w:type="dxa"/>
            <w:vAlign w:val="bottom"/>
          </w:tcPr>
          <w:p>
            <w:pPr>
              <w:spacing w:after="0"/>
              <w:rPr>
                <w:sz w:val="23"/>
                <w:szCs w:val="23"/>
                <w:color w:val="auto"/>
              </w:rPr>
            </w:pPr>
          </w:p>
        </w:tc>
        <w:tc>
          <w:tcPr>
            <w:tcW w:w="4800" w:type="dxa"/>
            <w:vAlign w:val="bottom"/>
            <w:gridSpan w:val="3"/>
          </w:tcPr>
          <w:p>
            <w:pPr>
              <w:ind w:left="1700"/>
              <w:spacing w:after="0"/>
              <w:rPr>
                <w:sz w:val="20"/>
                <w:szCs w:val="20"/>
                <w:color w:val="auto"/>
              </w:rPr>
            </w:pPr>
            <w:r>
              <w:rPr>
                <w:rFonts w:ascii="Arial" w:cs="Arial" w:eastAsia="Arial" w:hAnsi="Arial"/>
                <w:sz w:val="20"/>
                <w:szCs w:val="20"/>
                <w:b w:val="1"/>
                <w:bCs w:val="1"/>
                <w:color w:val="auto"/>
              </w:rPr>
              <w:t>2025 Guidance</w:t>
            </w:r>
          </w:p>
        </w:tc>
      </w:tr>
      <w:tr>
        <w:trPr>
          <w:trHeight w:val="34"/>
        </w:trPr>
        <w:tc>
          <w:tcPr>
            <w:tcW w:w="44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84"/>
        </w:trPr>
        <w:tc>
          <w:tcPr>
            <w:tcW w:w="4400" w:type="dxa"/>
            <w:vAlign w:val="bottom"/>
          </w:tcPr>
          <w:p>
            <w:pPr>
              <w:spacing w:after="0"/>
              <w:rPr>
                <w:sz w:val="24"/>
                <w:szCs w:val="2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8"/>
              </w:rPr>
              <w:t>Prior</w:t>
            </w:r>
          </w:p>
        </w:tc>
        <w:tc>
          <w:tcPr>
            <w:tcW w:w="2460" w:type="dxa"/>
            <w:vAlign w:val="bottom"/>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50"/>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$5.660–$5.790 billion</w:t>
            </w:r>
          </w:p>
        </w:tc>
        <w:tc>
          <w:tcPr>
            <w:tcW w:w="140" w:type="dxa"/>
            <w:vAlign w:val="bottom"/>
            <w:shd w:val="clear" w:color="auto" w:fill="CCEEFF"/>
          </w:tcPr>
          <w:p>
            <w:pPr>
              <w:spacing w:after="0"/>
              <w:rPr>
                <w:sz w:val="21"/>
                <w:szCs w:val="21"/>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$5.680–$5.750 billion</w:t>
            </w:r>
          </w:p>
        </w:tc>
      </w:tr>
      <w:tr>
        <w:trPr>
          <w:trHeight w:val="270"/>
        </w:trPr>
        <w:tc>
          <w:tcPr>
            <w:tcW w:w="440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34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$5.100–$5.200 billion</w:t>
            </w:r>
          </w:p>
        </w:tc>
        <w:tc>
          <w:tcPr>
            <w:tcW w:w="2460" w:type="dxa"/>
            <w:vAlign w:val="bottom"/>
          </w:tcPr>
          <w:p>
            <w:pPr>
              <w:jc w:val="center"/>
              <w:spacing w:after="0"/>
              <w:rPr>
                <w:sz w:val="20"/>
                <w:szCs w:val="20"/>
                <w:color w:val="auto"/>
              </w:rPr>
            </w:pPr>
            <w:r>
              <w:rPr>
                <w:rFonts w:ascii="Arial" w:cs="Arial" w:eastAsia="Arial" w:hAnsi="Arial"/>
                <w:sz w:val="20"/>
                <w:szCs w:val="20"/>
                <w:color w:val="auto"/>
                <w:w w:val="98"/>
              </w:rPr>
              <w:t>$5.150–$5.200 billion</w:t>
            </w:r>
          </w:p>
        </w:tc>
      </w:tr>
      <w:tr>
        <w:trPr>
          <w:trHeight w:val="270"/>
        </w:trPr>
        <w:tc>
          <w:tcPr>
            <w:tcW w:w="44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SG&amp;A</w:t>
            </w:r>
            <w:r>
              <w:rPr>
                <w:rFonts w:ascii="Arial" w:cs="Arial" w:eastAsia="Arial" w:hAnsi="Arial"/>
                <w:sz w:val="25"/>
                <w:szCs w:val="25"/>
                <w:color w:val="auto"/>
                <w:vertAlign w:val="superscript"/>
              </w:rPr>
              <w:t>**</w:t>
            </w:r>
          </w:p>
        </w:tc>
        <w:tc>
          <w:tcPr>
            <w:tcW w:w="234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$2.810–$2.940 billion</w:t>
            </w:r>
          </w:p>
        </w:tc>
        <w:tc>
          <w:tcPr>
            <w:tcW w:w="2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$2.775–$2.845 billion</w:t>
            </w:r>
          </w:p>
        </w:tc>
      </w:tr>
      <w:tr>
        <w:trPr>
          <w:trHeight w:val="270"/>
        </w:trPr>
        <w:tc>
          <w:tcPr>
            <w:tcW w:w="440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34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$2.450–$2.550 billion</w:t>
            </w:r>
          </w:p>
        </w:tc>
        <w:tc>
          <w:tcPr>
            <w:tcW w:w="2460" w:type="dxa"/>
            <w:vAlign w:val="bottom"/>
          </w:tcPr>
          <w:p>
            <w:pPr>
              <w:jc w:val="center"/>
              <w:spacing w:after="0"/>
              <w:rPr>
                <w:sz w:val="20"/>
                <w:szCs w:val="20"/>
                <w:color w:val="auto"/>
              </w:rPr>
            </w:pPr>
            <w:r>
              <w:rPr>
                <w:rFonts w:ascii="Arial" w:cs="Arial" w:eastAsia="Arial" w:hAnsi="Arial"/>
                <w:sz w:val="20"/>
                <w:szCs w:val="20"/>
                <w:color w:val="auto"/>
                <w:w w:val="98"/>
              </w:rPr>
              <w:t>$2.400–$2.450 billion</w:t>
            </w:r>
          </w:p>
        </w:tc>
      </w:t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Approximately 83%</w:t>
            </w:r>
          </w:p>
        </w:tc>
        <w:tc>
          <w:tcPr>
            <w:tcW w:w="2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Approximately 82%</w:t>
            </w:r>
          </w:p>
        </w:tc>
      </w:tr>
      <w:tr>
        <w:trPr>
          <w:trHeight w:val="270"/>
        </w:trPr>
        <w:tc>
          <w:tcPr>
            <w:tcW w:w="440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234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Approximately 86%</w:t>
            </w:r>
          </w:p>
        </w:tc>
        <w:tc>
          <w:tcPr>
            <w:tcW w:w="24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4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w:t>
            </w:r>
          </w:p>
        </w:tc>
        <w:tc>
          <w:tcPr>
            <w:tcW w:w="234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$1.000–$1.050 billion</w:t>
            </w:r>
          </w:p>
        </w:tc>
        <w:tc>
          <w:tcPr>
            <w:tcW w:w="2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$950 million–$1.000 billion</w:t>
            </w:r>
          </w:p>
        </w:tc>
      </w:tr>
      <w:tr>
        <w:trPr>
          <w:trHeight w:val="270"/>
        </w:trPr>
        <w:tc>
          <w:tcPr>
            <w:tcW w:w="440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34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$880–$950 million</w:t>
            </w:r>
          </w:p>
        </w:tc>
        <w:tc>
          <w:tcPr>
            <w:tcW w:w="2460" w:type="dxa"/>
            <w:vAlign w:val="bottom"/>
          </w:tcPr>
          <w:p>
            <w:pPr>
              <w:jc w:val="center"/>
              <w:spacing w:after="0"/>
              <w:rPr>
                <w:sz w:val="20"/>
                <w:szCs w:val="20"/>
                <w:color w:val="auto"/>
              </w:rPr>
            </w:pPr>
            <w:r>
              <w:rPr>
                <w:rFonts w:ascii="Arial" w:cs="Arial" w:eastAsia="Arial" w:hAnsi="Arial"/>
                <w:sz w:val="20"/>
                <w:szCs w:val="20"/>
                <w:color w:val="auto"/>
                <w:w w:val="98"/>
              </w:rPr>
              <w:t>$850–$890 million</w:t>
            </w:r>
          </w:p>
        </w:tc>
      </w:t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34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6"/>
              </w:rPr>
              <w:t>11%–13%</w:t>
            </w:r>
          </w:p>
        </w:tc>
        <w:tc>
          <w:tcPr>
            <w:tcW w:w="24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Approximately 14%</w:t>
            </w:r>
          </w:p>
        </w:tc>
      </w:tr>
      <w:tr>
        <w:trPr>
          <w:trHeight w:val="343"/>
        </w:trPr>
        <w:tc>
          <w:tcPr>
            <w:tcW w:w="440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340" w:type="dxa"/>
            <w:vAlign w:val="bottom"/>
            <w:gridSpan w:val="2"/>
          </w:tcPr>
          <w:p>
            <w:pPr>
              <w:jc w:val="center"/>
              <w:ind w:right="140"/>
              <w:spacing w:after="0"/>
              <w:rPr>
                <w:sz w:val="20"/>
                <w:szCs w:val="20"/>
                <w:color w:val="auto"/>
              </w:rPr>
            </w:pPr>
            <w:r>
              <w:rPr>
                <w:rFonts w:ascii="Arial" w:cs="Arial" w:eastAsia="Arial" w:hAnsi="Arial"/>
                <w:sz w:val="20"/>
                <w:szCs w:val="20"/>
                <w:color w:val="auto"/>
                <w:w w:val="96"/>
              </w:rPr>
              <w:t>11%–13%</w:t>
            </w:r>
          </w:p>
        </w:tc>
        <w:tc>
          <w:tcPr>
            <w:tcW w:w="2460" w:type="dxa"/>
            <w:vAlign w:val="bottom"/>
          </w:tcPr>
          <w:p>
            <w:pPr>
              <w:jc w:val="center"/>
              <w:spacing w:after="0"/>
              <w:rPr>
                <w:sz w:val="20"/>
                <w:szCs w:val="20"/>
                <w:color w:val="auto"/>
              </w:rPr>
            </w:pPr>
            <w:r>
              <w:rPr>
                <w:rFonts w:ascii="Arial" w:cs="Arial" w:eastAsia="Arial" w:hAnsi="Arial"/>
                <w:sz w:val="20"/>
                <w:szCs w:val="20"/>
                <w:color w:val="auto"/>
                <w:w w:val="98"/>
              </w:rPr>
              <w:t>Approximately 12%</w:t>
            </w:r>
          </w:p>
        </w:tc>
      </w:tr>
    </w:tbl>
    <w:p>
      <w:pPr>
        <w:spacing w:after="0" w:line="21" w:lineRule="exact"/>
        <w:rPr>
          <w:sz w:val="20"/>
          <w:szCs w:val="20"/>
          <w:color w:val="auto"/>
        </w:rPr>
      </w:pPr>
    </w:p>
    <w:p>
      <w:pPr>
        <w:ind w:left="180" w:right="2320" w:firstLine="8"/>
        <w:spacing w:after="0" w:line="251" w:lineRule="auto"/>
        <w:tabs>
          <w:tab w:leader="none" w:pos="2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2025 financial guidance does not assume the completion of any business development transactions not completed as of the date of this press release</w:t>
      </w:r>
    </w:p>
    <w:p>
      <w:pPr>
        <w:spacing w:after="0" w:line="47" w:lineRule="exact"/>
        <w:rPr>
          <w:sz w:val="20"/>
          <w:szCs w:val="20"/>
          <w:color w:val="auto"/>
        </w:rPr>
      </w:pPr>
    </w:p>
    <w:p>
      <w:pPr>
        <w:ind w:left="180" w:right="2320" w:firstLine="8"/>
        <w:spacing w:after="0" w:line="251" w:lineRule="auto"/>
        <w:tabs>
          <w:tab w:leader="none" w:pos="3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2025 financial guidance includes potential matching program donations to Good Days, an independent national non-profit charitable organization, to support Good Days’ Retinal Vascular and Neovascular Disease Fund</w:t>
      </w:r>
    </w:p>
    <w:p>
      <w:pPr>
        <w:spacing w:after="0" w:line="33" w:lineRule="exact"/>
        <w:rPr>
          <w:rFonts w:ascii="Arial" w:cs="Arial" w:eastAsia="Arial" w:hAnsi="Arial"/>
          <w:sz w:val="16"/>
          <w:szCs w:val="16"/>
          <w:color w:val="auto"/>
        </w:rPr>
      </w:pPr>
    </w:p>
    <w:p>
      <w:pPr>
        <w:ind w:left="420" w:hanging="23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045" w:right="37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2025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50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Projected Range</w:t>
            </w: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0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gridSpan w:val="2"/>
          </w:tcPr>
          <w:p>
            <w:pPr>
              <w:ind w:left="360"/>
              <w:spacing w:after="0"/>
              <w:rPr>
                <w:sz w:val="20"/>
                <w:szCs w:val="20"/>
                <w:color w:val="auto"/>
              </w:rPr>
            </w:pPr>
            <w:r>
              <w:rPr>
                <w:rFonts w:ascii="Arial" w:cs="Arial" w:eastAsia="Arial" w:hAnsi="Arial"/>
                <w:sz w:val="20"/>
                <w:szCs w:val="20"/>
                <w:b w:val="1"/>
                <w:bCs w:val="1"/>
                <w:color w:val="auto"/>
              </w:rPr>
              <w:t>Low</w:t>
            </w:r>
          </w:p>
        </w:tc>
        <w:tc>
          <w:tcPr>
            <w:tcW w:w="780" w:type="dxa"/>
            <w:vAlign w:val="bottom"/>
          </w:tcPr>
          <w:p>
            <w:pPr>
              <w:spacing w:after="0"/>
              <w:rPr>
                <w:sz w:val="21"/>
                <w:szCs w:val="21"/>
                <w:color w:val="auto"/>
              </w:rPr>
            </w:pPr>
          </w:p>
        </w:tc>
        <w:tc>
          <w:tcPr>
            <w:tcW w:w="1320" w:type="dxa"/>
            <w:vAlign w:val="bottom"/>
          </w:tcPr>
          <w:p>
            <w:pPr>
              <w:jc w:val="right"/>
              <w:ind w:right="72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5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5,680</w:t>
            </w: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5,750</w:t>
            </w: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5,150</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5,200</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2,845</w:t>
            </w:r>
          </w:p>
        </w:tc>
        <w:tc>
          <w:tcPr>
            <w:tcW w:w="0" w:type="dxa"/>
            <w:vAlign w:val="bottom"/>
          </w:tcPr>
          <w:p>
            <w:pPr>
              <w:spacing w:after="0"/>
              <w:rPr>
                <w:sz w:val="1"/>
                <w:szCs w:val="1"/>
                <w:color w:val="auto"/>
              </w:rPr>
            </w:pPr>
          </w:p>
        </w:tc>
      </w:tr>
      <w:tr>
        <w:trPr>
          <w:trHeight w:val="256"/>
        </w:trPr>
        <w:tc>
          <w:tcPr>
            <w:tcW w:w="690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350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Litigation settlements</w:t>
            </w:r>
          </w:p>
        </w:tc>
        <w:tc>
          <w:tcPr>
            <w:tcW w:w="5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5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20"/>
                <w:szCs w:val="20"/>
                <w:color w:val="auto"/>
              </w:rPr>
              <w:t>GAAP gross margin on net product sales</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82%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690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Other</w:t>
            </w:r>
          </w:p>
        </w:tc>
        <w:tc>
          <w:tcPr>
            <w:tcW w:w="5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&lt; 1%</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&lt; 1%</w:t>
            </w:r>
          </w:p>
        </w:tc>
        <w:tc>
          <w:tcPr>
            <w:tcW w:w="0" w:type="dxa"/>
            <w:vAlign w:val="bottom"/>
          </w:tcPr>
          <w:p>
            <w:pPr>
              <w:spacing w:after="0"/>
              <w:rPr>
                <w:sz w:val="1"/>
                <w:szCs w:val="1"/>
                <w:color w:val="auto"/>
              </w:rPr>
            </w:pPr>
          </w:p>
        </w:tc>
      </w:tr>
      <w:tr>
        <w:trPr>
          <w:trHeight w:val="250"/>
        </w:trPr>
        <w:tc>
          <w:tcPr>
            <w:tcW w:w="6900" w:type="dxa"/>
            <w:vAlign w:val="bottom"/>
          </w:tcPr>
          <w:p>
            <w:pPr>
              <w:ind w:left="20"/>
              <w:spacing w:after="0" w:line="25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500" w:type="dxa"/>
            <w:vAlign w:val="bottom"/>
          </w:tcPr>
          <w:p>
            <w:pPr>
              <w:spacing w:after="0"/>
              <w:rPr>
                <w:sz w:val="21"/>
                <w:szCs w:val="21"/>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86%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20"/>
                <w:szCs w:val="20"/>
                <w:color w:val="auto"/>
              </w:rPr>
              <w:t>GAAP ETR</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Income tax effect of GAAP to non-GAAP reconciling items</w:t>
            </w: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Income tax expense: Charge related to enactment of OBBBA</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ETR</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045" w:right="359" w:bottom="1440" w:gutter="0" w:footer="0" w:header="0"/>
        </w:sectPr>
      </w:pPr>
    </w:p>
    <w:bookmarkStart w:id="10" w:name="page11"/>
    <w:bookmarkEnd w:id="10"/>
    <w:p>
      <w:pPr>
        <w:ind w:left="394" w:right="40" w:hanging="394"/>
        <w:spacing w:after="0" w:line="216"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hanging="394"/>
        <w:spacing w:after="0"/>
        <w:tabs>
          <w:tab w:leader="none" w:pos="394" w:val="left"/>
        </w:tabs>
        <w:numPr>
          <w:ilvl w:val="0"/>
          <w:numId w:val="14"/>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product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54"/>
          </w:cols>
          <w:pgMar w:left="346" w:top="1090"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third quarter 2025 financial and operating results on Tuesday, October 28, 2025,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drugs and product candidates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(including biosimilar versions of Regeneron's Products);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3" w:right="35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Candidates and research and clinical programs now underway or planned, including without limitation EYLEA HD</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8 mg,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(pozelimab), Ordspono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(odronextamab), Lynozyfic</w:t>
      </w:r>
      <w:r>
        <w:rPr>
          <w:rFonts w:ascii="Arial" w:cs="Arial" w:eastAsia="Arial" w:hAnsi="Arial"/>
          <w:sz w:val="28"/>
          <w:szCs w:val="28"/>
          <w:color w:val="auto"/>
          <w:vertAlign w:val="superscript"/>
        </w:rPr>
        <w:t>™</w:t>
      </w:r>
      <w:r>
        <w:rPr>
          <w:rFonts w:ascii="Arial" w:cs="Arial" w:eastAsia="Arial" w:hAnsi="Arial"/>
          <w:sz w:val="22"/>
          <w:szCs w:val="22"/>
          <w:color w:val="auto"/>
        </w:rPr>
        <w:t xml:space="preserve"> (linvoseltamab), other clinical programs discussed in this press release,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to drug pricing regulations and requirements and Regeneron's drug pricing strategy; other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9" w:right="33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22"/>
          <w:szCs w:val="22"/>
          <w:color w:val="auto"/>
        </w:rPr>
        <w:t>December 31, 2024 and its Form 10-Q for the quarterly period ended September 30, 2025.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11"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00"/>
          </w:cols>
          <w:pgMar w:left="320" w:top="896" w:right="37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380"/>
          </w:cols>
          <w:pgMar w:left="320" w:top="896" w:right="37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896"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18,729.3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17,912.6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6,211.9</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3,087.3</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4,599.7</w:t>
            </w: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5,741.3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4,888.0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37,759.4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0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1,946.4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5,626.3</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4,450.9</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10,412.8</w:t>
            </w: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3,719.9</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760.5</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7,412.3</w:t>
            </w:r>
          </w:p>
        </w:tc>
      </w:tr>
      <w:tr>
        <w:trPr>
          <w:trHeight w:val="250"/>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866.0</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3,821.8</w:t>
            </w: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320" w:top="890" w:right="9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9"/>
        </w:trPr>
        <w:tc>
          <w:tcPr>
            <w:tcW w:w="53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6"/>
        </w:trPr>
        <w:tc>
          <w:tcPr>
            <w:tcW w:w="40" w:type="dxa"/>
            <w:vAlign w:val="bottom"/>
          </w:tcPr>
          <w:p>
            <w:pPr>
              <w:spacing w:after="0"/>
              <w:rPr>
                <w:sz w:val="24"/>
                <w:szCs w:val="24"/>
                <w:color w:val="auto"/>
              </w:rPr>
            </w:pPr>
          </w:p>
        </w:tc>
        <w:tc>
          <w:tcPr>
            <w:tcW w:w="752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1002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5"/>
        </w:trPr>
        <w:tc>
          <w:tcPr>
            <w:tcW w:w="40" w:type="dxa"/>
            <w:vAlign w:val="bottom"/>
          </w:tcPr>
          <w:p>
            <w:pPr>
              <w:spacing w:after="0"/>
              <w:rPr>
                <w:sz w:val="21"/>
                <w:szCs w:val="21"/>
                <w:color w:val="auto"/>
              </w:rPr>
            </w:pPr>
          </w:p>
        </w:tc>
        <w:tc>
          <w:tcPr>
            <w:tcW w:w="752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39"/>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1"/>
                <w:szCs w:val="21"/>
                <w:color w:val="auto"/>
              </w:rPr>
            </w:pPr>
          </w:p>
        </w:tc>
        <w:tc>
          <w:tcPr>
            <w:tcW w:w="21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 w:type="dxa"/>
            <w:vAlign w:val="bottom"/>
          </w:tcPr>
          <w:p>
            <w:pPr>
              <w:spacing w:after="0"/>
              <w:rPr>
                <w:sz w:val="19"/>
                <w:szCs w:val="19"/>
                <w:color w:val="auto"/>
              </w:rPr>
            </w:pPr>
          </w:p>
        </w:tc>
        <w:tc>
          <w:tcPr>
            <w:tcW w:w="5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3,719.9</w:t>
            </w:r>
          </w:p>
        </w:tc>
      </w:tr>
      <w:tr>
        <w:trPr>
          <w:trHeight w:val="229"/>
        </w:trPr>
        <w:tc>
          <w:tcPr>
            <w:tcW w:w="4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369.1</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3,339.7</w:t>
            </w:r>
          </w:p>
        </w:tc>
      </w:tr>
      <w:tr>
        <w:trPr>
          <w:trHeight w:val="20"/>
        </w:trPr>
        <w:tc>
          <w:tcPr>
            <w:tcW w:w="40" w:type="dxa"/>
            <w:vAlign w:val="bottom"/>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2,162.2</w:t>
            </w: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r>
      <w:tr>
        <w:trPr>
          <w:trHeight w:val="229"/>
        </w:trPr>
        <w:tc>
          <w:tcPr>
            <w:tcW w:w="4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rPr>
              <w:t>Acquisition and integration costs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settlements</w:t>
            </w:r>
          </w:p>
        </w:tc>
        <w:tc>
          <w:tcPr>
            <w:tcW w:w="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SG&amp;A</w:t>
            </w:r>
          </w:p>
        </w:tc>
        <w:tc>
          <w:tcPr>
            <w:tcW w:w="9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1,863.6</w:t>
            </w:r>
          </w:p>
        </w:tc>
      </w:tr>
      <w:tr>
        <w:trPr>
          <w:trHeight w:val="20"/>
        </w:trPr>
        <w:tc>
          <w:tcPr>
            <w:tcW w:w="40" w:type="dxa"/>
            <w:vAlign w:val="bottom"/>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9"/>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GAAP COGS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760.5</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r>
      <w:tr>
        <w:trPr>
          <w:trHeight w:val="229"/>
        </w:trPr>
        <w:tc>
          <w:tcPr>
            <w:tcW w:w="4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rPr>
              <w:t>Acquisition and integration costs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amortization expense</w:t>
            </w:r>
          </w:p>
        </w:tc>
        <w:tc>
          <w:tcPr>
            <w:tcW w:w="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9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627.0</w:t>
            </w:r>
          </w:p>
        </w:tc>
      </w:tr>
      <w:tr>
        <w:trPr>
          <w:trHeight w:val="20"/>
        </w:trPr>
        <w:tc>
          <w:tcPr>
            <w:tcW w:w="40" w:type="dxa"/>
            <w:vAlign w:val="bottom"/>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GAAP other operating (income) expense, net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other operating (income) expense, net</w:t>
            </w: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821.3</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marketable and other securities, net</w:t>
            </w:r>
          </w:p>
        </w:tc>
        <w:tc>
          <w:tcPr>
            <w:tcW w:w="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9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490.1</w:t>
            </w:r>
          </w:p>
        </w:tc>
      </w:tr>
      <w:tr>
        <w:trPr>
          <w:trHeight w:val="20"/>
        </w:trPr>
        <w:tc>
          <w:tcPr>
            <w:tcW w:w="40" w:type="dxa"/>
            <w:vAlign w:val="bottom"/>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3,494.9</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519.0</w:t>
            </w:r>
          </w:p>
        </w:tc>
      </w:tr>
      <w:tr>
        <w:trPr>
          <w:trHeight w:val="230"/>
        </w:trPr>
        <w:tc>
          <w:tcPr>
            <w:tcW w:w="4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Charge related to enactment of OBBBA</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3,929.5</w:t>
            </w:r>
          </w:p>
        </w:tc>
      </w:tr>
      <w:tr>
        <w:trPr>
          <w:trHeight w:val="20"/>
        </w:trPr>
        <w:tc>
          <w:tcPr>
            <w:tcW w:w="40" w:type="dxa"/>
            <w:vAlign w:val="bottom"/>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36.38</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33.53</w:t>
            </w:r>
          </w:p>
        </w:tc>
      </w:tr>
      <w:tr>
        <w:trPr>
          <w:trHeight w:val="162"/>
        </w:trPr>
        <w:tc>
          <w:tcPr>
            <w:tcW w:w="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108.0</w:t>
            </w: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850"/>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20"/>
          </w:cols>
          <w:pgMar w:left="320" w:top="890" w:right="3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0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99"/>
              </w:rPr>
              <w:t xml:space="preserve">RECONCILIATION OF GAAP TO NON-GAAP FINANCIAL INFORMATION (Unaudited) </w:t>
            </w:r>
            <w:r>
              <w:rPr>
                <w:rFonts w:ascii="Arial" w:cs="Arial" w:eastAsia="Arial" w:hAnsi="Arial"/>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1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GAAP ETR</w:t>
            </w:r>
          </w:p>
        </w:tc>
        <w:tc>
          <w:tcPr>
            <w:tcW w:w="2100" w:type="dxa"/>
            <w:vAlign w:val="bottom"/>
            <w:gridSpan w:val="2"/>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Income tax expense: Charge related to enactment of OBBBA</w:t>
            </w:r>
          </w:p>
        </w:tc>
        <w:tc>
          <w:tcPr>
            <w:tcW w:w="210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ETR</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Gross margin on net product sales reconciliation:</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GAAP gross margin on net product sales</w:t>
            </w:r>
          </w:p>
        </w:tc>
        <w:tc>
          <w:tcPr>
            <w:tcW w:w="2100" w:type="dxa"/>
            <w:vAlign w:val="bottom"/>
            <w:gridSpan w:val="2"/>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1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margin on net product sales</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3,157.7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2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133" w:right="37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1,455.5</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3,755.7</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antibodies</w:t>
            </w: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EYLEA 8 mg and EYLEA outside the United States</w:t>
            </w: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890"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Three Months Ended</w:t>
      </w:r>
    </w:p>
    <w:p>
      <w:pPr>
        <w:jc w:val="center"/>
        <w:ind w:left="126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2,001.1</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EYLEA HD and EYLEA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4,857.0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3,817.2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6"/>
        </w:trPr>
        <w:tc>
          <w:tcPr>
            <w:tcW w:w="2900" w:type="dxa"/>
            <w:vAlign w:val="bottom"/>
          </w:tcPr>
          <w:p>
            <w:pPr>
              <w:ind w:left="20"/>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Nine Months Ended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6,116.1</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EYLEA HD and EYLEA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9,453.2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12,867.2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7,652.9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10,450.4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584.6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6"/>
        </w:trPr>
        <w:tc>
          <w:tcPr>
            <w:tcW w:w="2900" w:type="dxa"/>
            <w:vAlign w:val="bottom"/>
          </w:tcPr>
          <w:p>
            <w:pPr>
              <w:ind w:left="20"/>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40" w:right="80"/>
        <w:spacing w:after="0" w:line="245"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2" w:lineRule="exact"/>
        <w:rPr>
          <w:sz w:val="20"/>
          <w:szCs w:val="20"/>
          <w:color w:val="auto"/>
        </w:rPr>
      </w:pPr>
    </w:p>
    <w:p>
      <w:pPr>
        <w:ind w:left="240" w:right="5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1" w:lineRule="exact"/>
        <w:rPr>
          <w:rFonts w:ascii="Arial" w:cs="Arial" w:eastAsia="Arial" w:hAnsi="Arial"/>
          <w:sz w:val="22"/>
          <w:szCs w:val="22"/>
          <w:color w:val="auto"/>
          <w:vertAlign w:val="superscript"/>
        </w:rPr>
      </w:pPr>
    </w:p>
    <w:p>
      <w:pPr>
        <w:ind w:left="420" w:hanging="178"/>
        <w:spacing w:after="0" w:line="204" w:lineRule="auto"/>
        <w:tabs>
          <w:tab w:leader="none" w:pos="42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global net product sales of Libtayo and pays Sanofi a royalty on such sales</w:t>
      </w:r>
    </w:p>
    <w:p>
      <w:pPr>
        <w:spacing w:after="0" w:line="18" w:lineRule="exact"/>
        <w:rPr>
          <w:rFonts w:ascii="Arial" w:cs="Arial" w:eastAsia="Arial" w:hAnsi="Arial"/>
          <w:sz w:val="22"/>
          <w:szCs w:val="22"/>
          <w:color w:val="auto"/>
          <w:vertAlign w:val="superscript"/>
        </w:rPr>
      </w:pPr>
    </w:p>
    <w:p>
      <w:pPr>
        <w:ind w:left="240" w:right="220" w:firstLine="2"/>
        <w:spacing w:after="0" w:line="198" w:lineRule="auto"/>
        <w:tabs>
          <w:tab w:leader="none" w:pos="42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1" w:lineRule="exact"/>
        <w:rPr>
          <w:rFonts w:ascii="Arial" w:cs="Arial" w:eastAsia="Arial" w:hAnsi="Arial"/>
          <w:sz w:val="22"/>
          <w:szCs w:val="22"/>
          <w:color w:val="auto"/>
          <w:vertAlign w:val="superscript"/>
        </w:rPr>
      </w:pPr>
    </w:p>
    <w:p>
      <w:pPr>
        <w:jc w:val="both"/>
        <w:ind w:left="240" w:right="120" w:firstLine="2"/>
        <w:spacing w:after="0" w:line="246" w:lineRule="auto"/>
        <w:tabs>
          <w:tab w:leader="none" w:pos="412"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Included in this line item are products which are sold by the Company and others. Refer to "Third Quarter 2025 Financial Results" section above for a listing of net product sales recorded by the Company. Not included in this line item are net product sales of ARCALYST</w:t>
      </w:r>
      <w:r>
        <w:rPr>
          <w:rFonts w:ascii="Times New Roman" w:cs="Times New Roman" w:eastAsia="Times New Roman" w:hAnsi="Times New Roman"/>
          <w:sz w:val="18"/>
          <w:szCs w:val="18"/>
          <w:color w:val="auto"/>
          <w:vertAlign w:val="superscript"/>
        </w:rPr>
        <w:t>®</w:t>
      </w:r>
      <w:r>
        <w:rPr>
          <w:rFonts w:ascii="Arial" w:cs="Arial" w:eastAsia="Arial" w:hAnsi="Arial"/>
          <w:sz w:val="14"/>
          <w:szCs w:val="14"/>
          <w:color w:val="auto"/>
        </w:rPr>
        <w:t>, which are recorded by Kiniksa.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2025-10-28T05:54:16Z</dcterms:created>
  <dcterms:modified xsi:type="dcterms:W3CDTF">2025-10-28T05:54:16Z</dcterms:modified>
</cp:coreProperties>
</file>