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2, 2024 (May 2, 2024)</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2, 2024, Regeneron Pharmaceuticals, Inc. issued a press release announcing its financial and operating results for the quarter ended March 31, 2024.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54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May 2, 2024, Reporting First Quarter 2024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6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18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1860" w:type="dxa"/>
            <w:vAlign w:val="bottom"/>
          </w:tcPr>
          <w:p>
            <w:pPr>
              <w:spacing w:after="0"/>
              <w:rPr>
                <w:sz w:val="18"/>
                <w:szCs w:val="18"/>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1860" w:type="dxa"/>
            <w:vAlign w:val="bottom"/>
          </w:tcPr>
          <w:p>
            <w:pPr>
              <w:spacing w:after="0"/>
              <w:rPr>
                <w:sz w:val="20"/>
                <w:szCs w:val="20"/>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2024 Financial and Operating Results</w:t>
      </w:r>
    </w:p>
    <w:p>
      <w:pPr>
        <w:spacing w:after="0" w:line="174" w:lineRule="exact"/>
        <w:rPr>
          <w:sz w:val="20"/>
          <w:szCs w:val="20"/>
          <w:color w:val="auto"/>
        </w:rPr>
      </w:pPr>
    </w:p>
    <w:p>
      <w:pPr>
        <w:ind w:left="340" w:right="320" w:hanging="332"/>
        <w:spacing w:after="0" w:line="252"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2024 revenues decreased 1% to $3.15 billion versus first quarter 2023; excluding Ronapreve</w:t>
      </w:r>
      <w:r>
        <w:rPr>
          <w:rFonts w:ascii="Arial" w:cs="Arial" w:eastAsia="Arial" w:hAnsi="Arial"/>
          <w:sz w:val="11"/>
          <w:szCs w:val="11"/>
          <w:i w:val="1"/>
          <w:iCs w:val="1"/>
          <w:color w:val="auto"/>
        </w:rPr>
        <w:t>TM(a)(b)</w:t>
      </w:r>
      <w:r>
        <w:rPr>
          <w:rFonts w:ascii="Arial" w:cs="Arial" w:eastAsia="Arial" w:hAnsi="Arial"/>
          <w:sz w:val="22"/>
          <w:szCs w:val="22"/>
          <w:i w:val="1"/>
          <w:iCs w:val="1"/>
          <w:color w:val="auto"/>
        </w:rPr>
        <w:t>, revenues increased 7%</w:t>
      </w:r>
    </w:p>
    <w:p>
      <w:pPr>
        <w:spacing w:after="0" w:line="1" w:lineRule="exact"/>
        <w:rPr>
          <w:rFonts w:ascii="Arial" w:cs="Arial" w:eastAsia="Arial" w:hAnsi="Arial"/>
          <w:sz w:val="22"/>
          <w:szCs w:val="22"/>
          <w:i w:val="1"/>
          <w:iCs w:val="1"/>
          <w:color w:val="auto"/>
        </w:rPr>
      </w:pPr>
    </w:p>
    <w:p>
      <w:pPr>
        <w:ind w:left="340" w:right="60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2024 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24% to $3.08 billion versus first quarter 2023</w:t>
      </w:r>
    </w:p>
    <w:p>
      <w:pPr>
        <w:spacing w:after="0" w:line="1"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2024 U.S. net sales for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HD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were $1.40 billion, including $200 million from</w:t>
      </w:r>
    </w:p>
    <w:p>
      <w:pPr>
        <w:spacing w:after="0" w:line="3" w:lineRule="exact"/>
        <w:rPr>
          <w:rFonts w:ascii="Arial" w:cs="Arial" w:eastAsia="Arial" w:hAnsi="Arial"/>
          <w:sz w:val="22"/>
          <w:szCs w:val="22"/>
          <w:i w:val="1"/>
          <w:iCs w:val="1"/>
          <w:color w:val="auto"/>
        </w:rPr>
      </w:pPr>
    </w:p>
    <w:p>
      <w:pPr>
        <w:ind w:left="34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EYLEA HD</w:t>
      </w:r>
    </w:p>
    <w:p>
      <w:pPr>
        <w:spacing w:after="0" w:line="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2024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increased 45% to $264 million versus first quarter 2023</w:t>
      </w:r>
    </w:p>
    <w:p>
      <w:pPr>
        <w:spacing w:after="0" w:line="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2024 GAAP diluted EPS of $6.27 and non-GAAP diluted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of $9.55</w:t>
      </w:r>
    </w:p>
    <w:p>
      <w:pPr>
        <w:spacing w:after="0" w:line="10"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New $3.0 billion share repurchase program authorized in April 2024</w:t>
      </w:r>
    </w:p>
    <w:p>
      <w:pPr>
        <w:spacing w:after="0" w:line="204" w:lineRule="exact"/>
        <w:rPr>
          <w:sz w:val="20"/>
          <w:szCs w:val="20"/>
          <w:color w:val="auto"/>
        </w:rPr>
      </w:pPr>
    </w:p>
    <w:p>
      <w:pPr>
        <w:ind w:right="680"/>
        <w:spacing w:after="0" w:line="274" w:lineRule="auto"/>
        <w:rPr>
          <w:sz w:val="20"/>
          <w:szCs w:val="20"/>
          <w:color w:val="auto"/>
        </w:rPr>
      </w:pPr>
      <w:r>
        <w:rPr>
          <w:rFonts w:ascii="Arial" w:cs="Arial" w:eastAsia="Arial" w:hAnsi="Arial"/>
          <w:sz w:val="22"/>
          <w:szCs w:val="22"/>
          <w:b w:val="1"/>
          <w:bCs w:val="1"/>
          <w:color w:val="auto"/>
        </w:rPr>
        <w:t xml:space="preserve">Tarrytown, New York (May 2, 2024)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2024 and provided a business update.</w:t>
      </w:r>
    </w:p>
    <w:p>
      <w:pPr>
        <w:spacing w:after="0" w:line="72"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"The Regeneron team has already made substantial progress this year, delivering our approved medicines to more patients around the globe, advancing our pipeline consisting of dozens of clinical-stage programs, and relentlessly pursuing cutting-edge science," said Leonard S. Schleifer, M.D., Ph.D., Board co-Chair, President and Chief Executive Officer of Regeneron. "We had a strong quarter of EYLEA HD uptake, and we are well positioned to continue our leadership in retinal diseases. Dupixent continues to grow at a remarkable pace seven years into its launch and is currently treating over 850,000 patients across a variety of diseases characterized by type 2 inflammation. Our promising oncology franchise is strengthening, driven by strong global growth in Libtayo sales and potential regulatory approvals later this year for linvoseltamab in relapsed/refractory multiple myeloma."</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2024</w:t>
            </w:r>
          </w:p>
        </w:tc>
        <w:tc>
          <w:tcPr>
            <w:tcW w:w="2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20"/>
                <w:szCs w:val="20"/>
                <w:b w:val="1"/>
                <w:bCs w:val="1"/>
                <w:color w:val="auto"/>
              </w:rPr>
              <w:t>Q1 2023</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3,145</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3,162</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(1 %)</w:t>
            </w:r>
          </w:p>
        </w:tc>
      </w:tr>
      <w:tr>
        <w:trPr>
          <w:trHeight w:val="257"/>
        </w:trPr>
        <w:tc>
          <w:tcPr>
            <w:tcW w:w="4940" w:type="dxa"/>
            <w:vAlign w:val="bottom"/>
          </w:tcPr>
          <w:p>
            <w:pPr>
              <w:ind w:left="20"/>
              <w:spacing w:after="0" w:line="257" w:lineRule="exact"/>
              <w:rPr>
                <w:sz w:val="20"/>
                <w:szCs w:val="20"/>
                <w:color w:val="auto"/>
              </w:rPr>
            </w:pPr>
            <w:r>
              <w:rPr>
                <w:rFonts w:ascii="Arial" w:cs="Arial" w:eastAsia="Arial" w:hAnsi="Arial"/>
                <w:sz w:val="20"/>
                <w:szCs w:val="20"/>
                <w:color w:val="auto"/>
              </w:rPr>
              <w:t>Total revenues excluding Ronapreve</w:t>
            </w:r>
            <w:r>
              <w:rPr>
                <w:rFonts w:ascii="Arial" w:cs="Arial" w:eastAsia="Arial" w:hAnsi="Arial"/>
                <w:sz w:val="25"/>
                <w:szCs w:val="25"/>
                <w:color w:val="auto"/>
                <w:vertAlign w:val="superscript"/>
              </w:rPr>
              <w:t>(a)(b)</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3,145</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2,940</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7 %</w:t>
            </w: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722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(12 %)</w:t>
            </w:r>
          </w:p>
        </w:tc>
      </w:tr>
      <w:tr>
        <w:trPr>
          <w:trHeight w:val="257"/>
        </w:trPr>
        <w:tc>
          <w:tcPr>
            <w:tcW w:w="494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6.27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7.17</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(13 %)</w:t>
            </w:r>
          </w:p>
        </w:tc>
      </w:tr>
      <w:tr>
        <w:trPr>
          <w:trHeight w:val="256"/>
        </w:trPr>
        <w:tc>
          <w:tcPr>
            <w:tcW w:w="49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(4 %)</w:t>
            </w:r>
          </w:p>
        </w:tc>
      </w:tr>
      <w:tr>
        <w:trPr>
          <w:trHeight w:val="343"/>
        </w:trPr>
        <w:tc>
          <w:tcPr>
            <w:tcW w:w="4940" w:type="dxa"/>
            <w:vAlign w:val="bottom"/>
          </w:tcPr>
          <w:p>
            <w:pPr>
              <w:ind w:left="20"/>
              <w:spacing w:after="0"/>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9.55</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10.09</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(5 %)</w:t>
            </w:r>
          </w:p>
        </w:tc>
      </w:tr>
    </w:tbl>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"We are off to a strong start in 2024 as reflected in our solid first quarter financial results and the progress we have made across our growing pipeline," said Christopher Fenimore, Senior Vice President, Finance and Chief Financial Officer of Regeneron. "While investing in innovation remains our top capital allocation priority, the recent authorization by Regeneron's board of directors of a new $3.0 billion share repurchase program provides us with additional flexibility to continue returning capital to shareholders over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Regeneron has over 35 product candidates in clinical development, including a number of marketed products for which it is investigating additional indications. Updates from the clinical pipeline include: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4" w:lineRule="exact"/>
        <w:rPr>
          <w:sz w:val="20"/>
          <w:szCs w:val="20"/>
          <w:color w:val="auto"/>
        </w:rPr>
      </w:pPr>
    </w:p>
    <w:p>
      <w:pPr>
        <w:jc w:val="both"/>
        <w:ind w:left="340" w:right="30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2024, the European Commission (EC) and Japan's Ministry of Health, Labour and Welfare (MHLW) each approved EYLEA 8 mg (known as EYLEA HD in the United States) for the treatment of patients with wet age-related macular degeneration (wAMD) and diabetic macular edema (DME).</w:t>
      </w:r>
    </w:p>
    <w:p>
      <w:pPr>
        <w:spacing w:after="0" w:line="1" w:lineRule="exact"/>
        <w:rPr>
          <w:rFonts w:ascii="Arial" w:cs="Arial" w:eastAsia="Arial" w:hAnsi="Arial"/>
          <w:sz w:val="22"/>
          <w:szCs w:val="22"/>
          <w:color w:val="auto"/>
        </w:rPr>
      </w:pPr>
    </w:p>
    <w:p>
      <w:pPr>
        <w:ind w:left="340" w:right="120" w:hanging="332"/>
        <w:spacing w:after="0" w:line="250"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2024, the United States Centers for Medicare &amp; Medicaid Services (CMS) assigned a permanent and product-specific J-code (J0177) for EYLEA HD, which became effective on April 1, 2024. J-codes simplify and streamline the billing and reimbursement processes for Medicare Part B treatments, allowing for efficient claims processing.</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22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U.S. Food and Drug Administration (FDA) accepted for priority review the supplemental Biologics License Application (sBLA) for Dupixent as an add-on maintenance treatment in adult patients with uncontrolled chronic obstructive pulmonary disease (COPD) and evidence of type 2 inflammation. A regulatory application is also under review in the European Union (EU) and Japan.</w:t>
      </w:r>
    </w:p>
    <w:p>
      <w:pPr>
        <w:spacing w:after="0" w:line="2"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Phase 3 study for Dupixent in asthma for children aged 2 to 5 years was initiated.</w:t>
      </w:r>
    </w:p>
    <w:p>
      <w:pPr>
        <w:spacing w:after="0" w:line="3" w:lineRule="exact"/>
        <w:rPr>
          <w:rFonts w:ascii="Arial" w:cs="Arial" w:eastAsia="Arial" w:hAnsi="Arial"/>
          <w:sz w:val="22"/>
          <w:szCs w:val="22"/>
          <w:color w:val="auto"/>
        </w:rPr>
      </w:pPr>
    </w:p>
    <w:p>
      <w:pPr>
        <w:ind w:left="340" w:right="320" w:hanging="332"/>
        <w:spacing w:after="0" w:line="248"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February 2024, the MHLW in Japan approved Dupixent for the treatment of chronic spontaneous urticaria (CSU) in adults and children aged 12 years and older whose disease is not adequately controlled with existing therapy. A regulatory application has also been submitted in the EU.</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4" w:lineRule="exact"/>
        <w:rPr>
          <w:sz w:val="20"/>
          <w:szCs w:val="20"/>
          <w:color w:val="auto"/>
        </w:rPr>
      </w:pPr>
    </w:p>
    <w:p>
      <w:pPr>
        <w:ind w:left="340" w:hanging="332"/>
        <w:spacing w:after="0" w:line="258" w:lineRule="auto"/>
        <w:tabs>
          <w:tab w:leader="none" w:pos="335"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FDA accepted the BLA seeking accelerated approval for linvoseltamab, a bispecific antibody targeting BCMA and CD3, to treat adult patients with relapsed/refractory (R/R) multiple myeloma that has progressed after at least three prior therapies, and the BLA was granted priority review with a target action date of August 22, 2024. A Phase 3 confirmatory trial is currently enrolling patients. A regulatory application is also under review in the EU.</w:t>
      </w:r>
    </w:p>
    <w:p>
      <w:pPr>
        <w:spacing w:after="0" w:line="1" w:lineRule="exact"/>
        <w:rPr>
          <w:rFonts w:ascii="Arial" w:cs="Arial" w:eastAsia="Arial" w:hAnsi="Arial"/>
          <w:sz w:val="21"/>
          <w:szCs w:val="21"/>
          <w:color w:val="auto"/>
        </w:rPr>
      </w:pPr>
    </w:p>
    <w:p>
      <w:pPr>
        <w:ind w:left="340" w:right="2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2024, the Company presented positive pivotal data from the Phase 1/2 trial of linvoseltamab in patients with R/R multiple myeloma at the American Association for Cancer Research (AACR) Annual Meeting 2024. The linvoseltamab data reinforced previously shared findings and included a 71% objective response rate (ORR), with 46% of patients achieving a complete response (CR) or better.</w:t>
      </w:r>
    </w:p>
    <w:p>
      <w:pPr>
        <w:spacing w:after="0" w:line="2" w:lineRule="exact"/>
        <w:rPr>
          <w:rFonts w:ascii="Arial" w:cs="Arial" w:eastAsia="Arial" w:hAnsi="Arial"/>
          <w:sz w:val="22"/>
          <w:szCs w:val="22"/>
          <w:color w:val="auto"/>
        </w:rPr>
      </w:pPr>
    </w:p>
    <w:p>
      <w:pPr>
        <w:ind w:left="340" w:hanging="332"/>
        <w:spacing w:after="0" w:line="245"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March 2024, the FDA issued Complete Response Letters (CRLs) for the BLA for odronextamab, a bispecific antibody targeting CD20 and CD3, in R/R follicular lymphoma (FL) and R/R diffuse large B-cell lymphoma (DLBCL). The only approvability issue cited in the CRLs is related to the enrollment status of the confirmatory trials. The CRLs (one for R/R FL and one for R/R DLBCL) did not identify any approvability issues with the clinical efficacy or safety, trial design, labeling, or manufacturing. A regulatory application for R/R DLBCL and R/R FL remains under review in the EU.</w:t>
      </w:r>
    </w:p>
    <w:p>
      <w:pPr>
        <w:spacing w:after="0" w:line="3" w:lineRule="exact"/>
        <w:rPr>
          <w:rFonts w:ascii="Arial" w:cs="Arial" w:eastAsia="Arial" w:hAnsi="Arial"/>
          <w:sz w:val="22"/>
          <w:szCs w:val="22"/>
          <w:color w:val="auto"/>
        </w:rPr>
      </w:pPr>
    </w:p>
    <w:p>
      <w:pPr>
        <w:ind w:left="340" w:right="380" w:hanging="332"/>
        <w:spacing w:after="0" w:line="248"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2023, the Company initiated a Phase 2/3 study of the combination of fianlimab, an antibody to LAG-3, and Libtayo (cemiplimab) in first-line metastatic melanoma. This study is enrolling faster than expected and will be conducted solely as a Phase 3 study with the final analysis to be reported during 2025.</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1045" w:right="41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Other Programs</w:t>
      </w:r>
    </w:p>
    <w:p>
      <w:pPr>
        <w:spacing w:after="0" w:line="11" w:lineRule="exact"/>
        <w:rPr>
          <w:sz w:val="20"/>
          <w:szCs w:val="20"/>
          <w:color w:val="auto"/>
        </w:rPr>
      </w:pPr>
    </w:p>
    <w:p>
      <w:pPr>
        <w:ind w:left="340" w:right="720" w:hanging="332"/>
        <w:spacing w:after="0" w:line="22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has extended the approval of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(alirocumab) as an adjunct to diet and other low-density lipoprotein cholesterol (LDL-C) lowering therapies to include pediatric patients aged 8 years and older with heterozygous familial hypercholesterolemia (HeFH).</w:t>
      </w:r>
    </w:p>
    <w:p>
      <w:pPr>
        <w:spacing w:after="0" w:line="2"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21"/>
          <w:szCs w:val="21"/>
          <w:color w:val="auto"/>
        </w:rPr>
      </w:pPr>
      <w:r>
        <w:rPr>
          <w:rFonts w:ascii="Arial" w:cs="Arial" w:eastAsia="Arial" w:hAnsi="Arial"/>
          <w:sz w:val="21"/>
          <w:szCs w:val="21"/>
          <w:color w:val="auto"/>
        </w:rPr>
        <w:t>A Phase 2 study for itepekimab, an antibody to IL-33, for non-cystic fibrosis bronchiectasis (NCFB) was initiated.</w:t>
      </w:r>
    </w:p>
    <w:p>
      <w:pPr>
        <w:spacing w:after="0" w:line="21" w:lineRule="exact"/>
        <w:rPr>
          <w:rFonts w:ascii="Arial" w:cs="Arial" w:eastAsia="Arial" w:hAnsi="Arial"/>
          <w:sz w:val="21"/>
          <w:szCs w:val="21"/>
          <w:color w:val="auto"/>
        </w:rPr>
      </w:pPr>
    </w:p>
    <w:p>
      <w:pPr>
        <w:ind w:left="340" w:hanging="332"/>
        <w:spacing w:after="0" w:line="251"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2 study for ALN-APP, an investigational RNAi therapeutic targeting amyloid precursor protein (APP), was initiated by the Company's collaborator Alnylam Pharmaceuticals, Inc. in patients with cerebral amyloid angiopathy (CAA).</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26" w:lineRule="exact"/>
        <w:rPr>
          <w:sz w:val="20"/>
          <w:szCs w:val="20"/>
          <w:color w:val="auto"/>
        </w:rPr>
      </w:pPr>
    </w:p>
    <w:p>
      <w:pPr>
        <w:ind w:left="34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2024, the Company acquired full development and commercialization rights to 2seventy bio, Inc.'s oncology and autoimmune preclinical and clinical stage cell therapy pipeline. Under the terms of the agreement, the Company made a $5 million up-front payment, and has assumed ongoing program, infrastructure, and personnel costs related to the product candidates acquired. In addition, the Company is obligated to pay 2seventy bio a regulatory milestone upon the first major market approval of the first approved product; and, with respect to any approved product, a low single-digit percent royalty on sales.</w:t>
      </w:r>
    </w:p>
    <w:p>
      <w:pPr>
        <w:spacing w:after="0" w:line="2" w:lineRule="exact"/>
        <w:rPr>
          <w:rFonts w:ascii="Arial" w:cs="Arial" w:eastAsia="Arial" w:hAnsi="Arial"/>
          <w:sz w:val="22"/>
          <w:szCs w:val="22"/>
          <w:color w:val="auto"/>
        </w:rPr>
      </w:pPr>
    </w:p>
    <w:p>
      <w:pPr>
        <w:ind w:left="340" w:right="160" w:hanging="332"/>
        <w:spacing w:after="0" w:line="238"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In April 2024, the Company and Mammoth Biosciences, Inc. entered into a collaboration agreement to research, develop, and commercialize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CRISPR-based gene editing therapies for multiple tissues and cell types. Under the terms of the agreement, the Company purchased an aggregate of $95 million of Mammoth preferred stock and is obligated to make a $5 million up-front payment. The parties will jointly select and research collaboration targets, and then Regeneron will lead development and commercialization.</w:t>
      </w:r>
    </w:p>
    <w:p>
      <w:pPr>
        <w:spacing w:after="0" w:line="1" w:lineRule="exact"/>
        <w:rPr>
          <w:rFonts w:ascii="Arial" w:cs="Arial" w:eastAsia="Arial" w:hAnsi="Arial"/>
          <w:sz w:val="22"/>
          <w:szCs w:val="22"/>
          <w:color w:val="auto"/>
        </w:rPr>
      </w:pPr>
    </w:p>
    <w:p>
      <w:pPr>
        <w:ind w:left="340" w:right="40" w:hanging="332"/>
        <w:spacing w:after="0" w:line="250"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2024, the Company's board of directors authorized a new share repurchase program to repurchase up to an additional $3.0 billion of the Company's common stock. Repurchases may be made from time to time at management's discretion through a variety of methods. The program has no time limit and can be discontinued at any time.</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1045" w:right="3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First Quarter 2024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Q1 2024</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Q1 2023</w:t>
            </w:r>
          </w:p>
        </w:tc>
        <w:tc>
          <w:tcPr>
            <w:tcW w:w="120" w:type="dxa"/>
            <w:vAlign w:val="bottom"/>
          </w:tcPr>
          <w:p>
            <w:pPr>
              <w:spacing w:after="0"/>
              <w:rPr>
                <w:sz w:val="23"/>
                <w:szCs w:val="23"/>
                <w:color w:val="auto"/>
              </w:rPr>
            </w:pPr>
          </w:p>
        </w:tc>
        <w:tc>
          <w:tcPr>
            <w:tcW w:w="150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r>
      <w:tr>
        <w:trPr>
          <w:trHeight w:val="256"/>
        </w:trPr>
        <w:tc>
          <w:tcPr>
            <w:tcW w:w="496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(16 %)</w:t>
            </w:r>
          </w:p>
        </w:tc>
      </w:tr>
      <w:tr>
        <w:trPr>
          <w:trHeight w:val="250"/>
        </w:trPr>
        <w:tc>
          <w:tcPr>
            <w:tcW w:w="496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1,434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(2 %)</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Global</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49 %</w:t>
            </w: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Praluent - U.S.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75 %</w:t>
            </w:r>
          </w:p>
        </w:tc>
      </w:tr>
      <w:tr>
        <w:trPr>
          <w:trHeight w:val="257"/>
        </w:trPr>
        <w:tc>
          <w:tcPr>
            <w:tcW w:w="496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60 %</w:t>
            </w:r>
          </w:p>
        </w:tc>
      </w:tr>
      <w:tr>
        <w:trPr>
          <w:trHeight w:val="256"/>
        </w:trPr>
        <w:tc>
          <w:tcPr>
            <w:tcW w:w="496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Global</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162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0"/>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6 %</w:t>
            </w:r>
          </w:p>
        </w:tc>
      </w:tr>
      <w:tr>
        <w:trPr>
          <w:trHeight w:val="95"/>
        </w:trPr>
        <w:tc>
          <w:tcPr>
            <w:tcW w:w="4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798</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14 %</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(100 %)</w:t>
            </w:r>
          </w:p>
        </w:tc>
      </w:t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1 %</w:t>
            </w:r>
          </w:p>
        </w:tc>
      </w:tr>
      <w:tr>
        <w:trPr>
          <w:trHeight w:val="250"/>
        </w:trPr>
        <w:tc>
          <w:tcPr>
            <w:tcW w:w="496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3,162</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(1 %)</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80"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Net product sales of EYLEA in the U.S. decreased in the first quarter of 2024, compared to the first quarter of 2023, primarily due to changing market dynamics, resulting in lower volumes and a lower net selling price. In addition, aggregate net product sales of EYLEA and EYLEA HD in the first quarter of 2024 were negatively impacted by approximately $40 million due to a sequential net reduction in wholesaler inventory.</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Sanofi collaboration revenue increased in the first quarter of 2024, compared to the first quarter of 2023, primarily due to the Company's share of profits from commercialization of antibodies, which were $804 million in the first quarter of 2024, compared to $637 million in the first quarter of 2023. The change in the Company's share of profits from commercialization of antibodies was driven by higher profits associated with an increase in Dupixent sales.</w:t>
      </w:r>
    </w:p>
    <w:p>
      <w:pPr>
        <w:spacing w:after="0" w:line="91"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decrease in other collaboration revenue in the first quarter of 2024, compared to the first quarter of 2023, was due to lower sales of Ronapreve. Under the Company's Roche collaboration agreement, the Company records collaboration revenue in connection with payments from Roche attributable to gross profits from sales of Ronapreve; however, the Company does not expect any additional Roche collaboration revenue from Ronapreve in future periods.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Q1 2024</w:t>
            </w:r>
          </w:p>
        </w:tc>
        <w:tc>
          <w:tcPr>
            <w:tcW w:w="14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Q1 2023</w:t>
            </w:r>
          </w:p>
        </w:tc>
        <w:tc>
          <w:tcPr>
            <w:tcW w:w="1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Q1 2024</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Q1 2023</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1,101</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960</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center"/>
              <w:ind w:left="601"/>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56</w:t>
            </w:r>
          </w:p>
        </w:tc>
        <w:tc>
          <w:tcPr>
            <w:tcW w:w="1360" w:type="dxa"/>
            <w:vAlign w:val="bottom"/>
            <w:gridSpan w:val="2"/>
            <w:vMerge w:val="restart"/>
          </w:tcPr>
          <w:p>
            <w:pPr>
              <w:jc w:val="right"/>
              <w:spacing w:after="0"/>
              <w:rPr>
                <w:sz w:val="20"/>
                <w:szCs w:val="20"/>
                <w:color w:val="auto"/>
              </w:rPr>
            </w:pPr>
            <w:r>
              <w:rPr>
                <w:rFonts w:ascii="Arial" w:cs="Arial" w:eastAsia="Arial" w:hAnsi="Arial"/>
                <w:sz w:val="20"/>
                <w:szCs w:val="20"/>
                <w:color w:val="auto"/>
              </w:rPr>
              <w:t>(88 %)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601</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15 %</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584</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515</w:t>
            </w:r>
          </w:p>
        </w:tc>
        <w:tc>
          <w:tcPr>
            <w:tcW w:w="1300" w:type="dxa"/>
            <w:vAlign w:val="bottom"/>
            <w:gridSpan w:val="2"/>
            <w:vMerge w:val="restart"/>
            <w:shd w:val="clear" w:color="auto" w:fill="CCEEFF"/>
          </w:tcPr>
          <w:p>
            <w:pPr>
              <w:jc w:val="center"/>
              <w:ind w:left="701"/>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6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208</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15 %</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168</w:t>
            </w:r>
          </w:p>
        </w:tc>
        <w:tc>
          <w:tcPr>
            <w:tcW w:w="1300" w:type="dxa"/>
            <w:vAlign w:val="bottom"/>
            <w:gridSpan w:val="2"/>
          </w:tcPr>
          <w:p>
            <w:pPr>
              <w:jc w:val="center"/>
              <w:ind w:left="701"/>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249</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(22 %)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6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20" w:type="dxa"/>
            <w:vAlign w:val="bottom"/>
          </w:tcPr>
          <w:p>
            <w:pPr>
              <w:ind w:left="20"/>
              <w:spacing w:after="0"/>
              <w:rPr>
                <w:sz w:val="20"/>
                <w:szCs w:val="20"/>
                <w:color w:val="auto"/>
              </w:rPr>
            </w:pPr>
            <w:r>
              <w:rPr>
                <w:rFonts w:ascii="Arial" w:cs="Arial" w:eastAsia="Arial" w:hAnsi="Arial"/>
                <w:sz w:val="20"/>
                <w:szCs w:val="20"/>
                <w:color w:val="auto"/>
              </w:rPr>
              <w:t>Other operating expense (income), net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13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80" w:right="3900" w:firstLine="8"/>
        <w:spacing w:after="0" w:line="298"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ind w:left="660" w:right="100" w:hanging="328"/>
        <w:spacing w:after="0" w:line="257"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and non-GAAP R&amp;D expenses increased in the first quarter of 2024, compared to the first quarter of 2023, driven by the advancement of the Company's late-stage oncology programs, and higher headcount and headcount-related costs.</w:t>
      </w:r>
    </w:p>
    <w:p>
      <w:pPr>
        <w:spacing w:after="0" w:line="37" w:lineRule="exact"/>
        <w:rPr>
          <w:rFonts w:ascii="Arial" w:cs="Arial" w:eastAsia="Arial" w:hAnsi="Arial"/>
          <w:sz w:val="22"/>
          <w:szCs w:val="22"/>
          <w:color w:val="auto"/>
        </w:rPr>
      </w:pPr>
    </w:p>
    <w:p>
      <w:pPr>
        <w:ind w:left="660" w:right="780" w:hanging="328"/>
        <w:spacing w:after="0" w:line="272"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Acquired IPR&amp;D for first quarter of 2023 included a $45 million up-front payment in connection with the Company's collaboration agreement with Sonoma Biotherapeutics, Inc.</w:t>
      </w:r>
    </w:p>
    <w:p>
      <w:pPr>
        <w:spacing w:after="0" w:line="7" w:lineRule="exact"/>
        <w:rPr>
          <w:rFonts w:ascii="Arial" w:cs="Arial" w:eastAsia="Arial" w:hAnsi="Arial"/>
          <w:sz w:val="22"/>
          <w:szCs w:val="22"/>
          <w:color w:val="auto"/>
        </w:rPr>
      </w:pPr>
    </w:p>
    <w:p>
      <w:pPr>
        <w:ind w:left="660" w:right="200" w:hanging="328"/>
        <w:spacing w:after="0" w:line="257"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first quarter of 2024, compared to the first quarter of 2023, due to higher commercialization-related expenses to support the Company's launch of EYLEA HD and higher headcount and headcount-related costs primarily related to the international expansion in support of Libtayo and hematology product launch preparations.</w:t>
      </w:r>
    </w:p>
    <w:p>
      <w:pPr>
        <w:spacing w:after="0" w:line="23" w:lineRule="exact"/>
        <w:rPr>
          <w:rFonts w:ascii="Arial" w:cs="Arial" w:eastAsia="Arial" w:hAnsi="Arial"/>
          <w:sz w:val="22"/>
          <w:szCs w:val="22"/>
          <w:color w:val="auto"/>
        </w:rPr>
      </w:pPr>
    </w:p>
    <w:p>
      <w:pPr>
        <w:ind w:left="660" w:right="560" w:hanging="328"/>
        <w:spacing w:after="0" w:line="281"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and non-GAAP COGS increased in the first quarter of 2024, compared to the first quarter of 2023, primarily due to higher start-up costs for the Company's Rensselaer, New York fill/finish facility.</w:t>
      </w:r>
    </w:p>
    <w:p>
      <w:pPr>
        <w:spacing w:after="0" w:line="1" w:lineRule="exact"/>
        <w:rPr>
          <w:rFonts w:ascii="Arial" w:cs="Arial" w:eastAsia="Arial" w:hAnsi="Arial"/>
          <w:sz w:val="22"/>
          <w:szCs w:val="22"/>
          <w:color w:val="auto"/>
        </w:rPr>
      </w:pPr>
    </w:p>
    <w:p>
      <w:pPr>
        <w:ind w:left="660" w:right="540" w:hanging="328"/>
        <w:spacing w:after="0" w:line="295" w:lineRule="auto"/>
        <w:tabs>
          <w:tab w:leader="none" w:pos="655" w:val="left"/>
        </w:tabs>
        <w:numPr>
          <w:ilvl w:val="1"/>
          <w:numId w:val="9"/>
        </w:numPr>
        <w:rPr>
          <w:rFonts w:ascii="Arial" w:cs="Arial" w:eastAsia="Arial" w:hAnsi="Arial"/>
          <w:sz w:val="21"/>
          <w:szCs w:val="21"/>
          <w:color w:val="auto"/>
        </w:rPr>
      </w:pPr>
      <w:r>
        <w:rPr>
          <w:rFonts w:ascii="Arial" w:cs="Arial" w:eastAsia="Arial" w:hAnsi="Arial"/>
          <w:sz w:val="21"/>
          <w:szCs w:val="21"/>
          <w:color w:val="auto"/>
        </w:rPr>
        <w:t>COCM decreased in the first quarter of 2024, compared to the first quarter of 2023, primarily due to lower Dupixent manufacturing costs as a result of the transition to a higher-yielding manufacturing process.</w:t>
      </w:r>
    </w:p>
    <w:p>
      <w:pPr>
        <w:ind w:left="660" w:right="260" w:hanging="328"/>
        <w:spacing w:after="0" w:line="257" w:lineRule="auto"/>
        <w:tabs>
          <w:tab w:leader="none" w:pos="655" w:val="left"/>
        </w:tabs>
        <w:numPr>
          <w:ilvl w:val="1"/>
          <w:numId w:val="9"/>
        </w:numPr>
        <w:rPr>
          <w:rFonts w:ascii="Arial" w:cs="Arial" w:eastAsia="Arial" w:hAnsi="Arial"/>
          <w:sz w:val="22"/>
          <w:szCs w:val="22"/>
          <w:color w:val="auto"/>
        </w:rPr>
      </w:pPr>
      <w:r>
        <w:rPr>
          <w:rFonts w:ascii="Arial" w:cs="Arial" w:eastAsia="Arial" w:hAnsi="Arial"/>
          <w:sz w:val="22"/>
          <w:szCs w:val="22"/>
          <w:color w:val="auto"/>
        </w:rPr>
        <w:t>GAAP other operating expense (income), net, for the first quarter of 2024 reflects a charge related to the increase in the estimated fair value of the contingent consideration liability recognized in connection with the Company's 2023 acquisition of Decibel Therapeutics, Inc.</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GAAP other income (expense) included the recognition of net unrealized losses on equity securities of $196 million in the first quarter of 2024, compared to $165 million of net unrealized losses in the first quarter of 2023. GAAP and Non-GAAP other income (expense) also included interest income of $162 million in the first quarter of 2024, compared to $95 million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45" w:right="359" w:bottom="1440" w:gutter="0" w:footer="0" w:header="0"/>
        </w:sectPr>
      </w:pPr>
    </w:p>
    <w:bookmarkStart w:id="8" w:name="page9"/>
    <w:bookmarkEnd w:id="8"/>
    <w:p>
      <w:pPr>
        <w:ind w:right="40"/>
        <w:spacing w:after="0" w:line="253" w:lineRule="auto"/>
        <w:rPr>
          <w:sz w:val="20"/>
          <w:szCs w:val="20"/>
          <w:color w:val="auto"/>
        </w:rPr>
      </w:pPr>
      <w:r>
        <w:rPr>
          <w:rFonts w:ascii="Arial" w:cs="Arial" w:eastAsia="Arial" w:hAnsi="Arial"/>
          <w:sz w:val="22"/>
          <w:szCs w:val="22"/>
          <w:color w:val="auto"/>
        </w:rPr>
        <w:t>In the first quarter of 2024, the Company's GAAP effective tax rate (ETR) was (3.0%), compared to 4.7% in the first quarter of 2023. The GAAP ETR in the first quarter of 2024, compared to the first quarter of 2023, included a higher benefit from stock-based compensation. In the first quarter of 2024, the non-GAAP ETR was 6.1%, compared to 9.7% in the first quarter of 2023.</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GAAP net income per diluted share was $6.27 in the first quarter of 2024, compared to $7.17 in the first quarter of 2023. Non-GAAP net income per diluted share was $9.55 in the first quarter of 2024, compared to $10.09 in the first quarter of 2023. A reconciliation of the Company's GAAP to non-GAAP results is included in Table 3 of this press release.</w:t>
      </w:r>
    </w:p>
    <w:p>
      <w:pPr>
        <w:spacing w:after="0" w:line="91"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During the first quarter of 2024, the Company repurchased shares of its common stock and recorded the cost of the shares, or $298 million, as Treasury Stock. As of March 31, 2024, $1.2 billion remained available for share repurchases under the Company's share repurchase program then in effect (excluding the additional $3.0 billion share repurchase program authorized in April 2024).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2024 Financial Guidance</w:t>
      </w:r>
      <w:r>
        <w:rPr>
          <w:rFonts w:ascii="Arial" w:cs="Arial" w:eastAsia="Arial" w:hAnsi="Arial"/>
          <w:sz w:val="12"/>
          <w:szCs w:val="12"/>
          <w:b w:val="1"/>
          <w:bCs w:val="1"/>
          <w:i w:val="1"/>
          <w:iCs w:val="1"/>
          <w:color w:val="auto"/>
        </w:rPr>
        <w:t>(c)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2024 financial guidance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00" w:type="dxa"/>
            <w:vAlign w:val="bottom"/>
          </w:tcPr>
          <w:p>
            <w:pPr>
              <w:spacing w:after="0"/>
              <w:rPr>
                <w:sz w:val="23"/>
                <w:szCs w:val="23"/>
                <w:color w:val="auto"/>
              </w:rPr>
            </w:pPr>
          </w:p>
        </w:tc>
        <w:tc>
          <w:tcPr>
            <w:tcW w:w="4640" w:type="dxa"/>
            <w:vAlign w:val="bottom"/>
            <w:gridSpan w:val="3"/>
          </w:tcPr>
          <w:p>
            <w:pPr>
              <w:ind w:left="1620"/>
              <w:spacing w:after="0"/>
              <w:rPr>
                <w:sz w:val="20"/>
                <w:szCs w:val="20"/>
                <w:color w:val="auto"/>
              </w:rPr>
            </w:pPr>
            <w:r>
              <w:rPr>
                <w:rFonts w:ascii="Arial" w:cs="Arial" w:eastAsia="Arial" w:hAnsi="Arial"/>
                <w:sz w:val="20"/>
                <w:szCs w:val="20"/>
                <w:b w:val="1"/>
                <w:bCs w:val="1"/>
                <w:color w:val="auto"/>
              </w:rPr>
              <w:t>2024 Guidance</w:t>
            </w:r>
          </w:p>
        </w:tc>
      </w:tr>
      <w:tr>
        <w:trPr>
          <w:trHeight w:val="34"/>
        </w:trPr>
        <w:tc>
          <w:tcPr>
            <w:tcW w:w="460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600" w:type="dxa"/>
            <w:vAlign w:val="bottom"/>
          </w:tcPr>
          <w:p>
            <w:pPr>
              <w:spacing w:after="0"/>
              <w:rPr>
                <w:sz w:val="21"/>
                <w:szCs w:val="21"/>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98"/>
              </w:rPr>
              <w:t>Prior</w:t>
            </w: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5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$4.820–$5.070 billion</w:t>
            </w:r>
          </w:p>
        </w:tc>
        <w:tc>
          <w:tcPr>
            <w:tcW w:w="14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$4.920–$5.170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$4.300–$4.500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$4.400–$4.600 billion**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$2.890–$3.090 billion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$2.940–$3.090 billion</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$2.500–$2.650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$2.550–$2.650 billion</w:t>
            </w:r>
          </w:p>
        </w:tc>
      </w:tr>
      <w:tr>
        <w:trPr>
          <w:trHeight w:val="270"/>
        </w:trPr>
        <w:tc>
          <w:tcPr>
            <w:tcW w:w="46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380" w:type="dxa"/>
            <w:vAlign w:val="bottom"/>
            <w:gridSpan w:val="2"/>
            <w:shd w:val="clear" w:color="auto" w:fill="CCEEFF"/>
          </w:tcPr>
          <w:p>
            <w:pPr>
              <w:jc w:val="center"/>
              <w:ind w:right="160"/>
              <w:spacing w:after="0"/>
              <w:rPr>
                <w:sz w:val="20"/>
                <w:szCs w:val="20"/>
                <w:color w:val="auto"/>
              </w:rPr>
            </w:pPr>
            <w:r>
              <w:rPr>
                <w:rFonts w:ascii="Arial" w:cs="Arial" w:eastAsia="Arial" w:hAnsi="Arial"/>
                <w:sz w:val="20"/>
                <w:szCs w:val="20"/>
                <w:color w:val="auto"/>
                <w:w w:val="98"/>
              </w:rPr>
              <w:t>86%–88%</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color w:val="auto"/>
                <w:w w:val="98"/>
              </w:rPr>
              <w:t>89%–91%</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00" w:type="dxa"/>
            <w:vAlign w:val="bottom"/>
            <w:shd w:val="clear" w:color="auto" w:fill="CCEEFF"/>
          </w:tcPr>
          <w:p>
            <w:pPr>
              <w:ind w:left="20"/>
              <w:spacing w:after="0" w:line="269" w:lineRule="exact"/>
              <w:rPr>
                <w:sz w:val="20"/>
                <w:szCs w:val="20"/>
                <w:color w:val="auto"/>
              </w:rPr>
            </w:pPr>
            <w:r>
              <w:rPr>
                <w:rFonts w:ascii="Arial" w:cs="Arial" w:eastAsia="Arial" w:hAnsi="Arial"/>
                <w:sz w:val="31"/>
                <w:szCs w:val="31"/>
                <w:color w:val="auto"/>
                <w:vertAlign w:val="subscript"/>
              </w:rPr>
              <w:t>COCM</w:t>
            </w:r>
            <w:r>
              <w:rPr>
                <w:rFonts w:ascii="Arial" w:cs="Arial" w:eastAsia="Arial" w:hAnsi="Arial"/>
                <w:sz w:val="12"/>
                <w:szCs w:val="12"/>
                <w:color w:val="auto"/>
              </w:rPr>
              <w:t>(e)*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$850–$910 million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0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38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$825–$950 million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$780–$880 million</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9"/>
              </w:rPr>
              <w:t>8%–10%</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7%–9%</w:t>
            </w:r>
          </w:p>
        </w:tc>
      </w:tr>
      <w:tr>
        <w:trPr>
          <w:trHeight w:val="343"/>
        </w:trPr>
        <w:tc>
          <w:tcPr>
            <w:tcW w:w="460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380" w:type="dxa"/>
            <w:vAlign w:val="bottom"/>
            <w:gridSpan w:val="2"/>
          </w:tcPr>
          <w:p>
            <w:pPr>
              <w:jc w:val="center"/>
              <w:ind w:right="160"/>
              <w:spacing w:after="0"/>
              <w:rPr>
                <w:sz w:val="20"/>
                <w:szCs w:val="20"/>
                <w:color w:val="auto"/>
              </w:rPr>
            </w:pPr>
            <w:r>
              <w:rPr>
                <w:rFonts w:ascii="Arial" w:cs="Arial" w:eastAsia="Arial" w:hAnsi="Arial"/>
                <w:sz w:val="20"/>
                <w:szCs w:val="20"/>
                <w:color w:val="auto"/>
                <w:w w:val="98"/>
              </w:rPr>
              <w:t>10%–12%</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bl>
    <w:p>
      <w:pPr>
        <w:spacing w:after="0" w:line="34" w:lineRule="exact"/>
        <w:rPr>
          <w:sz w:val="20"/>
          <w:szCs w:val="20"/>
          <w:color w:val="auto"/>
        </w:rPr>
      </w:pPr>
    </w:p>
    <w:p>
      <w:pPr>
        <w:ind w:left="300" w:hanging="11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63" w:lineRule="exact"/>
        <w:rPr>
          <w:sz w:val="20"/>
          <w:szCs w:val="20"/>
          <w:color w:val="auto"/>
        </w:rPr>
      </w:pPr>
    </w:p>
    <w:p>
      <w:pPr>
        <w:ind w:left="180" w:right="2400" w:firstLine="8"/>
        <w:spacing w:after="0" w:line="231" w:lineRule="auto"/>
        <w:tabs>
          <w:tab w:leader="none" w:pos="365" w:val="left"/>
        </w:tabs>
        <w:numPr>
          <w:ilvl w:val="0"/>
          <w:numId w:val="11"/>
        </w:numPr>
        <w:rPr>
          <w:rFonts w:ascii="Arial" w:cs="Arial" w:eastAsia="Arial" w:hAnsi="Arial"/>
          <w:sz w:val="18"/>
          <w:szCs w:val="18"/>
          <w:color w:val="auto"/>
        </w:rPr>
      </w:pPr>
      <w:r>
        <w:rPr>
          <w:rFonts w:ascii="Arial" w:cs="Arial" w:eastAsia="Arial" w:hAnsi="Arial"/>
          <w:sz w:val="16"/>
          <w:szCs w:val="16"/>
          <w:color w:val="auto"/>
        </w:rPr>
        <w:t>Updates to GAAP and non-GAAP amounts reflect ongoing program, infrastructure, and personnel costs assumed in connection with the acquisition of 2seventy bio's preclinical and clinical pipeline as described above.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1045" w:right="51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2024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4,920</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5,170</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540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2,940</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3,090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380</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2,550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86%</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tcPr>
          <w:p>
            <w:pPr>
              <w:spacing w:after="0"/>
              <w:rPr>
                <w:sz w:val="16"/>
                <w:szCs w:val="16"/>
                <w:color w:val="auto"/>
              </w:rPr>
            </w:pPr>
          </w:p>
        </w:tc>
        <w:tc>
          <w:tcPr>
            <w:tcW w:w="1920" w:type="dxa"/>
            <w:vAlign w:val="bottom"/>
            <w:vMerge w:val="restart"/>
          </w:tcPr>
          <w:p>
            <w:pPr>
              <w:jc w:val="right"/>
              <w:ind w:right="21"/>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vMerge w:val="restart"/>
          </w:tcPr>
          <w:p>
            <w:pPr>
              <w:jc w:val="right"/>
              <w:ind w:right="21"/>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320" w:top="1045" w:right="1079" w:bottom="1440" w:gutter="0" w:footer="0" w:header="0"/>
        </w:sectPr>
      </w:pPr>
    </w:p>
    <w:bookmarkStart w:id="10" w:name="page11"/>
    <w:bookmarkEnd w:id="10"/>
    <w:p>
      <w:pPr>
        <w:jc w:val="both"/>
        <w:ind w:left="394" w:right="240" w:hanging="394"/>
        <w:spacing w:after="0" w:line="219" w:lineRule="auto"/>
        <w:tabs>
          <w:tab w:leader="none" w:pos="394" w:val="left"/>
        </w:tabs>
        <w:numPr>
          <w:ilvl w:val="0"/>
          <w:numId w:val="12"/>
        </w:numPr>
        <w:rPr>
          <w:rFonts w:ascii="Arial" w:cs="Arial" w:eastAsia="Arial" w:hAnsi="Arial"/>
          <w:sz w:val="15"/>
          <w:szCs w:val="15"/>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total revenues excluding Ronapreve, and free cash flow, which are financial measures that are not calculated in accordance with U.S. Generally Accepted Accounting Principles (GAAP).</w:t>
      </w:r>
    </w:p>
    <w:p>
      <w:pPr>
        <w:spacing w:after="0" w:line="3" w:lineRule="exact"/>
        <w:rPr>
          <w:rFonts w:ascii="Arial" w:cs="Arial" w:eastAsia="Arial" w:hAnsi="Arial"/>
          <w:sz w:val="15"/>
          <w:szCs w:val="15"/>
          <w:color w:val="auto"/>
        </w:rPr>
      </w:pPr>
    </w:p>
    <w:p>
      <w:pPr>
        <w:ind w:left="394"/>
        <w:spacing w:after="0" w:line="237" w:lineRule="auto"/>
        <w:rPr>
          <w:rFonts w:ascii="Arial" w:cs="Arial" w:eastAsia="Arial" w:hAnsi="Arial"/>
          <w:sz w:val="15"/>
          <w:szCs w:val="15"/>
          <w:color w:val="auto"/>
        </w:rPr>
      </w:pPr>
      <w:r>
        <w:rPr>
          <w:rFonts w:ascii="Arial" w:cs="Arial" w:eastAsia="Arial" w:hAnsi="Arial"/>
          <w:sz w:val="19"/>
          <w:szCs w:val="19"/>
          <w:color w:val="auto"/>
        </w:rPr>
        <w:t>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7" w:lineRule="exact"/>
        <w:rPr>
          <w:rFonts w:ascii="Arial" w:cs="Arial" w:eastAsia="Arial" w:hAnsi="Arial"/>
          <w:sz w:val="15"/>
          <w:szCs w:val="15"/>
          <w:color w:val="auto"/>
        </w:rPr>
      </w:pPr>
    </w:p>
    <w:p>
      <w:pPr>
        <w:ind w:left="394" w:right="60"/>
        <w:spacing w:after="0" w:line="224" w:lineRule="auto"/>
        <w:rPr>
          <w:rFonts w:ascii="Arial" w:cs="Arial" w:eastAsia="Arial" w:hAnsi="Arial"/>
          <w:sz w:val="15"/>
          <w:szCs w:val="15"/>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ability to generate cash flows from its operations.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5"/>
          <w:szCs w:val="15"/>
          <w:color w:val="auto"/>
        </w:rPr>
      </w:pPr>
    </w:p>
    <w:p>
      <w:pPr>
        <w:ind w:left="394" w:right="680" w:hanging="394"/>
        <w:spacing w:after="0" w:line="234"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 in the United States and Ronapreve in other countries. Roche records net product sales of Ronapreve outside the United States.</w:t>
      </w:r>
    </w:p>
    <w:p>
      <w:pPr>
        <w:spacing w:after="0" w:line="91" w:lineRule="exact"/>
        <w:rPr>
          <w:rFonts w:ascii="Arial" w:cs="Arial" w:eastAsia="Arial" w:hAnsi="Arial"/>
          <w:sz w:val="16"/>
          <w:szCs w:val="16"/>
          <w:color w:val="auto"/>
        </w:rPr>
      </w:pPr>
    </w:p>
    <w:p>
      <w:pPr>
        <w:ind w:left="394" w:right="260" w:hanging="394"/>
        <w:spacing w:after="0" w:line="234"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The Company's 2024 financial guidance does not assume the completion of any business development transactions not completed as of the date of this press release.</w:t>
      </w:r>
    </w:p>
    <w:p>
      <w:pPr>
        <w:spacing w:after="0" w:line="91" w:lineRule="exact"/>
        <w:rPr>
          <w:rFonts w:ascii="Arial" w:cs="Arial" w:eastAsia="Arial" w:hAnsi="Arial"/>
          <w:sz w:val="16"/>
          <w:szCs w:val="16"/>
          <w:color w:val="auto"/>
        </w:rPr>
      </w:pPr>
    </w:p>
    <w:p>
      <w:pPr>
        <w:ind w:left="394" w:right="200" w:hanging="394"/>
        <w:spacing w:after="0" w:line="234"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right="80" w:hanging="394"/>
        <w:spacing w:after="0" w:line="234" w:lineRule="auto"/>
        <w:tabs>
          <w:tab w:leader="none" w:pos="394" w:val="left"/>
        </w:tabs>
        <w:numPr>
          <w:ilvl w:val="0"/>
          <w:numId w:val="12"/>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34"/>
          </w:cols>
          <w:pgMar w:left="346" w:top="1090" w:right="41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first quarter 2024 financial and operating results on Thursday, May 2, 2024,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HD (aflibercept) Injection 8 mg,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(pozelimab), odronextamab, itepekimab, fianlimab, garetosmab, linvoseltamab, REGN5713-5714-5715, NTLA-2001, Regeneron's other oncology programs (including its costimulatory bispecific portfolio), Regeneron's and its collaborators' earlier-stage programs, and the use of human genetics in Regeneron's research programs; the likelihood and timing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3" w:right="359" w:bottom="1440" w:gutter="0" w:footer="0" w:header="0"/>
        </w:sectPr>
      </w:pPr>
    </w:p>
    <w:bookmarkStart w:id="12" w:name="page13"/>
    <w:bookmarkEnd w:id="12"/>
    <w:p>
      <w:pPr>
        <w:spacing w:after="0" w:line="258" w:lineRule="auto"/>
        <w:rPr>
          <w:sz w:val="20"/>
          <w:szCs w:val="20"/>
          <w:color w:val="auto"/>
        </w:rPr>
      </w:pPr>
      <w:r>
        <w:rPr>
          <w:rFonts w:ascii="Arial" w:cs="Arial" w:eastAsia="Arial" w:hAnsi="Arial"/>
          <w:sz w:val="21"/>
          <w:szCs w:val="21"/>
          <w:color w:val="auto"/>
        </w:rPr>
        <w:t>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other litigation and other proceedings and government investigations relating to the Company and/or its operations (including the pending civil proceedings initiated or joined by the U.S. Department of Justice and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2023 and its Form 10-Q for the quarterly period ended March 31, 2024. Any forward-looking statements are made based on management's current beliefs and judgment, and the reader is cautioned not to rely on any forward-looking statements made by Regeneron.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896" w:right="37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22"/>
          <w:szCs w:val="22"/>
          <w:color w:val="auto"/>
        </w:rPr>
        <w:t>Regeneron does not undertake any obligation to update (publicly or otherwise) any forward-looking statement, including without limitation any financial projection or guidance, whether as a result of new information, future events, or otherwise.</w:t>
      </w:r>
    </w:p>
    <w:p>
      <w:pPr>
        <w:spacing w:after="0" w:line="213"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160"/>
          </w:cols>
          <w:pgMar w:left="320" w:top="896" w:right="41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340"/>
          </w:cols>
          <w:pgMar w:left="320" w:top="896" w:right="41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896" w:right="4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60" w:right="230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17,498.3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16,241.3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3,972.7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3,818.6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25,973.1</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890" w:right="9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1600" w:right="112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1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Three Months Ended</w:t>
      </w:r>
    </w:p>
    <w:p>
      <w:pPr>
        <w:jc w:val="center"/>
        <w:ind w:left="62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300" w:type="dxa"/>
        <w:tblCellMar>
          <w:top w:w="0" w:type="dxa"/>
          <w:left w:w="0" w:type="dxa"/>
          <w:bottom w:w="0" w:type="dxa"/>
          <w:right w:w="0" w:type="dxa"/>
        </w:tblCellMar>
      </w:tblPr>
      <w:tr>
        <w:trPr>
          <w:trHeight w:val="224"/>
        </w:trPr>
        <w:tc>
          <w:tcPr>
            <w:tcW w:w="6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1,668.0</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w:t>
            </w:r>
          </w:p>
        </w:tc>
      </w:tr>
      <w:tr>
        <w:trPr>
          <w:trHeight w:val="229"/>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r>
      <w:tr>
        <w:trPr>
          <w:trHeight w:val="223"/>
        </w:trPr>
        <w:tc>
          <w:tcPr>
            <w:tcW w:w="6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3,162.1</w:t>
            </w: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r>
      <w:tr>
        <w:trPr>
          <w:trHeight w:val="229"/>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2,215.4</w:t>
            </w:r>
          </w:p>
        </w:tc>
      </w:tr>
      <w:tr>
        <w:trPr>
          <w:trHeight w:val="250"/>
        </w:trPr>
        <w:tc>
          <w:tcPr>
            <w:tcW w:w="6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r>
      <w:tr>
        <w:trPr>
          <w:trHeight w:val="270"/>
        </w:trPr>
        <w:tc>
          <w:tcPr>
            <w:tcW w:w="6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50"/>
        </w:trPr>
        <w:tc>
          <w:tcPr>
            <w:tcW w:w="6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858.0</w:t>
            </w:r>
          </w:p>
        </w:tc>
      </w:tr>
      <w:tr>
        <w:trPr>
          <w:trHeight w:val="270"/>
        </w:trPr>
        <w:tc>
          <w:tcPr>
            <w:tcW w:w="6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50"/>
        </w:trPr>
        <w:tc>
          <w:tcPr>
            <w:tcW w:w="6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817.8</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70"/>
        </w:trPr>
        <w:tc>
          <w:tcPr>
            <w:tcW w:w="6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39"/>
          </w:cols>
          <w:pgMar w:left="320" w:top="890"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3</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6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Three Months Ended</w:t>
      </w:r>
    </w:p>
    <w:p>
      <w:pPr>
        <w:jc w:val="center"/>
        <w:ind w:left="62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300" w:type="dxa"/>
        <w:tblCellMar>
          <w:top w:w="0" w:type="dxa"/>
          <w:left w:w="0" w:type="dxa"/>
          <w:bottom w:w="0" w:type="dxa"/>
          <w:right w:w="0" w:type="dxa"/>
        </w:tblCellMar>
      </w:tblPr>
      <w:tr>
        <w:trPr>
          <w:trHeight w:val="225"/>
        </w:trPr>
        <w:tc>
          <w:tcPr>
            <w:tcW w:w="6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2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GAAP R&amp;D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Non-GAAP R&amp;D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6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GAAP SG&amp;A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601.1</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9"/>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and integration costs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SG&amp;A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GAAP COGS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COGS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GAAP other operating expense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other operating expense (income),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GAAP other income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Losses on investments,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other income (expense),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435.0</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6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162"/>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Shares used in calculating: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851"/>
        </w:trPr>
        <w:tc>
          <w:tcPr>
            <w:tcW w:w="620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139"/>
          </w:cols>
          <w:pgMar w:left="320" w:top="890"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p>
      <w:pPr>
        <w:spacing w:after="0" w:line="200" w:lineRule="exact"/>
        <w:rPr>
          <w:sz w:val="20"/>
          <w:szCs w:val="20"/>
          <w:color w:val="auto"/>
        </w:rPr>
      </w:pPr>
    </w:p>
    <w:p>
      <w:pPr>
        <w:spacing w:after="0" w:line="21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 reconciliation: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3,145.0</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Global gross profit payment from Roche in connection with sales of</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Ronapreve</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revenues excluding Ronapreve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i w:val="1"/>
                <w:iCs w:val="1"/>
                <w:color w:val="auto"/>
              </w:rPr>
              <w:t>Effective tax rate reconciliation:</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GAAP ETR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ETR</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Free cash flow reconciliation: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1,512.5</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1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33"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TABLE 4</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COLLABORATION REVENUE (Unaudited)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(In millions)</w:t>
      </w:r>
    </w:p>
    <w:p>
      <w:pPr>
        <w:spacing w:after="0" w:line="16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Three Months Ended</w:t>
      </w:r>
    </w:p>
    <w:p>
      <w:pPr>
        <w:jc w:val="center"/>
        <w:ind w:left="62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300" w:type="dxa"/>
        <w:tblCellMar>
          <w:top w:w="0" w:type="dxa"/>
          <w:left w:w="0" w:type="dxa"/>
          <w:bottom w:w="0" w:type="dxa"/>
          <w:right w:w="0" w:type="dxa"/>
        </w:tblCellMar>
      </w:tblPr>
      <w:tr>
        <w:trPr>
          <w:trHeight w:val="225"/>
        </w:trPr>
        <w:tc>
          <w:tcPr>
            <w:tcW w:w="6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Sanofi collaboration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804.0</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i w:val="1"/>
                <w:iCs w:val="1"/>
                <w:color w:val="auto"/>
              </w:rPr>
              <w:t>Bayer collaboration revenue: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EYLEA 8 mg and EYLEA outside the United States</w:t>
            </w: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Bayer collaboration revenue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collaboration revenue: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180"/>
              <w:spacing w:after="0" w:line="176" w:lineRule="exact"/>
              <w:rPr>
                <w:sz w:val="20"/>
                <w:szCs w:val="20"/>
                <w:color w:val="auto"/>
              </w:rPr>
            </w:pPr>
            <w:r>
              <w:rPr>
                <w:rFonts w:ascii="Arial" w:cs="Arial" w:eastAsia="Arial" w:hAnsi="Arial"/>
                <w:sz w:val="18"/>
                <w:szCs w:val="18"/>
                <w:color w:val="auto"/>
              </w:rPr>
              <w:t>Global gross profit payment from Roche in connection with sales of</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Ronapreve</w:t>
            </w: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2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collaboration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39"/>
          </w:cols>
          <w:pgMar w:left="320" w:top="890"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Three Months Ended</w:t>
      </w:r>
    </w:p>
    <w:p>
      <w:pPr>
        <w:jc w:val="center"/>
        <w:ind w:left="12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60" w:type="dxa"/>
            <w:vAlign w:val="bottom"/>
            <w:gridSpan w:val="2"/>
          </w:tcPr>
          <w:p>
            <w:pPr>
              <w:ind w:left="40"/>
              <w:spacing w:after="0" w:line="223" w:lineRule="exact"/>
              <w:rPr>
                <w:sz w:val="20"/>
                <w:szCs w:val="20"/>
                <w:color w:val="auto"/>
              </w:rPr>
            </w:pPr>
            <w:r>
              <w:rPr>
                <w:rFonts w:ascii="Arial" w:cs="Arial" w:eastAsia="Arial" w:hAnsi="Arial"/>
                <w:sz w:val="18"/>
                <w:szCs w:val="18"/>
                <w:b w:val="1"/>
                <w:bCs w:val="1"/>
                <w:color w:val="auto"/>
              </w:rPr>
              <w:t>ROW</w:t>
            </w:r>
            <w:r>
              <w:rPr>
                <w:rFonts w:ascii="Arial" w:cs="Arial" w:eastAsia="Arial" w:hAnsi="Arial"/>
                <w:sz w:val="23"/>
                <w:szCs w:val="23"/>
                <w:color w:val="auto"/>
                <w:vertAlign w:val="superscript"/>
              </w:rPr>
              <w:t>(g)</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 Sales)</w:t>
            </w:r>
          </w:p>
        </w:tc>
      </w:tr>
      <w:tr>
        <w:trPr>
          <w:trHeight w:val="223"/>
        </w:trPr>
        <w:tc>
          <w:tcPr>
            <w:tcW w:w="2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858.8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2,485.0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2940" w:type="dxa"/>
            <w:vAlign w:val="bottom"/>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94" w:lineRule="exact"/>
        <w:rPr>
          <w:sz w:val="20"/>
          <w:szCs w:val="20"/>
          <w:color w:val="auto"/>
        </w:rPr>
      </w:pPr>
    </w:p>
    <w:p>
      <w:pPr>
        <w:ind w:left="240" w:right="180" w:firstLine="2"/>
        <w:spacing w:after="0" w:line="206" w:lineRule="auto"/>
        <w:tabs>
          <w:tab w:leader="none" w:pos="42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Regeneron records net product sales of EYLEA HD and EYLEA in the United States, and Bayer records net product sales outside the United States. The Company records its share of profits in connection with sales outside the United States.</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w:t>
      </w:r>
    </w:p>
    <w:p>
      <w:pPr>
        <w:spacing w:after="0" w:line="2" w:lineRule="exact"/>
        <w:rPr>
          <w:rFonts w:ascii="Arial" w:cs="Arial" w:eastAsia="Arial" w:hAnsi="Arial"/>
          <w:sz w:val="22"/>
          <w:szCs w:val="22"/>
          <w:color w:val="auto"/>
          <w:vertAlign w:val="superscript"/>
        </w:rPr>
      </w:pPr>
    </w:p>
    <w:p>
      <w:pPr>
        <w:jc w:val="both"/>
        <w:ind w:left="240" w:right="40" w:firstLine="2"/>
        <w:spacing w:after="0" w:line="204" w:lineRule="auto"/>
        <w:tabs>
          <w:tab w:leader="none" w:pos="421"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Effective July 1, 2022, the Company began recording net product sales of Libtayo outside the United States and pays Sanofi a royalty on global sales. Included in this line item for the first quarter of 2023 is approximately $6 million of net product sales recorded by Sanofi in connection with sales in certain markets outside the United States (Sanofi recorded net product sales in such markets during a transition period).</w:t>
      </w:r>
    </w:p>
    <w:p>
      <w:pPr>
        <w:spacing w:after="0" w:line="2" w:lineRule="exact"/>
        <w:rPr>
          <w:rFonts w:ascii="Arial" w:cs="Arial" w:eastAsia="Arial" w:hAnsi="Arial"/>
          <w:sz w:val="23"/>
          <w:szCs w:val="23"/>
          <w:color w:val="auto"/>
          <w:vertAlign w:val="superscript"/>
        </w:rPr>
      </w:pPr>
    </w:p>
    <w:p>
      <w:pPr>
        <w:ind w:left="240" w:right="60" w:firstLine="2"/>
        <w:spacing w:after="0" w:line="206" w:lineRule="auto"/>
        <w:tabs>
          <w:tab w:leader="none" w:pos="428"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Regeneron records net product sales of Praluent in the United States. Sanofi records net product sales of Praluent outside the United States and pays the Company a royalty on such sales.</w:t>
      </w:r>
    </w:p>
    <w:p>
      <w:pPr>
        <w:spacing w:after="0" w:line="1" w:lineRule="exact"/>
        <w:rPr>
          <w:rFonts w:ascii="Arial" w:cs="Arial" w:eastAsia="Arial" w:hAnsi="Arial"/>
          <w:sz w:val="22"/>
          <w:szCs w:val="22"/>
          <w:color w:val="auto"/>
          <w:vertAlign w:val="superscript"/>
        </w:rPr>
      </w:pPr>
    </w:p>
    <w:p>
      <w:pPr>
        <w:ind w:left="420" w:hanging="178"/>
        <w:spacing w:after="0" w:line="214" w:lineRule="auto"/>
        <w:tabs>
          <w:tab w:leader="none" w:pos="42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Roche records net product sales outside the United States and the parties share gross profits from sales based on a pre-specified formula.</w:t>
      </w:r>
    </w:p>
    <w:p>
      <w:pPr>
        <w:spacing w:after="0" w:line="18" w:lineRule="exact"/>
        <w:rPr>
          <w:rFonts w:ascii="Arial" w:cs="Arial" w:eastAsia="Arial" w:hAnsi="Arial"/>
          <w:sz w:val="21"/>
          <w:szCs w:val="21"/>
          <w:color w:val="auto"/>
          <w:vertAlign w:val="superscript"/>
        </w:rPr>
      </w:pPr>
    </w:p>
    <w:p>
      <w:pPr>
        <w:ind w:left="240" w:right="40" w:firstLine="2"/>
        <w:spacing w:after="0" w:line="181" w:lineRule="auto"/>
        <w:tabs>
          <w:tab w:leader="none" w:pos="395"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Included in this line item are products which are sold by the Company and others. Refer to "First Quarter 2024 Financial Results" section above for a complete listing of net product sales recorded by the Company. Not included in this line item are net product sales of ARCALYST</w:t>
      </w:r>
      <w:r>
        <w:rPr>
          <w:rFonts w:ascii="Arial" w:cs="Arial" w:eastAsia="Arial" w:hAnsi="Arial"/>
          <w:sz w:val="21"/>
          <w:szCs w:val="21"/>
          <w:color w:val="auto"/>
          <w:vertAlign w:val="superscript"/>
        </w:rPr>
        <w:t>®</w:t>
      </w:r>
      <w:r>
        <w:rPr>
          <w:rFonts w:ascii="Arial" w:cs="Arial" w:eastAsia="Arial" w:hAnsi="Arial"/>
          <w:sz w:val="16"/>
          <w:szCs w:val="16"/>
          <w:color w:val="auto"/>
        </w:rPr>
        <w:t>, which are recorded by Kiniksa; net product sales of ARCALYST were $71 million for the fourth quarter of 2023.</w:t>
      </w:r>
    </w:p>
    <w:p>
      <w:pPr>
        <w:spacing w:after="0" w:line="2" w:lineRule="exact"/>
        <w:rPr>
          <w:rFonts w:ascii="Arial" w:cs="Arial" w:eastAsia="Arial" w:hAnsi="Arial"/>
          <w:sz w:val="23"/>
          <w:szCs w:val="23"/>
          <w:color w:val="auto"/>
          <w:vertAlign w:val="superscript"/>
        </w:rPr>
      </w:pPr>
    </w:p>
    <w:p>
      <w:pPr>
        <w:ind w:left="420" w:hanging="178"/>
        <w:spacing w:after="0" w:line="214" w:lineRule="auto"/>
        <w:tabs>
          <w:tab w:leader="none" w:pos="42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Rest of world (ROW)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2024-05-02T06:13:05Z</dcterms:created>
  <dcterms:modified xsi:type="dcterms:W3CDTF">2024-05-02T06:13:05Z</dcterms:modified>
</cp:coreProperties>
</file>