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5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10, 2023 (April 10, 2023)</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REGENERON PHARMACEUTICALS,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135"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550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000-19034</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13-3444607</w:t>
            </w:r>
          </w:p>
        </w:tc>
      </w:tr>
      <w:tr>
        <w:trPr>
          <w:trHeight w:val="216"/>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10591-6707</w:t>
            </w:r>
          </w:p>
        </w:tc>
      </w:tr>
      <w:tr>
        <w:trPr>
          <w:trHeight w:val="238"/>
        </w:trPr>
        <w:tc>
          <w:tcPr>
            <w:tcW w:w="550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90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(914) 847-7000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REGN</w:t>
            </w:r>
          </w:p>
        </w:tc>
        <w:tc>
          <w:tcPr>
            <w:tcW w:w="4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Regeneron Pharmaceuticals, Inc. (“</w:t>
      </w:r>
      <w:r>
        <w:rPr>
          <w:rFonts w:ascii="Times New Roman" w:cs="Times New Roman" w:eastAsia="Times New Roman" w:hAnsi="Times New Roman"/>
          <w:sz w:val="18"/>
          <w:szCs w:val="18"/>
          <w:u w:val="single" w:color="auto"/>
          <w:color w:val="auto"/>
        </w:rPr>
        <w:t>Regeneron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currently expects that its financial results calculated in accordance with U.S.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and its non-GAAP financial results for the first quarter 2023 will include an acquired in-process research and development (“</w:t>
      </w:r>
      <w:r>
        <w:rPr>
          <w:rFonts w:ascii="Times New Roman" w:cs="Times New Roman" w:eastAsia="Times New Roman" w:hAnsi="Times New Roman"/>
          <w:sz w:val="18"/>
          <w:szCs w:val="18"/>
          <w:u w:val="single" w:color="auto"/>
          <w:color w:val="auto"/>
        </w:rPr>
        <w:t>IPR&amp;D</w:t>
      </w:r>
      <w:r>
        <w:rPr>
          <w:rFonts w:ascii="Times New Roman" w:cs="Times New Roman" w:eastAsia="Times New Roman" w:hAnsi="Times New Roman"/>
          <w:sz w:val="18"/>
          <w:szCs w:val="18"/>
          <w:color w:val="auto"/>
        </w:rPr>
        <w:t>”) charge of approximately $56 million on a pre-tax basis, primarily relating to an up-front payment in connection with the Company’s previously announced collaboration and license agreement with Sonoma Biotherapeutics, Inc. This acquired IPR&amp;D charge is expected to negatively impact each of GAAP and non-GAAP net income per diluted share for the first quarter 2023 by approximately $0.42.</w:t>
      </w:r>
    </w:p>
    <w:p>
      <w:pPr>
        <w:spacing w:after="0" w:line="183"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Acquired IPR&amp;D charges may include IPR&amp;D acquired in connection with asset acquisitions as well as up-front, opt-in, and certain development milestone payments related to collaboration and licensing agreements. Regeneron does not forecast such acquired IPR&amp;D charges due to the uncertainty of the future occurrence, magnitude, and timing of these transactions in any given period.</w:t>
      </w:r>
    </w:p>
    <w:p>
      <w:pPr>
        <w:spacing w:after="0" w:line="17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Regeneron’s results for the first quarter 2023 have not been finalized and are subject to Regeneron’s financial statement closing procedures. There can be no assurance that actual results will not differ from the preliminary (unaudited) estimates described herein.</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shall not be deemed “filed” for purposes of Section 18 of the Securities Exchange Act of 1934, as amended, nor shall such information be deemed incorporated by reference in any filing under the Securities Act of 1933, as amended,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Regarding Forward-Looking Statements</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This Current Report on Form 8-K (this “Report”)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Regeneron’s expected acquired in-process research and development charge for the quarterly period ended March 31, 2023 and its expected impact on GAAP and non-GAAP net income per diluted share for this period as discussed in this Report. A more complete description of these and other material risks can be found in Regeneron’s filings with the U.S. Securities and Exchange Commission.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Regarding Non-GAAP Financial Measures</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This Report references non-GAAP net income per diluted share, which is a financial measure that is not calculated in accordance with U.S. Generally Accepted Accounting Principles (“GAAP”). This non-GAAP financial measure is computed by excluding certain non-cash and/or other items from the related GAAP financial measure. The Company also includes a non-GAAP adjustment for the estimated income tax effect of reconciling items. The Company makes such adjustments for items the Company does not view as useful in evaluating its operating performance. Management uses this and other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such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Joseph J. LaRosa</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2023-04-10T06:04:20Z</dcterms:created>
  <dcterms:modified xsi:type="dcterms:W3CDTF">2023-04-10T06:04:20Z</dcterms:modified>
</cp:coreProperties>
</file>