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8"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5278755</wp:posOffset>
            </wp:positionH>
            <wp:positionV relativeFrom="paragraph">
              <wp:posOffset>-629285</wp:posOffset>
            </wp:positionV>
            <wp:extent cx="58420" cy="642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2620"/>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-629285</wp:posOffset>
            </wp:positionV>
            <wp:extent cx="58420" cy="642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262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23495</wp:posOffset>
            </wp:positionV>
            <wp:extent cx="7045960" cy="6557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55701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Bassler Bonnie L</w:t>
        </w:r>
      </w:hyperlink>
    </w:p>
    <w:p>
      <w:pPr>
        <w:spacing w:after="0" w:line="29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(Last)</w:t>
            </w:r>
          </w:p>
        </w:tc>
        <w:tc>
          <w:tcPr>
            <w:tcW w:w="880" w:type="dxa"/>
            <w:vAlign w:val="bottom"/>
          </w:tcPr>
          <w:p>
            <w:pPr>
              <w:ind w:left="80"/>
              <w:spacing w:after="0"/>
              <w:rPr>
                <w:sz w:val="20"/>
                <w:szCs w:val="20"/>
                <w:color w:val="auto"/>
              </w:rPr>
            </w:pPr>
            <w:r>
              <w:rPr>
                <w:rFonts w:ascii="Arial" w:cs="Arial" w:eastAsia="Arial" w:hAnsi="Arial"/>
                <w:sz w:val="13"/>
                <w:szCs w:val="13"/>
                <w:color w:val="auto"/>
              </w:rPr>
              <w:t>(First)</w:t>
            </w:r>
          </w:p>
        </w:tc>
        <w:tc>
          <w:tcPr>
            <w:tcW w:w="160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9"/>
        </w:trPr>
        <w:tc>
          <w:tcPr>
            <w:tcW w:w="20" w:type="dxa"/>
            <w:vAlign w:val="bottom"/>
          </w:tcPr>
          <w:p>
            <w:pPr>
              <w:spacing w:after="0"/>
              <w:rPr>
                <w:sz w:val="23"/>
                <w:szCs w:val="23"/>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777 OLD SAW MILL RIVER ROAD</w:t>
            </w:r>
          </w:p>
        </w:tc>
      </w:tr>
      <w:tr>
        <w:trPr>
          <w:trHeight w:val="202"/>
        </w:trPr>
        <w:tc>
          <w:tcPr>
            <w:tcW w:w="20" w:type="dxa"/>
            <w:vAlign w:val="bottom"/>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1600" w:type="dxa"/>
            <w:vAlign w:val="bottom"/>
            <w:tcBorders>
              <w:bottom w:val="single" w:sz="8" w:color="9A9A9A"/>
            </w:tcBorders>
          </w:tcPr>
          <w:p>
            <w:pPr>
              <w:spacing w:after="0"/>
              <w:rPr>
                <w:sz w:val="17"/>
                <w:szCs w:val="17"/>
                <w:color w:val="auto"/>
              </w:rPr>
            </w:pPr>
          </w:p>
        </w:tc>
      </w:tr>
      <w:tr>
        <w:trPr>
          <w:trHeight w:val="260"/>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TARRYTOWN</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10591</w:t>
            </w:r>
          </w:p>
        </w:tc>
      </w:tr>
      <w:tr>
        <w:trPr>
          <w:trHeight w:val="150"/>
        </w:trPr>
        <w:tc>
          <w:tcPr>
            <w:tcW w:w="2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3"/>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3"/>
        </w:trPr>
        <w:tc>
          <w:tcPr>
            <w:tcW w:w="3820" w:type="dxa"/>
            <w:vAlign w:val="bottom"/>
            <w:gridSpan w:val="5"/>
          </w:tcPr>
          <w:p>
            <w:pPr>
              <w:ind w:left="60"/>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REGENERON PHARMACEUTICALS,</w:t>
              </w:r>
            </w:hyperlink>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9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00" w:type="dxa"/>
            <w:vAlign w:val="bottom"/>
            <w:tcBorders>
              <w:bottom w:val="single" w:sz="8" w:color="0000EE"/>
            </w:tcBorders>
          </w:tcPr>
          <w:p>
            <w:pPr>
              <w:spacing w:after="0"/>
              <w:rPr>
                <w:sz w:val="3"/>
                <w:szCs w:val="3"/>
                <w:color w:val="auto"/>
              </w:rPr>
            </w:pPr>
          </w:p>
        </w:tc>
        <w:tc>
          <w:tcPr>
            <w:tcW w:w="2960" w:type="dxa"/>
            <w:vAlign w:val="bottom"/>
            <w:tcBorders>
              <w:bottom w:val="single" w:sz="8" w:color="0000EE"/>
            </w:tcBorders>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0"/>
        </w:trPr>
        <w:tc>
          <w:tcPr>
            <w:tcW w:w="3820" w:type="dxa"/>
            <w:vAlign w:val="bottom"/>
            <w:gridSpan w:val="5"/>
            <w:vMerge w:val="restart"/>
          </w:tcPr>
          <w:p>
            <w:pPr>
              <w:ind w:left="60"/>
              <w:spacing w:after="0" w:line="213"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REGN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200" w:type="dxa"/>
            <w:vAlign w:val="bottom"/>
          </w:tcPr>
          <w:p>
            <w:pPr>
              <w:spacing w:after="0"/>
              <w:rPr>
                <w:sz w:val="13"/>
                <w:szCs w:val="13"/>
                <w:color w:val="auto"/>
              </w:rPr>
            </w:pPr>
          </w:p>
        </w:tc>
        <w:tc>
          <w:tcPr>
            <w:tcW w:w="300" w:type="dxa"/>
            <w:vAlign w:val="bottom"/>
            <w:vMerge w:val="continue"/>
          </w:tcPr>
          <w:p>
            <w:pPr>
              <w:spacing w:after="0"/>
              <w:rPr>
                <w:sz w:val="13"/>
                <w:szCs w:val="13"/>
                <w:color w:val="auto"/>
              </w:rPr>
            </w:pPr>
          </w:p>
        </w:tc>
        <w:tc>
          <w:tcPr>
            <w:tcW w:w="13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3820" w:type="dxa"/>
            <w:vAlign w:val="bottom"/>
            <w:gridSpan w:val="5"/>
            <w:vMerge w:val="continue"/>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7"/>
        </w:trPr>
        <w:tc>
          <w:tcPr>
            <w:tcW w:w="60" w:type="dxa"/>
            <w:vAlign w:val="bottom"/>
            <w:tcBorders>
              <w:bottom w:val="single" w:sz="8" w:color="2C2C2C"/>
            </w:tcBorders>
          </w:tcPr>
          <w:p>
            <w:pPr>
              <w:spacing w:after="0"/>
              <w:rPr>
                <w:sz w:val="6"/>
                <w:szCs w:val="6"/>
                <w:color w:val="auto"/>
              </w:rPr>
            </w:pPr>
          </w:p>
        </w:tc>
        <w:tc>
          <w:tcPr>
            <w:tcW w:w="120" w:type="dxa"/>
            <w:vAlign w:val="bottom"/>
            <w:tcBorders>
              <w:top w:val="single" w:sz="8" w:color="0000EE"/>
              <w:bottom w:val="single" w:sz="8" w:color="2C2C2C"/>
            </w:tcBorders>
          </w:tcPr>
          <w:p>
            <w:pPr>
              <w:spacing w:after="0"/>
              <w:rPr>
                <w:sz w:val="6"/>
                <w:szCs w:val="6"/>
                <w:color w:val="auto"/>
              </w:rPr>
            </w:pPr>
          </w:p>
        </w:tc>
        <w:tc>
          <w:tcPr>
            <w:tcW w:w="300" w:type="dxa"/>
            <w:vAlign w:val="bottom"/>
            <w:tcBorders>
              <w:top w:val="single" w:sz="8" w:color="0000EE"/>
              <w:bottom w:val="single" w:sz="8" w:color="2C2C2C"/>
            </w:tcBorders>
          </w:tcPr>
          <w:p>
            <w:pPr>
              <w:spacing w:after="0"/>
              <w:rPr>
                <w:sz w:val="6"/>
                <w:szCs w:val="6"/>
                <w:color w:val="auto"/>
              </w:rPr>
            </w:pPr>
          </w:p>
        </w:tc>
        <w:tc>
          <w:tcPr>
            <w:tcW w:w="29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
        </w:trPr>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3"/>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34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01/02/2024</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29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10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3"/>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2"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6" w:lineRule="exact"/>
        <w:rPr>
          <w:sz w:val="20"/>
          <w:szCs w:val="20"/>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3" w:lineRule="exact"/>
        <w:rPr>
          <w:sz w:val="20"/>
          <w:szCs w:val="20"/>
          <w:color w:val="auto"/>
        </w:rPr>
      </w:pPr>
    </w:p>
    <w:p>
      <w:pPr>
        <w:ind w:left="360" w:right="580" w:hanging="245"/>
        <w:spacing w:after="0" w:line="183" w:lineRule="auto"/>
        <w:tabs>
          <w:tab w:leader="none" w:pos="36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8" w:lineRule="exact"/>
        <w:rPr>
          <w:sz w:val="20"/>
          <w:szCs w:val="20"/>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1"/>
              </w:rPr>
              <w:t>Transaction</w:t>
            </w:r>
          </w:p>
        </w:tc>
        <w:tc>
          <w:tcPr>
            <w:tcW w:w="2040" w:type="dxa"/>
            <w:vAlign w:val="bottom"/>
            <w:gridSpan w:val="4"/>
          </w:tcPr>
          <w:p>
            <w:pPr>
              <w:ind w:left="12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78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40"/>
              <w:spacing w:after="0"/>
              <w:rPr>
                <w:sz w:val="20"/>
                <w:szCs w:val="20"/>
                <w:color w:val="auto"/>
              </w:rPr>
            </w:pPr>
            <w:r>
              <w:rPr>
                <w:rFonts w:ascii="Times New Roman" w:cs="Times New Roman" w:eastAsia="Times New Roman" w:hAnsi="Times New Roman"/>
                <w:sz w:val="17"/>
                <w:szCs w:val="17"/>
                <w:color w:val="0000FF"/>
              </w:rPr>
              <w:t>01/02/2024</w:t>
            </w:r>
          </w:p>
        </w:tc>
        <w:tc>
          <w:tcPr>
            <w:tcW w:w="1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right"/>
              <w:ind w:right="324"/>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680" w:type="dxa"/>
            <w:vAlign w:val="bottom"/>
            <w:tcBorders>
              <w:bottom w:val="single" w:sz="8" w:color="2C2C2C"/>
            </w:tcBorders>
          </w:tcPr>
          <w:p>
            <w:pPr>
              <w:jc w:val="right"/>
              <w:ind w:right="13"/>
              <w:spacing w:after="0"/>
              <w:rPr>
                <w:sz w:val="20"/>
                <w:szCs w:val="20"/>
                <w:color w:val="auto"/>
              </w:rPr>
            </w:pPr>
            <w:r>
              <w:rPr>
                <w:rFonts w:ascii="Times New Roman" w:cs="Times New Roman" w:eastAsia="Times New Roman" w:hAnsi="Times New Roman"/>
                <w:sz w:val="17"/>
                <w:szCs w:val="17"/>
                <w:color w:val="0000FF"/>
              </w:rPr>
              <w:t>135</w:t>
            </w:r>
          </w:p>
        </w:tc>
        <w:tc>
          <w:tcPr>
            <w:tcW w:w="68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110"/>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0.0</w:t>
            </w:r>
          </w:p>
        </w:tc>
        <w:tc>
          <w:tcPr>
            <w:tcW w:w="1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1,382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40"/>
              <w:spacing w:after="0"/>
              <w:rPr>
                <w:sz w:val="20"/>
                <w:szCs w:val="20"/>
                <w:color w:val="auto"/>
              </w:rPr>
            </w:pPr>
            <w:r>
              <w:rPr>
                <w:rFonts w:ascii="Times New Roman" w:cs="Times New Roman" w:eastAsia="Times New Roman" w:hAnsi="Times New Roman"/>
                <w:sz w:val="17"/>
                <w:szCs w:val="17"/>
                <w:color w:val="0000FF"/>
              </w:rPr>
              <w:t>01/03/2024</w:t>
            </w:r>
          </w:p>
        </w:tc>
        <w:tc>
          <w:tcPr>
            <w:tcW w:w="1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right"/>
              <w:ind w:right="324"/>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(2)</w:t>
            </w:r>
          </w:p>
        </w:tc>
        <w:tc>
          <w:tcPr>
            <w:tcW w:w="680" w:type="dxa"/>
            <w:vAlign w:val="bottom"/>
            <w:tcBorders>
              <w:bottom w:val="single" w:sz="8" w:color="2C2C2C"/>
            </w:tcBorders>
          </w:tcPr>
          <w:p>
            <w:pPr>
              <w:jc w:val="right"/>
              <w:ind w:right="13"/>
              <w:spacing w:after="0"/>
              <w:rPr>
                <w:sz w:val="20"/>
                <w:szCs w:val="20"/>
                <w:color w:val="auto"/>
              </w:rPr>
            </w:pPr>
            <w:r>
              <w:rPr>
                <w:rFonts w:ascii="Times New Roman" w:cs="Times New Roman" w:eastAsia="Times New Roman" w:hAnsi="Times New Roman"/>
                <w:sz w:val="17"/>
                <w:szCs w:val="17"/>
                <w:color w:val="0000FF"/>
              </w:rPr>
              <w:t>826</w:t>
            </w:r>
          </w:p>
        </w:tc>
        <w:tc>
          <w:tcPr>
            <w:tcW w:w="68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380.95</w:t>
            </w:r>
          </w:p>
        </w:tc>
        <w:tc>
          <w:tcPr>
            <w:tcW w:w="118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2,208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40"/>
              <w:spacing w:after="0"/>
              <w:rPr>
                <w:sz w:val="20"/>
                <w:szCs w:val="20"/>
                <w:color w:val="auto"/>
              </w:rPr>
            </w:pPr>
            <w:r>
              <w:rPr>
                <w:rFonts w:ascii="Times New Roman" w:cs="Times New Roman" w:eastAsia="Times New Roman" w:hAnsi="Times New Roman"/>
                <w:sz w:val="17"/>
                <w:szCs w:val="17"/>
                <w:color w:val="0000FF"/>
              </w:rPr>
              <w:t>01/03/2024</w:t>
            </w:r>
          </w:p>
        </w:tc>
        <w:tc>
          <w:tcPr>
            <w:tcW w:w="1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right"/>
              <w:ind w:right="344"/>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680" w:type="dxa"/>
            <w:vAlign w:val="bottom"/>
            <w:tcBorders>
              <w:bottom w:val="single" w:sz="8" w:color="2C2C2C"/>
            </w:tcBorders>
          </w:tcPr>
          <w:p>
            <w:pPr>
              <w:jc w:val="right"/>
              <w:ind w:right="13"/>
              <w:spacing w:after="0"/>
              <w:rPr>
                <w:sz w:val="20"/>
                <w:szCs w:val="20"/>
                <w:color w:val="auto"/>
              </w:rPr>
            </w:pPr>
            <w:r>
              <w:rPr>
                <w:rFonts w:ascii="Times New Roman" w:cs="Times New Roman" w:eastAsia="Times New Roman" w:hAnsi="Times New Roman"/>
                <w:sz w:val="17"/>
                <w:szCs w:val="17"/>
                <w:color w:val="0000FF"/>
              </w:rPr>
              <w:t>826</w:t>
            </w:r>
          </w:p>
        </w:tc>
        <w:tc>
          <w:tcPr>
            <w:tcW w:w="68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Borders>
              <w:bottom w:val="single" w:sz="8" w:color="2C2C2C"/>
            </w:tcBorders>
          </w:tcPr>
          <w:p>
            <w:pPr>
              <w:jc w:val="center"/>
              <w:ind w:left="110"/>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914</w:t>
            </w:r>
          </w:p>
        </w:tc>
        <w:tc>
          <w:tcPr>
            <w:tcW w:w="1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1,382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20" w:type="dxa"/>
            <w:vAlign w:val="bottom"/>
            <w:tcBorders>
              <w:top w:val="single" w:sz="8" w:color="2C2C2C"/>
            </w:tcBorders>
          </w:tcPr>
          <w:p>
            <w:pPr>
              <w:spacing w:after="0"/>
              <w:rPr>
                <w:sz w:val="19"/>
                <w:szCs w:val="19"/>
                <w:color w:val="auto"/>
              </w:rPr>
            </w:pPr>
          </w:p>
        </w:tc>
        <w:tc>
          <w:tcPr>
            <w:tcW w:w="620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0" w:type="dxa"/>
            <w:vAlign w:val="bottom"/>
            <w:gridSpan w:val="11"/>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4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4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and 5)</w:t>
            </w: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jc w:val="right"/>
              <w:ind w:right="33"/>
              <w:spacing w:after="0" w:line="130" w:lineRule="exact"/>
              <w:rPr>
                <w:sz w:val="20"/>
                <w:szCs w:val="20"/>
                <w:color w:val="auto"/>
              </w:rPr>
            </w:pPr>
            <w:r>
              <w:rPr>
                <w:rFonts w:ascii="Arial" w:cs="Arial" w:eastAsia="Arial" w:hAnsi="Arial"/>
                <w:sz w:val="12"/>
                <w:szCs w:val="12"/>
                <w:b w:val="1"/>
                <w:bCs w:val="1"/>
                <w:color w:val="auto"/>
                <w:w w:val="95"/>
              </w:rPr>
              <w:t>Expiration</w:t>
            </w:r>
          </w:p>
        </w:tc>
        <w:tc>
          <w:tcPr>
            <w:tcW w:w="680" w:type="dxa"/>
            <w:vAlign w:val="bottom"/>
          </w:tcPr>
          <w:p>
            <w:pPr>
              <w:spacing w:after="0"/>
              <w:rPr>
                <w:sz w:val="11"/>
                <w:szCs w:val="11"/>
                <w:color w:val="auto"/>
              </w:rPr>
            </w:pPr>
          </w:p>
        </w:tc>
        <w:tc>
          <w:tcPr>
            <w:tcW w:w="6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jc w:val="right"/>
              <w:ind w:right="353"/>
              <w:spacing w:after="0"/>
              <w:rPr>
                <w:sz w:val="20"/>
                <w:szCs w:val="20"/>
                <w:color w:val="auto"/>
              </w:rPr>
            </w:pPr>
            <w:r>
              <w:rPr>
                <w:rFonts w:ascii="Arial" w:cs="Arial" w:eastAsia="Arial" w:hAnsi="Arial"/>
                <w:sz w:val="12"/>
                <w:szCs w:val="12"/>
                <w:b w:val="1"/>
                <w:bCs w:val="1"/>
                <w:color w:val="auto"/>
                <w:w w:val="92"/>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8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8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Qualified</w:t>
            </w: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8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80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380.95</w:t>
            </w:r>
          </w:p>
        </w:tc>
        <w:tc>
          <w:tcPr>
            <w:tcW w:w="1020" w:type="dxa"/>
            <w:vAlign w:val="bottom"/>
            <w:vMerge w:val="restart"/>
          </w:tcPr>
          <w:p>
            <w:pPr>
              <w:jc w:val="right"/>
              <w:ind w:right="119"/>
              <w:spacing w:after="0"/>
              <w:rPr>
                <w:sz w:val="20"/>
                <w:szCs w:val="20"/>
                <w:color w:val="auto"/>
              </w:rPr>
            </w:pPr>
            <w:r>
              <w:rPr>
                <w:rFonts w:ascii="Times New Roman" w:cs="Times New Roman" w:eastAsia="Times New Roman" w:hAnsi="Times New Roman"/>
                <w:sz w:val="13"/>
                <w:szCs w:val="13"/>
                <w:color w:val="0000FF"/>
              </w:rPr>
              <w:t>01/03/2024</w:t>
            </w:r>
          </w:p>
        </w:tc>
        <w:tc>
          <w:tcPr>
            <w:tcW w:w="1140" w:type="dxa"/>
            <w:vAlign w:val="bottom"/>
          </w:tcPr>
          <w:p>
            <w:pPr>
              <w:spacing w:after="0"/>
              <w:rPr>
                <w:sz w:val="12"/>
                <w:szCs w:val="12"/>
                <w:color w:val="auto"/>
              </w:rPr>
            </w:pPr>
          </w:p>
        </w:tc>
        <w:tc>
          <w:tcPr>
            <w:tcW w:w="640" w:type="dxa"/>
            <w:vAlign w:val="bottom"/>
            <w:vMerge w:val="restart"/>
          </w:tcPr>
          <w:p>
            <w:pPr>
              <w:ind w:left="100"/>
              <w:spacing w:after="0" w:line="272"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(2)</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826</w:t>
            </w:r>
          </w:p>
        </w:tc>
        <w:tc>
          <w:tcPr>
            <w:tcW w:w="780" w:type="dxa"/>
            <w:vAlign w:val="bottom"/>
            <w:gridSpan w:val="2"/>
            <w:vMerge w:val="restart"/>
          </w:tcPr>
          <w:p>
            <w:pPr>
              <w:jc w:val="right"/>
              <w:ind w:right="324"/>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jc w:val="right"/>
              <w:ind w:right="13"/>
              <w:spacing w:after="0"/>
              <w:rPr>
                <w:sz w:val="20"/>
                <w:szCs w:val="20"/>
                <w:color w:val="auto"/>
              </w:rPr>
            </w:pPr>
            <w:r>
              <w:rPr>
                <w:rFonts w:ascii="Times New Roman" w:cs="Times New Roman" w:eastAsia="Times New Roman" w:hAnsi="Times New Roman"/>
                <w:sz w:val="13"/>
                <w:szCs w:val="13"/>
                <w:color w:val="0000FF"/>
                <w:w w:val="97"/>
              </w:rPr>
              <w:t>01/02/2028</w:t>
            </w:r>
          </w:p>
        </w:tc>
        <w:tc>
          <w:tcPr>
            <w:tcW w:w="68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90"/>
              <w:spacing w:after="0"/>
              <w:rPr>
                <w:sz w:val="20"/>
                <w:szCs w:val="20"/>
                <w:color w:val="auto"/>
              </w:rPr>
            </w:pPr>
            <w:r>
              <w:rPr>
                <w:rFonts w:ascii="Times New Roman" w:cs="Times New Roman" w:eastAsia="Times New Roman" w:hAnsi="Times New Roman"/>
                <w:sz w:val="17"/>
                <w:szCs w:val="17"/>
                <w:color w:val="0000FF"/>
              </w:rPr>
              <w:t>826</w:t>
            </w:r>
          </w:p>
        </w:tc>
        <w:tc>
          <w:tcPr>
            <w:tcW w:w="160" w:type="dxa"/>
            <w:vAlign w:val="bottom"/>
          </w:tcPr>
          <w:p>
            <w:pPr>
              <w:spacing w:after="0"/>
              <w:rPr>
                <w:sz w:val="12"/>
                <w:szCs w:val="12"/>
                <w:color w:val="auto"/>
              </w:rPr>
            </w:pPr>
          </w:p>
        </w:tc>
        <w:tc>
          <w:tcPr>
            <w:tcW w:w="60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58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1,654</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8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80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8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8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8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Qualified</w:t>
            </w:r>
          </w:p>
        </w:tc>
        <w:tc>
          <w:tcPr>
            <w:tcW w:w="8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888.34</w:t>
            </w: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3"/>
                <w:szCs w:val="13"/>
                <w:color w:val="0000FF"/>
              </w:rPr>
              <w:t>01/02/2024</w:t>
            </w:r>
          </w:p>
        </w:tc>
        <w:tc>
          <w:tcPr>
            <w:tcW w:w="1140" w:type="dxa"/>
            <w:vAlign w:val="bottom"/>
          </w:tcPr>
          <w:p>
            <w:pPr>
              <w:spacing w:after="0"/>
              <w:rPr>
                <w:sz w:val="16"/>
                <w:szCs w:val="16"/>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Pr>
          <w:p>
            <w:pPr>
              <w:spacing w:after="0"/>
              <w:rPr>
                <w:sz w:val="16"/>
                <w:szCs w:val="16"/>
                <w:color w:val="auto"/>
              </w:rPr>
            </w:pPr>
          </w:p>
        </w:tc>
        <w:tc>
          <w:tcPr>
            <w:tcW w:w="4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1,607</w:t>
            </w:r>
          </w:p>
        </w:tc>
        <w:tc>
          <w:tcPr>
            <w:tcW w:w="360" w:type="dxa"/>
            <w:vAlign w:val="bottom"/>
          </w:tcPr>
          <w:p>
            <w:pPr>
              <w:spacing w:after="0"/>
              <w:rPr>
                <w:sz w:val="16"/>
                <w:szCs w:val="16"/>
                <w:color w:val="auto"/>
              </w:rPr>
            </w:pPr>
          </w:p>
        </w:tc>
        <w:tc>
          <w:tcPr>
            <w:tcW w:w="780" w:type="dxa"/>
            <w:vAlign w:val="bottom"/>
            <w:gridSpan w:val="2"/>
          </w:tcPr>
          <w:p>
            <w:pPr>
              <w:jc w:val="right"/>
              <w:ind w:right="324"/>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0000FF"/>
                <w:w w:val="97"/>
              </w:rPr>
              <w:t>01/02/2034</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right"/>
              <w:ind w:right="30"/>
              <w:spacing w:after="0" w:line="194" w:lineRule="exact"/>
              <w:rPr>
                <w:sz w:val="20"/>
                <w:szCs w:val="20"/>
                <w:color w:val="auto"/>
              </w:rPr>
            </w:pPr>
            <w:r>
              <w:rPr>
                <w:rFonts w:ascii="Times New Roman" w:cs="Times New Roman" w:eastAsia="Times New Roman" w:hAnsi="Times New Roman"/>
                <w:sz w:val="17"/>
                <w:szCs w:val="17"/>
                <w:color w:val="0000FF"/>
              </w:rPr>
              <w:t>1,607</w:t>
            </w:r>
          </w:p>
        </w:tc>
        <w:tc>
          <w:tcPr>
            <w:tcW w:w="160" w:type="dxa"/>
            <w:vAlign w:val="bottom"/>
          </w:tcPr>
          <w:p>
            <w:pPr>
              <w:spacing w:after="0"/>
              <w:rPr>
                <w:sz w:val="16"/>
                <w:szCs w:val="16"/>
                <w:color w:val="auto"/>
              </w:rPr>
            </w:pPr>
          </w:p>
        </w:tc>
        <w:tc>
          <w:tcPr>
            <w:tcW w:w="600" w:type="dxa"/>
            <w:vAlign w:val="bottom"/>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1,607</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Option</w:t>
            </w:r>
          </w:p>
        </w:tc>
        <w:tc>
          <w:tcPr>
            <w:tcW w:w="8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8"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an acquisition of time-based vesting restricted stock units each representing a contingent right to receive one share of the Issuer's common stock.</w:t>
      </w:r>
    </w:p>
    <w:p>
      <w:pPr>
        <w:spacing w:after="0" w:line="4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Disposition/acquisition made pursuant to a plan intended to comply with Rule 10b5-1(c) adopted on May 11, 2023.</w:t>
      </w:r>
    </w:p>
    <w:p>
      <w:pPr>
        <w:spacing w:after="0" w:line="4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becomes exercisable in three equal annual installments, commencing one year after the date of grant.</w:t>
      </w:r>
    </w:p>
    <w:p>
      <w:pPr>
        <w:spacing w:after="0" w:line="44" w:lineRule="exact"/>
        <w:rPr>
          <w:rFonts w:ascii="Times New Roman" w:cs="Times New Roman" w:eastAsia="Times New Roman" w:hAnsi="Times New Roman"/>
          <w:sz w:val="13"/>
          <w:szCs w:val="13"/>
          <w:color w:val="008000"/>
        </w:rPr>
      </w:pPr>
    </w:p>
    <w:p>
      <w:pPr>
        <w:ind w:left="40" w:right="400" w:firstLine="3"/>
        <w:spacing w:after="0" w:line="257"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the date of the Issuer's first annual meeting of shareholders following the date of grant, a portion of these stock options equal to the portion of one year that has passed from the date of grant shall then become exercisable, and the remainder shall become exercisable on the first anniversary of the date of grant.</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7"/>
              </w:rPr>
              <w:t>/s/**Bonnie L. Bassler</w:t>
            </w:r>
          </w:p>
        </w:tc>
        <w:tc>
          <w:tcPr>
            <w:tcW w:w="66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01/04/2024</w:t>
            </w: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6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83607"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2024-01-04T15:18:22Z</dcterms:created>
  <dcterms:modified xsi:type="dcterms:W3CDTF">2024-01-04T15:18:22Z</dcterms:modified>
</cp:coreProperties>
</file>